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Bendre Ashish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ALLIENT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495 COMMERCE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ALLIENT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VP and Group President</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04/03/2026</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AMHERST</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14228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2,005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61.82</w:t>
            </w:r>
          </w:p>
        </w:tc>
        <w:tc>
          <w:tcPr>
            <w:tcW w:w="120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18,192.975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1,155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indicated date, the Reporting Person instructed the Company to withhold shares of common stock to cover tax withholding obligations upon the vesting of restricted stock as permitted under the applicable shareholder-approved stock incentive plan.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40"/>
        <w:spacing w:after="0" w:line="253" w:lineRule="auto"/>
        <w:rPr>
          <w:sz w:val="20"/>
          <w:szCs w:val="20"/>
          <w:color w:val="auto"/>
        </w:rPr>
      </w:pPr>
      <w:r>
        <w:rPr>
          <w:rFonts w:ascii="Times New Roman" w:cs="Times New Roman" w:eastAsia="Times New Roman" w:hAnsi="Times New Roman"/>
          <w:sz w:val="13"/>
          <w:szCs w:val="13"/>
          <w:color w:val="008000"/>
        </w:rPr>
        <w:t>The original Form 4, filed on April 3, 2026, is being amended by this Form 4 amendment solely to correct an administrative error. The original Form 4 inadvertently reported that the Reporting Person withheld 2,190 shares of common stock to cover tax withholding obligations upon the vesting of restricted stock. However, as reported in this amended Form 4, the Reporting Person withheld 2,005 shares of common stock in connection with that vesting transaction and he directly owned 18,192.975 shares of common stock after such transaction.</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C. Donlon,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5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Ashish</w:t>
        <w:tab/>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Bendre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0651" TargetMode="External"/><Relationship Id="rId14" Type="http://schemas.openxmlformats.org/officeDocument/2006/relationships/hyperlink" Target="http://www.sec.gov/cgi-bin/browse-edgar?action=getcompany&amp;CIK=00000461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2026-06-04T16:47:50Z</dcterms:created>
  <dcterms:modified xsi:type="dcterms:W3CDTF">2026-06-04T16:47:50Z</dcterms:modified>
</cp:coreProperties>
</file>