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26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32"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8"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7" w:lineRule="exact"/>
        <w:rPr>
          <w:sz w:val="24"/>
          <w:szCs w:val="24"/>
          <w:color w:val="auto"/>
        </w:rPr>
      </w:pPr>
    </w:p>
    <w:p>
      <w:pPr>
        <w:jc w:val="center"/>
        <w:ind w:right="-340"/>
        <w:spacing w:after="0"/>
        <w:rPr>
          <w:sz w:val="20"/>
          <w:szCs w:val="20"/>
          <w:color w:val="auto"/>
        </w:rPr>
      </w:pPr>
      <w:r>
        <w:rPr>
          <w:rFonts w:ascii="Arial" w:cs="Arial" w:eastAsia="Arial" w:hAnsi="Arial"/>
          <w:sz w:val="53"/>
          <w:szCs w:val="53"/>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3"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366395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229235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1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243459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7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ALLIED MOTION TECHNOLOGIES INC. 495 Commerce Drive, Suite 3 Amherst, New York 14228</w:t>
      </w:r>
    </w:p>
    <w:p>
      <w:pPr>
        <w:spacing w:after="0" w:line="200" w:lineRule="exact"/>
        <w:rPr>
          <w:sz w:val="20"/>
          <w:szCs w:val="20"/>
          <w:color w:val="auto"/>
        </w:rPr>
      </w:pPr>
    </w:p>
    <w:p>
      <w:pPr>
        <w:sectPr>
          <w:pgSz w:w="11900" w:h="16838" w:orient="portrait"/>
          <w:cols w:equalWidth="0" w:num="2">
            <w:col w:w="5330" w:space="720"/>
            <w:col w:w="3060"/>
          </w:cols>
          <w:pgMar w:left="1390" w:top="265" w:right="1399" w:bottom="1440" w:gutter="0" w:footer="0" w:header="0"/>
        </w:sectPr>
      </w:pPr>
    </w:p>
    <w:p>
      <w:pPr>
        <w:spacing w:after="0" w:line="67"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ANNUAL MEETING OF SHAREHOLDERS</w:t>
      </w:r>
    </w:p>
    <w:p>
      <w:pPr>
        <w:spacing w:after="0" w:line="215"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DATE:</w:t>
      </w:r>
      <w:r>
        <w:rPr>
          <w:sz w:val="20"/>
          <w:szCs w:val="20"/>
          <w:color w:val="auto"/>
        </w:rPr>
        <w:tab/>
      </w:r>
      <w:r>
        <w:rPr>
          <w:rFonts w:ascii="Arial" w:cs="Arial" w:eastAsia="Arial" w:hAnsi="Arial"/>
          <w:sz w:val="16"/>
          <w:szCs w:val="16"/>
          <w:color w:val="auto"/>
        </w:rPr>
        <w:t>May 3, 2023</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TIME:</w:t>
      </w:r>
      <w:r>
        <w:rPr>
          <w:sz w:val="20"/>
          <w:szCs w:val="20"/>
          <w:color w:val="auto"/>
        </w:rPr>
        <w:tab/>
      </w:r>
      <w:r>
        <w:rPr>
          <w:rFonts w:ascii="Arial" w:cs="Arial" w:eastAsia="Arial" w:hAnsi="Arial"/>
          <w:sz w:val="16"/>
          <w:szCs w:val="16"/>
          <w:color w:val="auto"/>
        </w:rPr>
        <w:t>9:00 a.m. Eastern Time</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ONLINE:</w:t>
      </w:r>
      <w:r>
        <w:rPr>
          <w:sz w:val="20"/>
          <w:szCs w:val="20"/>
          <w:color w:val="auto"/>
        </w:rPr>
        <w:tab/>
      </w:r>
      <w:r>
        <w:rPr>
          <w:rFonts w:ascii="Arial" w:cs="Arial" w:eastAsia="Arial" w:hAnsi="Arial"/>
          <w:sz w:val="16"/>
          <w:szCs w:val="16"/>
          <w:u w:val="single" w:color="auto"/>
          <w:color w:val="auto"/>
        </w:rPr>
        <w:t>www.virtualshareholdermeeting.com/AMOT2023</w:t>
      </w:r>
    </w:p>
    <w:p>
      <w:pPr>
        <w:spacing w:after="0" w:line="263"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Allied Motion Technologies Inc.:</w:t>
      </w:r>
    </w:p>
    <w:p>
      <w:pPr>
        <w:spacing w:after="0" w:line="150" w:lineRule="exact"/>
        <w:rPr>
          <w:sz w:val="20"/>
          <w:szCs w:val="20"/>
          <w:color w:val="auto"/>
        </w:rPr>
      </w:pPr>
    </w:p>
    <w:p>
      <w:pPr>
        <w:ind w:left="10" w:right="20"/>
        <w:spacing w:after="0" w:line="251" w:lineRule="auto"/>
        <w:rPr>
          <w:sz w:val="20"/>
          <w:szCs w:val="20"/>
          <w:color w:val="auto"/>
        </w:rPr>
      </w:pPr>
      <w:r>
        <w:rPr>
          <w:rFonts w:ascii="Arial" w:cs="Arial" w:eastAsia="Arial" w:hAnsi="Arial"/>
          <w:sz w:val="16"/>
          <w:szCs w:val="16"/>
          <w:color w:val="auto"/>
        </w:rPr>
        <w:t xml:space="preserve">You are hereby notified that the 2023 Annual Meeting of Shareholders of Allied Motion Technologies Inc. (the “Company”) will be held virtually on Wednesday, May 3, 2023 at 9:00 a.m. (Eastern Time). The meeting can be accessed by visiting </w:t>
      </w:r>
      <w:r>
        <w:rPr>
          <w:rFonts w:ascii="Arial" w:cs="Arial" w:eastAsia="Arial" w:hAnsi="Arial"/>
          <w:sz w:val="16"/>
          <w:szCs w:val="16"/>
          <w:u w:val="single" w:color="auto"/>
          <w:color w:val="auto"/>
        </w:rPr>
        <w:t>www.virtualshareholdermeeting.com/AMOT2023</w:t>
      </w:r>
      <w:r>
        <w:rPr>
          <w:rFonts w:ascii="Arial" w:cs="Arial" w:eastAsia="Arial" w:hAnsi="Arial"/>
          <w:sz w:val="16"/>
          <w:szCs w:val="16"/>
          <w:color w:val="auto"/>
        </w:rPr>
        <w:t>, where you will be able to listen to the meeting live, submit questions and vote online.</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elect seven directors of the Company;</w:t>
      </w:r>
    </w:p>
    <w:p>
      <w:pPr>
        <w:spacing w:after="0" w:line="113"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provide an advisory approval of the compensation of our Named Executive Officers;</w:t>
      </w:r>
    </w:p>
    <w:p>
      <w:pPr>
        <w:spacing w:after="0" w:line="113" w:lineRule="exact"/>
        <w:rPr>
          <w:rFonts w:ascii="Arial" w:cs="Arial" w:eastAsia="Arial" w:hAnsi="Arial"/>
          <w:sz w:val="16"/>
          <w:szCs w:val="16"/>
          <w:b w:val="1"/>
          <w:bCs w:val="1"/>
          <w:color w:val="auto"/>
        </w:rPr>
      </w:pPr>
    </w:p>
    <w:p>
      <w:pPr>
        <w:ind w:left="170" w:right="180" w:hanging="170"/>
        <w:spacing w:after="0" w:line="260"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&amp; Touche LLP as the Company’s independent registered public accounting firm for the 2023 fiscal year; and</w:t>
      </w:r>
    </w:p>
    <w:p>
      <w:pPr>
        <w:spacing w:after="0" w:line="87"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2023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5777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195" w:lineRule="exact"/>
        <w:rPr>
          <w:sz w:val="20"/>
          <w:szCs w:val="20"/>
          <w:color w:val="auto"/>
        </w:rPr>
      </w:pPr>
    </w:p>
    <w:p>
      <w:pPr>
        <w:ind w:left="50"/>
        <w:spacing w:after="0"/>
        <w:rPr>
          <w:sz w:val="20"/>
          <w:szCs w:val="20"/>
          <w:color w:val="auto"/>
        </w:rPr>
      </w:pPr>
      <w:r>
        <w:rPr>
          <w:rFonts w:ascii="Arial" w:cs="Arial" w:eastAsia="Arial" w:hAnsi="Arial"/>
          <w:sz w:val="16"/>
          <w:szCs w:val="16"/>
          <w:b w:val="1"/>
          <w:bCs w:val="1"/>
          <w:color w:val="2D64AF"/>
        </w:rPr>
        <w:t>Voting can be completed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48895</wp:posOffset>
            </wp:positionV>
            <wp:extent cx="248285"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48895</wp:posOffset>
            </wp:positionV>
            <wp:extent cx="24828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2960" w:type="dxa"/>
            <w:vAlign w:val="bottom"/>
            <w:vMerge w:val="restart"/>
          </w:tcPr>
          <w:p>
            <w:pPr>
              <w:ind w:left="140"/>
              <w:spacing w:after="0"/>
              <w:rPr>
                <w:sz w:val="20"/>
                <w:szCs w:val="20"/>
                <w:color w:val="auto"/>
              </w:rPr>
            </w:pPr>
            <w:r>
              <w:rPr>
                <w:rFonts w:ascii="Arial" w:cs="Arial" w:eastAsia="Arial" w:hAnsi="Arial"/>
                <w:sz w:val="16"/>
                <w:szCs w:val="16"/>
                <w:color w:val="auto"/>
              </w:rPr>
              <w:t>Returning the proxy card by mail</w:t>
            </w:r>
          </w:p>
        </w:tc>
        <w:tc>
          <w:tcPr>
            <w:tcW w:w="1220" w:type="dxa"/>
            <w:vAlign w:val="bottom"/>
          </w:tcPr>
          <w:p>
            <w:pPr>
              <w:spacing w:after="0"/>
              <w:rPr>
                <w:sz w:val="16"/>
                <w:szCs w:val="16"/>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Online at</w:t>
            </w: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www.proxyvote.com</w:t>
            </w:r>
          </w:p>
        </w:tc>
        <w:tc>
          <w:tcPr>
            <w:tcW w:w="0" w:type="dxa"/>
            <w:vAlign w:val="bottom"/>
          </w:tcPr>
          <w:p>
            <w:pPr>
              <w:spacing w:after="0"/>
              <w:rPr>
                <w:sz w:val="1"/>
                <w:szCs w:val="1"/>
                <w:color w:val="auto"/>
              </w:rPr>
            </w:pPr>
          </w:p>
        </w:tc>
      </w:tr>
      <w:tr>
        <w:trPr>
          <w:trHeight w:val="95"/>
        </w:trPr>
        <w:tc>
          <w:tcPr>
            <w:tcW w:w="68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2960" w:type="dxa"/>
            <w:vAlign w:val="bottom"/>
          </w:tcPr>
          <w:p>
            <w:pPr>
              <w:spacing w:after="0"/>
              <w:rPr>
                <w:sz w:val="8"/>
                <w:szCs w:val="8"/>
                <w:color w:val="auto"/>
              </w:rPr>
            </w:pPr>
          </w:p>
        </w:tc>
        <w:tc>
          <w:tcPr>
            <w:tcW w:w="122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4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29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2960" w:type="dxa"/>
            <w:vAlign w:val="bottom"/>
          </w:tcPr>
          <w:p>
            <w:pPr>
              <w:ind w:left="140"/>
              <w:spacing w:after="0"/>
              <w:rPr>
                <w:sz w:val="20"/>
                <w:szCs w:val="20"/>
                <w:color w:val="auto"/>
              </w:rPr>
            </w:pPr>
            <w:r>
              <w:rPr>
                <w:rFonts w:ascii="Arial" w:cs="Arial" w:eastAsia="Arial" w:hAnsi="Arial"/>
                <w:sz w:val="16"/>
                <w:szCs w:val="16"/>
                <w:color w:val="auto"/>
              </w:rPr>
              <w:t>Through the telephone at</w:t>
            </w:r>
          </w:p>
        </w:tc>
        <w:tc>
          <w:tcPr>
            <w:tcW w:w="12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Attend the annual meeting at:</w:t>
            </w:r>
          </w:p>
        </w:tc>
        <w:tc>
          <w:tcPr>
            <w:tcW w:w="0" w:type="dxa"/>
            <w:vAlign w:val="bottom"/>
          </w:tcPr>
          <w:p>
            <w:pPr>
              <w:spacing w:after="0"/>
              <w:rPr>
                <w:sz w:val="1"/>
                <w:szCs w:val="1"/>
                <w:color w:val="auto"/>
              </w:rPr>
            </w:pPr>
          </w:p>
        </w:tc>
      </w:tr>
      <w:tr>
        <w:trPr>
          <w:trHeight w:val="160"/>
        </w:trPr>
        <w:tc>
          <w:tcPr>
            <w:tcW w:w="680" w:type="dxa"/>
            <w:vAlign w:val="bottom"/>
            <w:vMerge w:val="continue"/>
          </w:tcPr>
          <w:p>
            <w:pPr>
              <w:spacing w:after="0"/>
              <w:rPr>
                <w:sz w:val="13"/>
                <w:szCs w:val="13"/>
                <w:color w:val="auto"/>
              </w:rPr>
            </w:pPr>
          </w:p>
        </w:tc>
        <w:tc>
          <w:tcPr>
            <w:tcW w:w="2960" w:type="dxa"/>
            <w:vAlign w:val="bottom"/>
          </w:tcPr>
          <w:p>
            <w:pPr>
              <w:ind w:left="140"/>
              <w:spacing w:after="0" w:line="160" w:lineRule="exact"/>
              <w:rPr>
                <w:sz w:val="20"/>
                <w:szCs w:val="20"/>
                <w:color w:val="auto"/>
              </w:rPr>
            </w:pPr>
            <w:r>
              <w:rPr>
                <w:rFonts w:ascii="Arial" w:cs="Arial" w:eastAsia="Arial" w:hAnsi="Arial"/>
                <w:sz w:val="16"/>
                <w:szCs w:val="16"/>
                <w:color w:val="auto"/>
              </w:rPr>
              <w:t>1-800-690-6903</w:t>
            </w:r>
          </w:p>
        </w:tc>
        <w:tc>
          <w:tcPr>
            <w:tcW w:w="122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4240" w:type="dxa"/>
            <w:vAlign w:val="bottom"/>
            <w:gridSpan w:val="2"/>
          </w:tcPr>
          <w:p>
            <w:pPr>
              <w:spacing w:after="0" w:line="160" w:lineRule="exact"/>
              <w:rPr>
                <w:sz w:val="20"/>
                <w:szCs w:val="20"/>
                <w:color w:val="auto"/>
              </w:rPr>
            </w:pPr>
            <w:r>
              <w:rPr>
                <w:rFonts w:ascii="Arial" w:cs="Arial" w:eastAsia="Arial" w:hAnsi="Arial"/>
                <w:sz w:val="16"/>
                <w:szCs w:val="16"/>
                <w:color w:val="auto"/>
              </w:rPr>
              <w:t>www.virtualshareholdermeeting.com/AMOT2023</w:t>
            </w: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48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680" w:type="dxa"/>
            <w:vAlign w:val="bottom"/>
            <w:tcBorders>
              <w:bottom w:val="single" w:sz="8" w:color="2D64AF"/>
            </w:tcBorders>
          </w:tcPr>
          <w:p>
            <w:pPr>
              <w:spacing w:after="0"/>
              <w:rPr>
                <w:sz w:val="4"/>
                <w:szCs w:val="4"/>
                <w:color w:val="auto"/>
              </w:rPr>
            </w:pPr>
          </w:p>
        </w:tc>
        <w:tc>
          <w:tcPr>
            <w:tcW w:w="2960" w:type="dxa"/>
            <w:vAlign w:val="bottom"/>
            <w:tcBorders>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3480" w:type="dxa"/>
            <w:vAlign w:val="bottom"/>
            <w:tcBorders>
              <w:bottom w:val="single" w:sz="8" w:color="2D64AF"/>
            </w:tcBorders>
          </w:tcPr>
          <w:p>
            <w:pPr>
              <w:spacing w:after="0"/>
              <w:rPr>
                <w:sz w:val="4"/>
                <w:szCs w:val="4"/>
                <w:color w:val="auto"/>
              </w:rPr>
            </w:pPr>
          </w:p>
        </w:tc>
        <w:tc>
          <w:tcPr>
            <w:tcW w:w="760" w:type="dxa"/>
            <w:vAlign w:val="bottom"/>
            <w:tcBorders>
              <w:bottom w:val="single" w:sz="8" w:color="2D64A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-410845</wp:posOffset>
            </wp:positionV>
            <wp:extent cx="28257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24828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-410845</wp:posOffset>
            </wp:positionV>
            <wp:extent cx="24828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90" w:lineRule="exact"/>
        <w:rPr>
          <w:sz w:val="20"/>
          <w:szCs w:val="20"/>
          <w:color w:val="auto"/>
        </w:rPr>
      </w:pPr>
    </w:p>
    <w:p>
      <w:pPr>
        <w:ind w:left="10" w:right="140"/>
        <w:spacing w:after="0" w:line="260" w:lineRule="auto"/>
        <w:rPr>
          <w:sz w:val="20"/>
          <w:szCs w:val="20"/>
          <w:color w:val="auto"/>
        </w:rPr>
      </w:pPr>
      <w:r>
        <w:rPr>
          <w:rFonts w:ascii="Arial" w:cs="Arial" w:eastAsia="Arial" w:hAnsi="Arial"/>
          <w:sz w:val="16"/>
          <w:szCs w:val="16"/>
          <w:color w:val="auto"/>
        </w:rPr>
        <w:t>Only shareholders of record at the close of business on March 9, 2023 are entitled to notice of and to vote at the 2023 Annual Meeting and any adjournment thereof.</w:t>
      </w:r>
    </w:p>
    <w:p>
      <w:pPr>
        <w:spacing w:after="0" w:line="87" w:lineRule="exact"/>
        <w:rPr>
          <w:sz w:val="20"/>
          <w:szCs w:val="20"/>
          <w:color w:val="auto"/>
        </w:rPr>
      </w:pPr>
    </w:p>
    <w:p>
      <w:pPr>
        <w:ind w:left="10" w:right="20"/>
        <w:spacing w:after="0" w:line="248" w:lineRule="auto"/>
        <w:rPr>
          <w:sz w:val="20"/>
          <w:szCs w:val="20"/>
          <w:color w:val="auto"/>
        </w:rPr>
      </w:pPr>
      <w:r>
        <w:rPr>
          <w:rFonts w:ascii="Arial" w:cs="Arial" w:eastAsia="Arial" w:hAnsi="Arial"/>
          <w:sz w:val="16"/>
          <w:szCs w:val="16"/>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100" w:lineRule="exact"/>
        <w:rPr>
          <w:sz w:val="20"/>
          <w:szCs w:val="20"/>
          <w:color w:val="auto"/>
        </w:rPr>
      </w:pPr>
    </w:p>
    <w:p>
      <w:pPr>
        <w:ind w:left="10" w:right="60"/>
        <w:spacing w:after="0" w:line="253" w:lineRule="auto"/>
        <w:rPr>
          <w:sz w:val="20"/>
          <w:szCs w:val="20"/>
          <w:color w:val="auto"/>
        </w:rPr>
      </w:pPr>
      <w:r>
        <w:rPr>
          <w:rFonts w:ascii="Arial" w:cs="Arial" w:eastAsia="Arial" w:hAnsi="Arial"/>
          <w:sz w:val="16"/>
          <w:szCs w:val="16"/>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1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108839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83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6"/>
          <w:szCs w:val="16"/>
          <w:color w:val="auto"/>
        </w:rPr>
        <w:t>Joseph P. Kubarek</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March 30, 2023</w:t>
      </w:r>
    </w:p>
    <w:p>
      <w:pPr>
        <w:spacing w:after="0" w:line="113" w:lineRule="exact"/>
        <w:rPr>
          <w:sz w:val="20"/>
          <w:szCs w:val="20"/>
          <w:color w:val="auto"/>
        </w:rPr>
      </w:pPr>
    </w:p>
    <w:p>
      <w:pPr>
        <w:ind w:left="10" w:right="480"/>
        <w:spacing w:after="0" w:line="260"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and the Company’s Annual Report are available on the Internet at </w:t>
      </w:r>
      <w:r>
        <w:rPr>
          <w:rFonts w:ascii="Arial" w:cs="Arial" w:eastAsia="Arial" w:hAnsi="Arial"/>
          <w:sz w:val="16"/>
          <w:szCs w:val="16"/>
          <w:u w:val="single" w:color="auto"/>
          <w:color w:val="auto"/>
        </w:rPr>
        <w:t>https://materials.proxyvote.com/019330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97155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10"/>
          </w:cols>
          <w:pgMar w:left="1390" w:top="265" w:right="1399" w:bottom="1440" w:gutter="0" w:footer="0" w:header="0"/>
          <w:type w:val="continuous"/>
        </w:sectPr>
      </w:pPr>
    </w:p>
    <w:bookmarkStart w:id="2" w:name="page3"/>
    <w:bookmarkEnd w:id="2"/>
    <w:p>
      <w:pPr>
        <w:ind w:left="9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2" w:lineRule="exact"/>
        <w:rPr>
          <w:sz w:val="20"/>
          <w:szCs w:val="20"/>
          <w:color w:val="auto"/>
        </w:rPr>
      </w:pPr>
    </w:p>
    <w:p>
      <w:pPr>
        <w:ind w:left="960"/>
        <w:spacing w:after="0"/>
        <w:rPr>
          <w:sz w:val="20"/>
          <w:szCs w:val="20"/>
          <w:color w:val="auto"/>
        </w:rPr>
      </w:pPr>
      <w:r>
        <w:rPr>
          <w:rFonts w:ascii="Arial" w:cs="Arial" w:eastAsia="Arial" w:hAnsi="Arial"/>
          <w:sz w:val="41"/>
          <w:szCs w:val="41"/>
          <w:color w:val="2D64A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8940" w:type="dxa"/>
            <w:vAlign w:val="bottom"/>
            <w:gridSpan w:val="22"/>
          </w:tcPr>
          <w:p>
            <w:pPr>
              <w:spacing w:after="0"/>
              <w:rPr>
                <w:sz w:val="20"/>
                <w:szCs w:val="20"/>
                <w:color w:val="auto"/>
              </w:rPr>
            </w:pPr>
            <w:r>
              <w:rPr>
                <w:rFonts w:ascii="Arial" w:cs="Arial" w:eastAsia="Arial" w:hAnsi="Arial"/>
                <w:sz w:val="22"/>
                <w:szCs w:val="22"/>
                <w:b w:val="1"/>
                <w:bCs w:val="1"/>
                <w:color w:val="0000EE"/>
              </w:rPr>
              <w:t>QUESTIONS AND ANSWERS ABOUT THE 2023 ANNUAL MEETING</w:t>
            </w:r>
          </w:p>
        </w:tc>
        <w:tc>
          <w:tcPr>
            <w:tcW w:w="140" w:type="dxa"/>
            <w:vAlign w:val="bottom"/>
            <w:gridSpan w:val="2"/>
          </w:tcPr>
          <w:p>
            <w:pPr>
              <w:jc w:val="right"/>
              <w:spacing w:after="0"/>
              <w:rPr>
                <w:sz w:val="20"/>
                <w:szCs w:val="20"/>
                <w:color w:val="auto"/>
              </w:rPr>
            </w:pPr>
            <w:r>
              <w:rPr>
                <w:rFonts w:ascii="Arial" w:cs="Arial" w:eastAsia="Arial" w:hAnsi="Arial"/>
                <w:sz w:val="22"/>
                <w:szCs w:val="22"/>
                <w:b w:val="1"/>
                <w:bCs w:val="1"/>
                <w:color w:val="0000EE"/>
                <w:w w:val="81"/>
              </w:rPr>
              <w:t>1</w:t>
            </w: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144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74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50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1880" w:type="dxa"/>
            <w:vAlign w:val="bottom"/>
            <w:tcBorders>
              <w:top w:val="single" w:sz="8" w:color="0000EE"/>
              <w:bottom w:val="single" w:sz="8" w:color="2D64AF"/>
            </w:tcBorders>
          </w:tcPr>
          <w:p>
            <w:pPr>
              <w:spacing w:after="0"/>
              <w:rPr>
                <w:sz w:val="7"/>
                <w:szCs w:val="7"/>
                <w:color w:val="auto"/>
              </w:rPr>
            </w:pPr>
          </w:p>
        </w:tc>
        <w:tc>
          <w:tcPr>
            <w:tcW w:w="720" w:type="dxa"/>
            <w:vAlign w:val="bottom"/>
            <w:tcBorders>
              <w:bottom w:val="single" w:sz="8" w:color="2D64AF"/>
            </w:tcBorders>
          </w:tcPr>
          <w:p>
            <w:pPr>
              <w:spacing w:after="0"/>
              <w:rPr>
                <w:sz w:val="7"/>
                <w:szCs w:val="7"/>
                <w:color w:val="auto"/>
              </w:rPr>
            </w:pPr>
          </w:p>
        </w:tc>
        <w:tc>
          <w:tcPr>
            <w:tcW w:w="1380" w:type="dxa"/>
            <w:vAlign w:val="bottom"/>
            <w:tcBorders>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209"/>
        </w:trPr>
        <w:tc>
          <w:tcPr>
            <w:tcW w:w="180" w:type="dxa"/>
            <w:vAlign w:val="bottom"/>
          </w:tcPr>
          <w:p>
            <w:pPr>
              <w:spacing w:after="0"/>
              <w:rPr>
                <w:sz w:val="18"/>
                <w:szCs w:val="18"/>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Why did I receive this proxy?</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1</w:t>
            </w:r>
          </w:p>
        </w:tc>
      </w:tr>
      <w:tr>
        <w:trPr>
          <w:trHeight w:val="223"/>
        </w:trPr>
        <w:tc>
          <w:tcPr>
            <w:tcW w:w="180" w:type="dxa"/>
            <w:vAlign w:val="bottom"/>
          </w:tcPr>
          <w:p>
            <w:pPr>
              <w:spacing w:after="0"/>
              <w:rPr>
                <w:sz w:val="19"/>
                <w:szCs w:val="19"/>
                <w:color w:val="auto"/>
              </w:rPr>
            </w:pPr>
          </w:p>
        </w:tc>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5"/>
                <w:szCs w:val="15"/>
                <w:color w:val="0000EE"/>
              </w:rPr>
              <w:t>Who is entitled to vote?</w:t>
            </w:r>
          </w:p>
        </w:tc>
        <w:tc>
          <w:tcPr>
            <w:tcW w:w="6820" w:type="dxa"/>
            <w:vAlign w:val="bottom"/>
            <w:gridSpan w:val="1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What is the quorum for the Annual Meeting?</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1</w:t>
            </w:r>
          </w:p>
        </w:tc>
      </w:tr>
      <w:tr>
        <w:trPr>
          <w:trHeight w:val="223"/>
        </w:trPr>
        <w:tc>
          <w:tcPr>
            <w:tcW w:w="180" w:type="dxa"/>
            <w:vAlign w:val="bottom"/>
          </w:tcPr>
          <w:p>
            <w:pPr>
              <w:spacing w:after="0"/>
              <w:rPr>
                <w:sz w:val="19"/>
                <w:szCs w:val="19"/>
                <w:color w:val="auto"/>
              </w:rPr>
            </w:pPr>
          </w:p>
        </w:tc>
        <w:tc>
          <w:tcPr>
            <w:tcW w:w="2980" w:type="dxa"/>
            <w:vAlign w:val="bottom"/>
            <w:tcBorders>
              <w:top w:val="single" w:sz="8" w:color="0000EE"/>
            </w:tcBorders>
            <w:gridSpan w:val="10"/>
          </w:tcPr>
          <w:p>
            <w:pPr>
              <w:spacing w:after="0"/>
              <w:rPr>
                <w:sz w:val="20"/>
                <w:szCs w:val="20"/>
                <w:color w:val="auto"/>
              </w:rPr>
            </w:pPr>
            <w:r>
              <w:rPr>
                <w:rFonts w:ascii="Arial" w:cs="Arial" w:eastAsia="Arial" w:hAnsi="Arial"/>
                <w:sz w:val="15"/>
                <w:szCs w:val="15"/>
                <w:color w:val="0000EE"/>
              </w:rPr>
              <w:t>How many votes do I have?</w:t>
            </w:r>
          </w:p>
        </w:tc>
        <w:tc>
          <w:tcPr>
            <w:tcW w:w="5780" w:type="dxa"/>
            <w:vAlign w:val="bottom"/>
            <w:gridSpan w:val="11"/>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What is the difference between a shareholder of record and a beneficial owner of shares held in street name?</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1</w:t>
            </w:r>
          </w:p>
        </w:tc>
      </w:tr>
      <w:tr>
        <w:trPr>
          <w:trHeight w:val="223"/>
        </w:trPr>
        <w:tc>
          <w:tcPr>
            <w:tcW w:w="180" w:type="dxa"/>
            <w:vAlign w:val="bottom"/>
          </w:tcPr>
          <w:p>
            <w:pPr>
              <w:spacing w:after="0"/>
              <w:rPr>
                <w:sz w:val="19"/>
                <w:szCs w:val="19"/>
                <w:color w:val="auto"/>
              </w:rPr>
            </w:pPr>
          </w:p>
        </w:tc>
        <w:tc>
          <w:tcPr>
            <w:tcW w:w="7380" w:type="dxa"/>
            <w:vAlign w:val="bottom"/>
            <w:tcBorders>
              <w:top w:val="single" w:sz="8" w:color="0000EE"/>
            </w:tcBorders>
            <w:gridSpan w:val="20"/>
          </w:tcPr>
          <w:p>
            <w:pPr>
              <w:spacing w:after="0"/>
              <w:rPr>
                <w:sz w:val="20"/>
                <w:szCs w:val="20"/>
                <w:color w:val="auto"/>
              </w:rPr>
            </w:pPr>
            <w:r>
              <w:rPr>
                <w:rFonts w:ascii="Arial" w:cs="Arial" w:eastAsia="Arial" w:hAnsi="Arial"/>
                <w:sz w:val="15"/>
                <w:szCs w:val="15"/>
                <w:color w:val="0000EE"/>
              </w:rPr>
              <w:t>If I am a shareholder of record of Common Stock, how do I vote?</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If I am a beneficial owner of shares held in street name, how do I vote?</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1</w:t>
            </w:r>
          </w:p>
        </w:tc>
      </w:tr>
      <w:tr>
        <w:trPr>
          <w:trHeight w:val="223"/>
        </w:trPr>
        <w:tc>
          <w:tcPr>
            <w:tcW w:w="180" w:type="dxa"/>
            <w:vAlign w:val="bottom"/>
          </w:tcPr>
          <w:p>
            <w:pPr>
              <w:spacing w:after="0"/>
              <w:rPr>
                <w:sz w:val="19"/>
                <w:szCs w:val="19"/>
                <w:color w:val="auto"/>
              </w:rPr>
            </w:pPr>
          </w:p>
        </w:tc>
        <w:tc>
          <w:tcPr>
            <w:tcW w:w="34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5"/>
                <w:szCs w:val="15"/>
                <w:color w:val="0000EE"/>
              </w:rPr>
              <w:t>How can I participate in the virtual Annual Meeting?</w:t>
            </w:r>
          </w:p>
        </w:tc>
        <w:tc>
          <w:tcPr>
            <w:tcW w:w="1300" w:type="dxa"/>
            <w:vAlign w:val="bottom"/>
            <w:tcBorders>
              <w:top w:val="single" w:sz="8" w:color="0000EE"/>
            </w:tcBorders>
            <w:gridSpan w:val="7"/>
          </w:tcPr>
          <w:p>
            <w:pPr>
              <w:spacing w:after="0"/>
              <w:rPr>
                <w:sz w:val="19"/>
                <w:szCs w:val="19"/>
                <w:color w:val="auto"/>
              </w:rPr>
            </w:pPr>
          </w:p>
        </w:tc>
        <w:tc>
          <w:tcPr>
            <w:tcW w:w="39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5"/>
                <w:szCs w:val="15"/>
                <w:color w:val="0000EE"/>
                <w:w w:val="95"/>
              </w:rPr>
              <w:t>2</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144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rPr>
              <w:t>What am I voting on?</w:t>
            </w:r>
          </w:p>
        </w:tc>
        <w:tc>
          <w:tcPr>
            <w:tcW w:w="7320" w:type="dxa"/>
            <w:vAlign w:val="bottom"/>
            <w:gridSpan w:val="20"/>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2</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3860" w:type="dxa"/>
            <w:vAlign w:val="bottom"/>
            <w:tcBorders>
              <w:bottom w:val="single" w:sz="8" w:color="0000EE"/>
            </w:tcBorders>
            <w:gridSpan w:val="13"/>
          </w:tcPr>
          <w:p>
            <w:pPr>
              <w:spacing w:after="0"/>
              <w:rPr>
                <w:sz w:val="20"/>
                <w:szCs w:val="20"/>
                <w:color w:val="auto"/>
              </w:rPr>
            </w:pPr>
            <w:r>
              <w:rPr>
                <w:rFonts w:ascii="Arial" w:cs="Arial" w:eastAsia="Arial" w:hAnsi="Arial"/>
                <w:sz w:val="15"/>
                <w:szCs w:val="15"/>
                <w:color w:val="0000EE"/>
              </w:rPr>
              <w:t>Will there be any other items of business on the agenda?</w:t>
            </w:r>
          </w:p>
        </w:tc>
        <w:tc>
          <w:tcPr>
            <w:tcW w:w="4900" w:type="dxa"/>
            <w:vAlign w:val="bottom"/>
            <w:gridSpan w:val="8"/>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2</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How many votes are required to act on the proposals?</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2</w:t>
            </w:r>
          </w:p>
        </w:tc>
      </w:tr>
      <w:tr>
        <w:trPr>
          <w:trHeight w:val="223"/>
        </w:trPr>
        <w:tc>
          <w:tcPr>
            <w:tcW w:w="180" w:type="dxa"/>
            <w:vAlign w:val="bottom"/>
          </w:tcPr>
          <w:p>
            <w:pPr>
              <w:spacing w:after="0"/>
              <w:rPr>
                <w:sz w:val="19"/>
                <w:szCs w:val="19"/>
                <w:color w:val="auto"/>
              </w:rPr>
            </w:pPr>
          </w:p>
        </w:tc>
        <w:tc>
          <w:tcPr>
            <w:tcW w:w="3660" w:type="dxa"/>
            <w:vAlign w:val="bottom"/>
            <w:tcBorders>
              <w:top w:val="single" w:sz="8" w:color="0000EE"/>
            </w:tcBorders>
            <w:gridSpan w:val="12"/>
          </w:tcPr>
          <w:p>
            <w:pPr>
              <w:spacing w:after="0"/>
              <w:rPr>
                <w:sz w:val="20"/>
                <w:szCs w:val="20"/>
                <w:color w:val="auto"/>
              </w:rPr>
            </w:pPr>
            <w:r>
              <w:rPr>
                <w:rFonts w:ascii="Arial" w:cs="Arial" w:eastAsia="Arial" w:hAnsi="Arial"/>
                <w:sz w:val="15"/>
                <w:szCs w:val="15"/>
                <w:color w:val="0000EE"/>
              </w:rPr>
              <w:t>How are votes counted?</w:t>
            </w:r>
          </w:p>
        </w:tc>
        <w:tc>
          <w:tcPr>
            <w:tcW w:w="5100" w:type="dxa"/>
            <w:vAlign w:val="bottom"/>
            <w:gridSpan w:val="9"/>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80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Can I change my vote after I have voted?</w:t>
            </w:r>
          </w:p>
        </w:tc>
        <w:tc>
          <w:tcPr>
            <w:tcW w:w="5960" w:type="dxa"/>
            <w:vAlign w:val="bottom"/>
            <w:gridSpan w:val="13"/>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3</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Will anyone contact me regarding this vote?</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3</w:t>
            </w:r>
          </w:p>
        </w:tc>
      </w:tr>
      <w:tr>
        <w:trPr>
          <w:trHeight w:val="223"/>
        </w:trPr>
        <w:tc>
          <w:tcPr>
            <w:tcW w:w="180" w:type="dxa"/>
            <w:vAlign w:val="bottom"/>
          </w:tcPr>
          <w:p>
            <w:pPr>
              <w:spacing w:after="0"/>
              <w:rPr>
                <w:sz w:val="19"/>
                <w:szCs w:val="19"/>
                <w:color w:val="auto"/>
              </w:rPr>
            </w:pPr>
          </w:p>
        </w:tc>
        <w:tc>
          <w:tcPr>
            <w:tcW w:w="2960" w:type="dxa"/>
            <w:vAlign w:val="bottom"/>
            <w:tcBorders>
              <w:top w:val="single" w:sz="8" w:color="0000EE"/>
            </w:tcBorders>
            <w:gridSpan w:val="9"/>
          </w:tcPr>
          <w:p>
            <w:pPr>
              <w:spacing w:after="0"/>
              <w:rPr>
                <w:sz w:val="20"/>
                <w:szCs w:val="20"/>
                <w:color w:val="auto"/>
              </w:rPr>
            </w:pPr>
            <w:r>
              <w:rPr>
                <w:rFonts w:ascii="Arial" w:cs="Arial" w:eastAsia="Arial" w:hAnsi="Arial"/>
                <w:sz w:val="15"/>
                <w:szCs w:val="15"/>
                <w:color w:val="0000EE"/>
              </w:rPr>
              <w:t>Who has paid for this proxy solicitation?</w:t>
            </w:r>
          </w:p>
        </w:tc>
        <w:tc>
          <w:tcPr>
            <w:tcW w:w="5800" w:type="dxa"/>
            <w:vAlign w:val="bottom"/>
            <w:gridSpan w:val="1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620" w:type="dxa"/>
            <w:vAlign w:val="bottom"/>
            <w:tcBorders>
              <w:bottom w:val="single" w:sz="8" w:color="0000EE"/>
            </w:tcBorders>
            <w:gridSpan w:val="17"/>
          </w:tcPr>
          <w:p>
            <w:pPr>
              <w:spacing w:after="0"/>
              <w:rPr>
                <w:sz w:val="20"/>
                <w:szCs w:val="20"/>
                <w:color w:val="auto"/>
              </w:rPr>
            </w:pPr>
            <w:r>
              <w:rPr>
                <w:rFonts w:ascii="Arial" w:cs="Arial" w:eastAsia="Arial" w:hAnsi="Arial"/>
                <w:sz w:val="15"/>
                <w:szCs w:val="15"/>
                <w:color w:val="0000EE"/>
              </w:rPr>
              <w:t>How can I obtain a copy of this year’s Annual Report on Form 10-K?</w:t>
            </w:r>
          </w:p>
        </w:tc>
        <w:tc>
          <w:tcPr>
            <w:tcW w:w="414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3</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388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rPr>
              <w:t>What does it mean if I receive more than one proxy card?</w:t>
            </w:r>
          </w:p>
        </w:tc>
        <w:tc>
          <w:tcPr>
            <w:tcW w:w="4880" w:type="dxa"/>
            <w:vAlign w:val="bottom"/>
            <w:gridSpan w:val="7"/>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3</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270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When was this proxy statement mailed?</w:t>
            </w:r>
          </w:p>
        </w:tc>
        <w:tc>
          <w:tcPr>
            <w:tcW w:w="6060" w:type="dxa"/>
            <w:vAlign w:val="bottom"/>
            <w:gridSpan w:val="14"/>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3</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60" w:type="dxa"/>
            <w:vAlign w:val="bottom"/>
            <w:gridSpan w:val="21"/>
          </w:tcPr>
          <w:p>
            <w:pPr>
              <w:spacing w:after="0"/>
              <w:rPr>
                <w:sz w:val="20"/>
                <w:szCs w:val="20"/>
                <w:color w:val="auto"/>
              </w:rPr>
            </w:pPr>
            <w:r>
              <w:rPr>
                <w:rFonts w:ascii="Arial" w:cs="Arial" w:eastAsia="Arial" w:hAnsi="Arial"/>
                <w:sz w:val="15"/>
                <w:szCs w:val="15"/>
                <w:color w:val="0000EE"/>
              </w:rPr>
              <w:t>Can I find additional information on the Company’s website?</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EE"/>
              </w:rPr>
              <w:t>3</w:t>
            </w: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8920" w:type="dxa"/>
            <w:vAlign w:val="bottom"/>
            <w:gridSpan w:val="15"/>
          </w:tcPr>
          <w:p>
            <w:pPr>
              <w:spacing w:after="0"/>
              <w:rPr>
                <w:sz w:val="20"/>
                <w:szCs w:val="20"/>
                <w:color w:val="auto"/>
              </w:rPr>
            </w:pPr>
            <w:r>
              <w:rPr>
                <w:rFonts w:ascii="Arial" w:cs="Arial" w:eastAsia="Arial" w:hAnsi="Arial"/>
                <w:sz w:val="22"/>
                <w:szCs w:val="22"/>
                <w:b w:val="1"/>
                <w:bCs w:val="1"/>
                <w:color w:val="0000EE"/>
              </w:rPr>
              <w:t>CORPORATE GOVERNANCE AND BOARD MATTERS</w:t>
            </w:r>
          </w:p>
        </w:tc>
        <w:tc>
          <w:tcPr>
            <w:tcW w:w="140" w:type="dxa"/>
            <w:vAlign w:val="bottom"/>
            <w:gridSpan w:val="3"/>
          </w:tcPr>
          <w:p>
            <w:pPr>
              <w:jc w:val="center"/>
              <w:spacing w:after="0"/>
              <w:rPr>
                <w:sz w:val="20"/>
                <w:szCs w:val="20"/>
                <w:color w:val="auto"/>
              </w:rPr>
            </w:pPr>
            <w:r>
              <w:rPr>
                <w:rFonts w:ascii="Arial" w:cs="Arial" w:eastAsia="Arial" w:hAnsi="Arial"/>
                <w:sz w:val="22"/>
                <w:szCs w:val="22"/>
                <w:b w:val="1"/>
                <w:bCs w:val="1"/>
                <w:color w:val="0000EE"/>
                <w:w w:val="97"/>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98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880" w:type="dxa"/>
            <w:vAlign w:val="bottom"/>
            <w:tcBorders>
              <w:top w:val="single" w:sz="8" w:color="0000EE"/>
              <w:bottom w:val="single" w:sz="8" w:color="2D64AF"/>
            </w:tcBorders>
          </w:tcPr>
          <w:p>
            <w:pPr>
              <w:spacing w:after="0"/>
              <w:rPr>
                <w:sz w:val="7"/>
                <w:szCs w:val="7"/>
                <w:color w:val="auto"/>
              </w:rPr>
            </w:pPr>
          </w:p>
        </w:tc>
        <w:tc>
          <w:tcPr>
            <w:tcW w:w="28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34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1120" w:type="dxa"/>
            <w:vAlign w:val="bottom"/>
            <w:tcBorders>
              <w:top w:val="single" w:sz="8" w:color="0000EE"/>
              <w:bottom w:val="single" w:sz="8" w:color="2D64AF"/>
            </w:tcBorders>
          </w:tcPr>
          <w:p>
            <w:pPr>
              <w:spacing w:after="0"/>
              <w:rPr>
                <w:sz w:val="7"/>
                <w:szCs w:val="7"/>
                <w:color w:val="auto"/>
              </w:rPr>
            </w:pPr>
          </w:p>
        </w:tc>
        <w:tc>
          <w:tcPr>
            <w:tcW w:w="3480" w:type="dxa"/>
            <w:vAlign w:val="bottom"/>
            <w:tcBorders>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209"/>
        </w:trPr>
        <w:tc>
          <w:tcPr>
            <w:tcW w:w="180" w:type="dxa"/>
            <w:vAlign w:val="bottom"/>
          </w:tcPr>
          <w:p>
            <w:pPr>
              <w:spacing w:after="0"/>
              <w:rPr>
                <w:sz w:val="18"/>
                <w:szCs w:val="18"/>
                <w:color w:val="auto"/>
              </w:rPr>
            </w:pPr>
          </w:p>
        </w:tc>
        <w:tc>
          <w:tcPr>
            <w:tcW w:w="348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rPr>
              <w:t>Director Qualifications and Biographical Information</w:t>
            </w:r>
          </w:p>
        </w:tc>
        <w:tc>
          <w:tcPr>
            <w:tcW w:w="5260" w:type="dxa"/>
            <w:vAlign w:val="bottom"/>
            <w:gridSpan w:val="4"/>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4</w:t>
            </w:r>
          </w:p>
        </w:tc>
        <w:tc>
          <w:tcPr>
            <w:tcW w:w="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rPr>
              <w:t>Board Diversity</w:t>
            </w:r>
          </w:p>
        </w:tc>
        <w:tc>
          <w:tcPr>
            <w:tcW w:w="7700" w:type="dxa"/>
            <w:vAlign w:val="bottom"/>
            <w:gridSpan w:val="12"/>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7</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rPr>
              <w:t>Independent Directors</w:t>
            </w:r>
          </w:p>
        </w:tc>
        <w:tc>
          <w:tcPr>
            <w:tcW w:w="7240" w:type="dxa"/>
            <w:vAlign w:val="bottom"/>
            <w:gridSpan w:val="11"/>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7</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40" w:type="dxa"/>
            <w:vAlign w:val="bottom"/>
            <w:gridSpan w:val="14"/>
          </w:tcPr>
          <w:p>
            <w:pPr>
              <w:spacing w:after="0"/>
              <w:rPr>
                <w:sz w:val="20"/>
                <w:szCs w:val="20"/>
                <w:color w:val="auto"/>
              </w:rPr>
            </w:pPr>
            <w:r>
              <w:rPr>
                <w:rFonts w:ascii="Arial" w:cs="Arial" w:eastAsia="Arial" w:hAnsi="Arial"/>
                <w:sz w:val="15"/>
                <w:szCs w:val="15"/>
                <w:color w:val="0000EE"/>
              </w:rPr>
              <w:t>Board Leadership Structure</w:t>
            </w:r>
          </w:p>
        </w:tc>
        <w:tc>
          <w:tcPr>
            <w:tcW w:w="160" w:type="dxa"/>
            <w:vAlign w:val="bottom"/>
            <w:gridSpan w:val="4"/>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96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Shareholder Communication with the Board</w:t>
            </w:r>
          </w:p>
        </w:tc>
        <w:tc>
          <w:tcPr>
            <w:tcW w:w="5780" w:type="dxa"/>
            <w:vAlign w:val="bottom"/>
            <w:gridSpan w:val="6"/>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8</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208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Committees and Meeting Data</w:t>
            </w:r>
          </w:p>
        </w:tc>
        <w:tc>
          <w:tcPr>
            <w:tcW w:w="6660" w:type="dxa"/>
            <w:vAlign w:val="bottom"/>
            <w:gridSpan w:val="7"/>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8</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40" w:type="dxa"/>
            <w:vAlign w:val="bottom"/>
            <w:gridSpan w:val="14"/>
          </w:tcPr>
          <w:p>
            <w:pPr>
              <w:spacing w:after="0"/>
              <w:rPr>
                <w:sz w:val="20"/>
                <w:szCs w:val="20"/>
                <w:color w:val="auto"/>
              </w:rPr>
            </w:pPr>
            <w:r>
              <w:rPr>
                <w:rFonts w:ascii="Arial" w:cs="Arial" w:eastAsia="Arial" w:hAnsi="Arial"/>
                <w:sz w:val="15"/>
                <w:szCs w:val="15"/>
                <w:color w:val="0000EE"/>
              </w:rPr>
              <w:t>Risk Oversight</w:t>
            </w:r>
          </w:p>
        </w:tc>
        <w:tc>
          <w:tcPr>
            <w:tcW w:w="160" w:type="dxa"/>
            <w:vAlign w:val="bottom"/>
            <w:gridSpan w:val="4"/>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82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rPr>
              <w:t>Environmental, Social and Governance (“ESG”) Matters.</w:t>
            </w:r>
          </w:p>
        </w:tc>
        <w:tc>
          <w:tcPr>
            <w:tcW w:w="4920" w:type="dxa"/>
            <w:vAlign w:val="bottom"/>
            <w:gridSpan w:val="3"/>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9</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160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rPr>
              <w:t>Nominating Procedures</w:t>
            </w:r>
          </w:p>
        </w:tc>
        <w:tc>
          <w:tcPr>
            <w:tcW w:w="7140" w:type="dxa"/>
            <w:vAlign w:val="bottom"/>
            <w:gridSpan w:val="10"/>
          </w:tcPr>
          <w:p>
            <w:pPr>
              <w:spacing w:after="0"/>
              <w:rPr>
                <w:sz w:val="19"/>
                <w:szCs w:val="19"/>
                <w:color w:val="auto"/>
              </w:rPr>
            </w:pPr>
          </w:p>
        </w:tc>
        <w:tc>
          <w:tcPr>
            <w:tcW w:w="1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5"/>
                <w:szCs w:val="15"/>
                <w:color w:val="0000EE"/>
                <w:w w:val="95"/>
              </w:rPr>
              <w:t>11</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20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rPr>
              <w:t>Board Attendance at Meetings</w:t>
            </w:r>
          </w:p>
        </w:tc>
        <w:tc>
          <w:tcPr>
            <w:tcW w:w="6680" w:type="dxa"/>
            <w:vAlign w:val="bottom"/>
            <w:gridSpan w:val="8"/>
          </w:tcPr>
          <w:p>
            <w:pPr>
              <w:spacing w:after="0"/>
              <w:rPr>
                <w:sz w:val="19"/>
                <w:szCs w:val="19"/>
                <w:color w:val="auto"/>
              </w:rPr>
            </w:pPr>
          </w:p>
        </w:tc>
        <w:tc>
          <w:tcPr>
            <w:tcW w:w="1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5"/>
                <w:szCs w:val="15"/>
                <w:color w:val="0000EE"/>
                <w:w w:val="95"/>
              </w:rPr>
              <w:t>11</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740" w:type="dxa"/>
            <w:vAlign w:val="bottom"/>
            <w:gridSpan w:val="14"/>
          </w:tcPr>
          <w:p>
            <w:pPr>
              <w:spacing w:after="0"/>
              <w:rPr>
                <w:sz w:val="20"/>
                <w:szCs w:val="20"/>
                <w:color w:val="auto"/>
              </w:rPr>
            </w:pPr>
            <w:r>
              <w:rPr>
                <w:rFonts w:ascii="Arial" w:cs="Arial" w:eastAsia="Arial" w:hAnsi="Arial"/>
                <w:sz w:val="15"/>
                <w:szCs w:val="15"/>
                <w:color w:val="0000EE"/>
              </w:rPr>
              <w:t>Compensation Committee Interlocks and Insider Participation</w:t>
            </w:r>
          </w:p>
        </w:tc>
        <w:tc>
          <w:tcPr>
            <w:tcW w:w="160" w:type="dxa"/>
            <w:vAlign w:val="bottom"/>
            <w:gridSpan w:val="4"/>
          </w:tcPr>
          <w:p>
            <w:pPr>
              <w:jc w:val="center"/>
              <w:spacing w:after="0"/>
              <w:rPr>
                <w:sz w:val="20"/>
                <w:szCs w:val="20"/>
                <w:color w:val="auto"/>
              </w:rPr>
            </w:pPr>
            <w:r>
              <w:rPr>
                <w:rFonts w:ascii="Arial" w:cs="Arial" w:eastAsia="Arial" w:hAnsi="Arial"/>
                <w:sz w:val="15"/>
                <w:szCs w:val="15"/>
                <w:color w:val="0000EE"/>
                <w:w w:val="95"/>
              </w:rPr>
              <w:t>11</w:t>
            </w:r>
          </w:p>
        </w:tc>
        <w:tc>
          <w:tcPr>
            <w:tcW w:w="2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32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5"/>
                <w:szCs w:val="15"/>
                <w:color w:val="0000EE"/>
              </w:rPr>
              <w:t>Ownership Guidelines for Directors and Officers</w:t>
            </w:r>
          </w:p>
        </w:tc>
        <w:tc>
          <w:tcPr>
            <w:tcW w:w="900" w:type="dxa"/>
            <w:vAlign w:val="bottom"/>
            <w:tcBorders>
              <w:top w:val="single" w:sz="8" w:color="0000EE"/>
            </w:tcBorders>
            <w:gridSpan w:val="3"/>
          </w:tcPr>
          <w:p>
            <w:pPr>
              <w:spacing w:after="0"/>
              <w:rPr>
                <w:sz w:val="19"/>
                <w:szCs w:val="19"/>
                <w:color w:val="auto"/>
              </w:rPr>
            </w:pPr>
          </w:p>
        </w:tc>
        <w:tc>
          <w:tcPr>
            <w:tcW w:w="4600" w:type="dxa"/>
            <w:vAlign w:val="bottom"/>
            <w:gridSpan w:val="2"/>
          </w:tcPr>
          <w:p>
            <w:pPr>
              <w:spacing w:after="0"/>
              <w:rPr>
                <w:sz w:val="19"/>
                <w:szCs w:val="19"/>
                <w:color w:val="auto"/>
              </w:rPr>
            </w:pPr>
          </w:p>
        </w:tc>
        <w:tc>
          <w:tcPr>
            <w:tcW w:w="160" w:type="dxa"/>
            <w:vAlign w:val="bottom"/>
            <w:tcBorders>
              <w:top w:val="single" w:sz="8" w:color="0000EE"/>
              <w:bottom w:val="single" w:sz="8" w:color="0000EE"/>
            </w:tcBorders>
            <w:gridSpan w:val="4"/>
          </w:tcPr>
          <w:p>
            <w:pPr>
              <w:jc w:val="center"/>
              <w:spacing w:after="0"/>
              <w:rPr>
                <w:sz w:val="20"/>
                <w:szCs w:val="20"/>
                <w:color w:val="auto"/>
              </w:rPr>
            </w:pPr>
            <w:r>
              <w:rPr>
                <w:rFonts w:ascii="Arial" w:cs="Arial" w:eastAsia="Arial" w:hAnsi="Arial"/>
                <w:sz w:val="15"/>
                <w:szCs w:val="15"/>
                <w:color w:val="0000EE"/>
                <w:w w:val="95"/>
              </w:rPr>
              <w:t>11</w:t>
            </w:r>
          </w:p>
        </w:tc>
        <w:tc>
          <w:tcPr>
            <w:tcW w:w="20" w:type="dxa"/>
            <w:vAlign w:val="bottom"/>
          </w:tcPr>
          <w:p>
            <w:pPr>
              <w:spacing w:after="0"/>
              <w:rPr>
                <w:sz w:val="19"/>
                <w:szCs w:val="19"/>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8840" w:type="dxa"/>
            <w:vAlign w:val="bottom"/>
            <w:gridSpan w:val="15"/>
          </w:tcPr>
          <w:p>
            <w:pPr>
              <w:spacing w:after="0"/>
              <w:rPr>
                <w:sz w:val="20"/>
                <w:szCs w:val="20"/>
                <w:color w:val="auto"/>
              </w:rPr>
            </w:pPr>
            <w:r>
              <w:rPr>
                <w:rFonts w:ascii="Arial" w:cs="Arial" w:eastAsia="Arial" w:hAnsi="Arial"/>
                <w:sz w:val="22"/>
                <w:szCs w:val="22"/>
                <w:b w:val="1"/>
                <w:bCs w:val="1"/>
                <w:color w:val="0000EE"/>
              </w:rPr>
              <w:t>PROPOSALS TO BE VOTED ON</w:t>
            </w:r>
          </w:p>
        </w:tc>
        <w:tc>
          <w:tcPr>
            <w:tcW w:w="240" w:type="dxa"/>
            <w:vAlign w:val="bottom"/>
            <w:gridSpan w:val="2"/>
          </w:tcPr>
          <w:p>
            <w:pPr>
              <w:jc w:val="right"/>
              <w:spacing w:after="0"/>
              <w:rPr>
                <w:sz w:val="20"/>
                <w:szCs w:val="20"/>
                <w:color w:val="auto"/>
              </w:rPr>
            </w:pPr>
            <w:r>
              <w:rPr>
                <w:rFonts w:ascii="Arial" w:cs="Arial" w:eastAsia="Arial" w:hAnsi="Arial"/>
                <w:sz w:val="22"/>
                <w:szCs w:val="22"/>
                <w:b w:val="1"/>
                <w:bCs w:val="1"/>
                <w:color w:val="0000EE"/>
                <w:w w:val="89"/>
              </w:rPr>
              <w:t>12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740" w:type="dxa"/>
            <w:vAlign w:val="bottom"/>
            <w:tcBorders>
              <w:top w:val="single" w:sz="8" w:color="0000EE"/>
              <w:bottom w:val="single" w:sz="8" w:color="2D64AF"/>
            </w:tcBorders>
          </w:tcPr>
          <w:p>
            <w:pPr>
              <w:spacing w:after="0"/>
              <w:rPr>
                <w:sz w:val="7"/>
                <w:szCs w:val="7"/>
                <w:color w:val="auto"/>
              </w:rPr>
            </w:pPr>
          </w:p>
        </w:tc>
        <w:tc>
          <w:tcPr>
            <w:tcW w:w="134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200" w:type="dxa"/>
            <w:vAlign w:val="bottom"/>
            <w:tcBorders>
              <w:bottom w:val="single" w:sz="8" w:color="2D64AF"/>
            </w:tcBorders>
          </w:tcPr>
          <w:p>
            <w:pPr>
              <w:spacing w:after="0"/>
              <w:rPr>
                <w:sz w:val="7"/>
                <w:szCs w:val="7"/>
                <w:color w:val="auto"/>
              </w:rPr>
            </w:pPr>
          </w:p>
        </w:tc>
        <w:tc>
          <w:tcPr>
            <w:tcW w:w="260" w:type="dxa"/>
            <w:vAlign w:val="bottom"/>
            <w:tcBorders>
              <w:bottom w:val="single" w:sz="8" w:color="2D64AF"/>
            </w:tcBorders>
          </w:tcPr>
          <w:p>
            <w:pPr>
              <w:spacing w:after="0"/>
              <w:rPr>
                <w:sz w:val="7"/>
                <w:szCs w:val="7"/>
                <w:color w:val="auto"/>
              </w:rPr>
            </w:pPr>
          </w:p>
        </w:tc>
        <w:tc>
          <w:tcPr>
            <w:tcW w:w="1180" w:type="dxa"/>
            <w:vAlign w:val="bottom"/>
            <w:tcBorders>
              <w:bottom w:val="single" w:sz="8" w:color="2D64AF"/>
            </w:tcBorders>
          </w:tcPr>
          <w:p>
            <w:pPr>
              <w:spacing w:after="0"/>
              <w:rPr>
                <w:sz w:val="7"/>
                <w:szCs w:val="7"/>
                <w:color w:val="auto"/>
              </w:rPr>
            </w:pPr>
          </w:p>
        </w:tc>
        <w:tc>
          <w:tcPr>
            <w:tcW w:w="1320" w:type="dxa"/>
            <w:vAlign w:val="bottom"/>
            <w:tcBorders>
              <w:bottom w:val="single" w:sz="8" w:color="2D64AF"/>
            </w:tcBorders>
          </w:tcPr>
          <w:p>
            <w:pPr>
              <w:spacing w:after="0"/>
              <w:rPr>
                <w:sz w:val="7"/>
                <w:szCs w:val="7"/>
                <w:color w:val="auto"/>
              </w:rPr>
            </w:pPr>
          </w:p>
        </w:tc>
        <w:tc>
          <w:tcPr>
            <w:tcW w:w="212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1</w:t>
            </w:r>
          </w:p>
        </w:tc>
        <w:tc>
          <w:tcPr>
            <w:tcW w:w="7920" w:type="dxa"/>
            <w:vAlign w:val="bottom"/>
            <w:gridSpan w:val="13"/>
          </w:tcPr>
          <w:p>
            <w:pPr>
              <w:ind w:left="20"/>
              <w:spacing w:after="0"/>
              <w:rPr>
                <w:sz w:val="20"/>
                <w:szCs w:val="20"/>
                <w:color w:val="auto"/>
              </w:rPr>
            </w:pPr>
            <w:r>
              <w:rPr>
                <w:rFonts w:ascii="Arial" w:cs="Arial" w:eastAsia="Arial" w:hAnsi="Arial"/>
                <w:sz w:val="15"/>
                <w:szCs w:val="15"/>
                <w:color w:val="0000EE"/>
              </w:rPr>
              <w:t>– Election of Directors</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rPr>
              <w:t>Proposal 2</w:t>
            </w:r>
          </w:p>
        </w:tc>
        <w:tc>
          <w:tcPr>
            <w:tcW w:w="3040" w:type="dxa"/>
            <w:vAlign w:val="bottom"/>
            <w:tcBorders>
              <w:bottom w:val="single" w:sz="8" w:color="0000EE"/>
            </w:tcBorders>
            <w:gridSpan w:val="9"/>
          </w:tcPr>
          <w:p>
            <w:pPr>
              <w:ind w:left="20"/>
              <w:spacing w:after="0"/>
              <w:rPr>
                <w:sz w:val="20"/>
                <w:szCs w:val="20"/>
                <w:color w:val="auto"/>
              </w:rPr>
            </w:pPr>
            <w:r>
              <w:rPr>
                <w:rFonts w:ascii="Arial" w:cs="Arial" w:eastAsia="Arial" w:hAnsi="Arial"/>
                <w:sz w:val="15"/>
                <w:szCs w:val="15"/>
                <w:color w:val="0000EE"/>
              </w:rPr>
              <w:t>– Advisory Vote on Executive Compensation</w:t>
            </w:r>
          </w:p>
        </w:tc>
        <w:tc>
          <w:tcPr>
            <w:tcW w:w="48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12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3</w:t>
            </w:r>
          </w:p>
        </w:tc>
        <w:tc>
          <w:tcPr>
            <w:tcW w:w="7920" w:type="dxa"/>
            <w:vAlign w:val="bottom"/>
            <w:gridSpan w:val="13"/>
          </w:tcPr>
          <w:p>
            <w:pPr>
              <w:ind w:left="20"/>
              <w:spacing w:after="0"/>
              <w:rPr>
                <w:sz w:val="20"/>
                <w:szCs w:val="20"/>
                <w:color w:val="auto"/>
              </w:rPr>
            </w:pPr>
            <w:r>
              <w:rPr>
                <w:rFonts w:ascii="Arial" w:cs="Arial" w:eastAsia="Arial" w:hAnsi="Arial"/>
                <w:sz w:val="15"/>
                <w:szCs w:val="15"/>
                <w:color w:val="0000EE"/>
              </w:rPr>
              <w:t>– Advisory Vote on the Ratification of Independent Registered Public Accounting Firm</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13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840" w:type="dxa"/>
            <w:vAlign w:val="bottom"/>
            <w:gridSpan w:val="15"/>
          </w:tcPr>
          <w:p>
            <w:pPr>
              <w:spacing w:after="0"/>
              <w:rPr>
                <w:sz w:val="20"/>
                <w:szCs w:val="20"/>
                <w:color w:val="auto"/>
              </w:rPr>
            </w:pPr>
            <w:r>
              <w:rPr>
                <w:rFonts w:ascii="Arial" w:cs="Arial" w:eastAsia="Arial" w:hAnsi="Arial"/>
                <w:sz w:val="22"/>
                <w:szCs w:val="22"/>
                <w:b w:val="1"/>
                <w:bCs w:val="1"/>
                <w:color w:val="0000EE"/>
              </w:rPr>
              <w:t>EXECUTIVE OFFICERS</w:t>
            </w:r>
          </w:p>
        </w:tc>
        <w:tc>
          <w:tcPr>
            <w:tcW w:w="240" w:type="dxa"/>
            <w:vAlign w:val="bottom"/>
            <w:gridSpan w:val="2"/>
          </w:tcPr>
          <w:p>
            <w:pPr>
              <w:jc w:val="right"/>
              <w:spacing w:after="0"/>
              <w:rPr>
                <w:sz w:val="20"/>
                <w:szCs w:val="20"/>
                <w:color w:val="auto"/>
              </w:rPr>
            </w:pPr>
            <w:r>
              <w:rPr>
                <w:rFonts w:ascii="Arial" w:cs="Arial" w:eastAsia="Arial" w:hAnsi="Arial"/>
                <w:sz w:val="22"/>
                <w:szCs w:val="22"/>
                <w:b w:val="1"/>
                <w:bCs w:val="1"/>
                <w:color w:val="0000EE"/>
                <w:w w:val="89"/>
              </w:rPr>
              <w:t>14</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740" w:type="dxa"/>
            <w:vAlign w:val="bottom"/>
            <w:tcBorders>
              <w:top w:val="single" w:sz="8" w:color="0000EE"/>
              <w:bottom w:val="single" w:sz="8" w:color="2D64AF"/>
            </w:tcBorders>
          </w:tcPr>
          <w:p>
            <w:pPr>
              <w:spacing w:after="0"/>
              <w:rPr>
                <w:sz w:val="7"/>
                <w:szCs w:val="7"/>
                <w:color w:val="auto"/>
              </w:rPr>
            </w:pPr>
          </w:p>
        </w:tc>
        <w:tc>
          <w:tcPr>
            <w:tcW w:w="134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240" w:type="dxa"/>
            <w:vAlign w:val="bottom"/>
            <w:tcBorders>
              <w:bottom w:val="single" w:sz="8" w:color="2D64AF"/>
            </w:tcBorders>
          </w:tcPr>
          <w:p>
            <w:pPr>
              <w:spacing w:after="0"/>
              <w:rPr>
                <w:sz w:val="7"/>
                <w:szCs w:val="7"/>
                <w:color w:val="auto"/>
              </w:rPr>
            </w:pPr>
          </w:p>
        </w:tc>
        <w:tc>
          <w:tcPr>
            <w:tcW w:w="160" w:type="dxa"/>
            <w:vAlign w:val="bottom"/>
            <w:tcBorders>
              <w:bottom w:val="single" w:sz="8" w:color="2D64AF"/>
            </w:tcBorders>
          </w:tcPr>
          <w:p>
            <w:pPr>
              <w:spacing w:after="0"/>
              <w:rPr>
                <w:sz w:val="7"/>
                <w:szCs w:val="7"/>
                <w:color w:val="auto"/>
              </w:rPr>
            </w:pPr>
          </w:p>
        </w:tc>
        <w:tc>
          <w:tcPr>
            <w:tcW w:w="4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200" w:type="dxa"/>
            <w:vAlign w:val="bottom"/>
            <w:tcBorders>
              <w:bottom w:val="single" w:sz="8" w:color="2D64AF"/>
            </w:tcBorders>
          </w:tcPr>
          <w:p>
            <w:pPr>
              <w:spacing w:after="0"/>
              <w:rPr>
                <w:sz w:val="7"/>
                <w:szCs w:val="7"/>
                <w:color w:val="auto"/>
              </w:rPr>
            </w:pPr>
          </w:p>
        </w:tc>
        <w:tc>
          <w:tcPr>
            <w:tcW w:w="260" w:type="dxa"/>
            <w:vAlign w:val="bottom"/>
            <w:tcBorders>
              <w:bottom w:val="single" w:sz="8" w:color="2D64AF"/>
            </w:tcBorders>
          </w:tcPr>
          <w:p>
            <w:pPr>
              <w:spacing w:after="0"/>
              <w:rPr>
                <w:sz w:val="7"/>
                <w:szCs w:val="7"/>
                <w:color w:val="auto"/>
              </w:rPr>
            </w:pPr>
          </w:p>
        </w:tc>
        <w:tc>
          <w:tcPr>
            <w:tcW w:w="1180" w:type="dxa"/>
            <w:vAlign w:val="bottom"/>
            <w:tcBorders>
              <w:bottom w:val="single" w:sz="8" w:color="2D64AF"/>
            </w:tcBorders>
          </w:tcPr>
          <w:p>
            <w:pPr>
              <w:spacing w:after="0"/>
              <w:rPr>
                <w:sz w:val="7"/>
                <w:szCs w:val="7"/>
                <w:color w:val="auto"/>
              </w:rPr>
            </w:pPr>
          </w:p>
        </w:tc>
        <w:tc>
          <w:tcPr>
            <w:tcW w:w="1320" w:type="dxa"/>
            <w:vAlign w:val="bottom"/>
            <w:tcBorders>
              <w:bottom w:val="single" w:sz="8" w:color="2D64AF"/>
            </w:tcBorders>
          </w:tcPr>
          <w:p>
            <w:pPr>
              <w:spacing w:after="0"/>
              <w:rPr>
                <w:sz w:val="7"/>
                <w:szCs w:val="7"/>
                <w:color w:val="auto"/>
              </w:rPr>
            </w:pPr>
          </w:p>
        </w:tc>
        <w:tc>
          <w:tcPr>
            <w:tcW w:w="212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80"/>
        </w:trPr>
        <w:tc>
          <w:tcPr>
            <w:tcW w:w="960" w:type="dxa"/>
            <w:vAlign w:val="bottom"/>
          </w:tcPr>
          <w:p>
            <w:pPr>
              <w:spacing w:after="0"/>
              <w:rPr>
                <w:sz w:val="24"/>
                <w:szCs w:val="24"/>
                <w:color w:val="auto"/>
              </w:rPr>
            </w:pPr>
          </w:p>
        </w:tc>
        <w:tc>
          <w:tcPr>
            <w:tcW w:w="8840" w:type="dxa"/>
            <w:vAlign w:val="bottom"/>
            <w:gridSpan w:val="15"/>
          </w:tcPr>
          <w:p>
            <w:pPr>
              <w:spacing w:after="0"/>
              <w:rPr>
                <w:sz w:val="20"/>
                <w:szCs w:val="20"/>
                <w:color w:val="auto"/>
              </w:rPr>
            </w:pPr>
            <w:r>
              <w:rPr>
                <w:rFonts w:ascii="Arial" w:cs="Arial" w:eastAsia="Arial" w:hAnsi="Arial"/>
                <w:sz w:val="22"/>
                <w:szCs w:val="22"/>
                <w:b w:val="1"/>
                <w:bCs w:val="1"/>
                <w:color w:val="0000EE"/>
              </w:rPr>
              <w:t>COMPENSATION OF NAMED EXECUTIVE OFFICERS</w:t>
            </w:r>
          </w:p>
        </w:tc>
        <w:tc>
          <w:tcPr>
            <w:tcW w:w="240" w:type="dxa"/>
            <w:vAlign w:val="bottom"/>
            <w:gridSpan w:val="2"/>
          </w:tcPr>
          <w:p>
            <w:pPr>
              <w:jc w:val="right"/>
              <w:spacing w:after="0"/>
              <w:rPr>
                <w:sz w:val="20"/>
                <w:szCs w:val="20"/>
                <w:color w:val="auto"/>
              </w:rPr>
            </w:pPr>
            <w:r>
              <w:rPr>
                <w:rFonts w:ascii="Arial" w:cs="Arial" w:eastAsia="Arial" w:hAnsi="Arial"/>
                <w:sz w:val="22"/>
                <w:szCs w:val="22"/>
                <w:b w:val="1"/>
                <w:bCs w:val="1"/>
                <w:color w:val="0000EE"/>
                <w:w w:val="89"/>
              </w:rPr>
              <w:t>15</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740" w:type="dxa"/>
            <w:vAlign w:val="bottom"/>
            <w:tcBorders>
              <w:top w:val="single" w:sz="8" w:color="0000EE"/>
              <w:bottom w:val="single" w:sz="8" w:color="2D64AF"/>
            </w:tcBorders>
          </w:tcPr>
          <w:p>
            <w:pPr>
              <w:spacing w:after="0"/>
              <w:rPr>
                <w:sz w:val="7"/>
                <w:szCs w:val="7"/>
                <w:color w:val="auto"/>
              </w:rPr>
            </w:pPr>
          </w:p>
        </w:tc>
        <w:tc>
          <w:tcPr>
            <w:tcW w:w="134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180" w:type="dxa"/>
            <w:vAlign w:val="bottom"/>
            <w:tcBorders>
              <w:top w:val="single" w:sz="8" w:color="0000EE"/>
              <w:bottom w:val="single" w:sz="8" w:color="2D64AF"/>
            </w:tcBorders>
          </w:tcPr>
          <w:p>
            <w:pPr>
              <w:spacing w:after="0"/>
              <w:rPr>
                <w:sz w:val="7"/>
                <w:szCs w:val="7"/>
                <w:color w:val="auto"/>
              </w:rPr>
            </w:pPr>
          </w:p>
        </w:tc>
        <w:tc>
          <w:tcPr>
            <w:tcW w:w="1320" w:type="dxa"/>
            <w:vAlign w:val="bottom"/>
            <w:tcBorders>
              <w:bottom w:val="single" w:sz="8" w:color="2D64AF"/>
            </w:tcBorders>
          </w:tcPr>
          <w:p>
            <w:pPr>
              <w:spacing w:after="0"/>
              <w:rPr>
                <w:sz w:val="7"/>
                <w:szCs w:val="7"/>
                <w:color w:val="auto"/>
              </w:rPr>
            </w:pPr>
          </w:p>
        </w:tc>
        <w:tc>
          <w:tcPr>
            <w:tcW w:w="212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0000EE"/>
              </w:rPr>
              <w:t>Compensation Discussion and Analysis</w:t>
            </w:r>
          </w:p>
        </w:tc>
        <w:tc>
          <w:tcPr>
            <w:tcW w:w="5980" w:type="dxa"/>
            <w:vAlign w:val="bottom"/>
            <w:gridSpan w:val="9"/>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15</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5"/>
                <w:szCs w:val="15"/>
                <w:color w:val="0000EE"/>
              </w:rPr>
              <w:t>Director Compensation in 2022</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23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5"/>
                <w:szCs w:val="15"/>
                <w:color w:val="0000EE"/>
              </w:rPr>
              <w:t>Employment Agreements and Related Arrangements</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23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5"/>
                <w:szCs w:val="15"/>
                <w:color w:val="0000EE"/>
              </w:rPr>
              <w:t>Report of the Human Capital and Compensation Committee</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24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tcBorders>
              <w:top w:val="single" w:sz="8" w:color="0000EE"/>
            </w:tcBorders>
            <w:gridSpan w:val="11"/>
          </w:tcPr>
          <w:p>
            <w:pPr>
              <w:spacing w:after="0"/>
              <w:rPr>
                <w:sz w:val="20"/>
                <w:szCs w:val="20"/>
                <w:color w:val="auto"/>
              </w:rPr>
            </w:pPr>
            <w:r>
              <w:rPr>
                <w:rFonts w:ascii="Arial" w:cs="Arial" w:eastAsia="Arial" w:hAnsi="Arial"/>
                <w:sz w:val="15"/>
                <w:szCs w:val="15"/>
                <w:color w:val="0000EE"/>
              </w:rPr>
              <w:t>Summary Compensation Table</w:t>
            </w:r>
          </w:p>
        </w:tc>
        <w:tc>
          <w:tcPr>
            <w:tcW w:w="462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5"/>
              </w:rPr>
              <w:t>25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rPr>
              <w:t>Grants of Plan-Based Awards in 2022</w:t>
            </w:r>
          </w:p>
        </w:tc>
        <w:tc>
          <w:tcPr>
            <w:tcW w:w="6100" w:type="dxa"/>
            <w:vAlign w:val="bottom"/>
            <w:gridSpan w:val="10"/>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26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Outstanding Equity Awards at 2022 Fiscal Year End</w:t>
            </w:r>
          </w:p>
        </w:tc>
        <w:tc>
          <w:tcPr>
            <w:tcW w:w="5160" w:type="dxa"/>
            <w:vAlign w:val="bottom"/>
            <w:gridSpan w:val="6"/>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5"/>
              </w:rPr>
              <w:t>27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5"/>
                <w:szCs w:val="15"/>
                <w:color w:val="0000EE"/>
              </w:rPr>
              <w:t>Option Exercises and Stock Vested in 2021</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EE"/>
              </w:rPr>
              <w:t>27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top w:val="single" w:sz="8" w:color="0000EE"/>
              <w:bottom w:val="single" w:sz="8" w:color="auto"/>
            </w:tcBorders>
          </w:tcPr>
          <w:p>
            <w:pPr>
              <w:spacing w:after="0"/>
              <w:rPr>
                <w:sz w:val="20"/>
                <w:szCs w:val="20"/>
                <w:color w:val="auto"/>
              </w:rPr>
            </w:pPr>
          </w:p>
        </w:tc>
        <w:tc>
          <w:tcPr>
            <w:tcW w:w="134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21"/>
          </w:tcPr>
          <w:p>
            <w:pPr>
              <w:ind w:left="960"/>
              <w:spacing w:after="0"/>
              <w:rPr>
                <w:sz w:val="20"/>
                <w:szCs w:val="20"/>
                <w:color w:val="auto"/>
              </w:rPr>
            </w:pPr>
            <w:r>
              <w:rPr>
                <w:rFonts w:ascii="Arial" w:cs="Arial" w:eastAsia="Arial" w:hAnsi="Arial"/>
                <w:sz w:val="14"/>
                <w:szCs w:val="14"/>
                <w:b w:val="1"/>
                <w:bCs w:val="1"/>
                <w:color w:val="0000EE"/>
              </w:rPr>
              <w:t>TABLE OF CONTENTS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5"/>
                <w:szCs w:val="15"/>
                <w:color w:val="0000EE"/>
              </w:rPr>
              <w:t>Pay Ratio Disclosure</w:t>
            </w:r>
          </w:p>
        </w:tc>
        <w:tc>
          <w:tcPr>
            <w:tcW w:w="6780" w:type="dxa"/>
            <w:vAlign w:val="bottom"/>
            <w:gridSpan w:val="17"/>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28</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Pay Versus Performance Disclosure</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Potential Payments upon Termination or Change in Control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20"/>
          </w:tcPr>
          <w:p>
            <w:pPr>
              <w:spacing w:after="0"/>
              <w:rPr>
                <w:sz w:val="20"/>
                <w:szCs w:val="20"/>
                <w:color w:val="auto"/>
              </w:rPr>
            </w:pPr>
            <w:r>
              <w:rPr>
                <w:rFonts w:ascii="Arial" w:cs="Arial" w:eastAsia="Arial" w:hAnsi="Arial"/>
                <w:sz w:val="22"/>
                <w:szCs w:val="22"/>
                <w:b w:val="1"/>
                <w:bCs w:val="1"/>
                <w:color w:val="0000EE"/>
              </w:rPr>
              <w:t>CERTAIN TRANSACTIONS AND RELATIONSHIPS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35</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52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8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79"/>
        </w:trPr>
        <w:tc>
          <w:tcPr>
            <w:tcW w:w="960" w:type="dxa"/>
            <w:vAlign w:val="bottom"/>
          </w:tcPr>
          <w:p>
            <w:pPr>
              <w:spacing w:after="0"/>
              <w:rPr>
                <w:sz w:val="24"/>
                <w:szCs w:val="24"/>
                <w:color w:val="auto"/>
              </w:rPr>
            </w:pPr>
          </w:p>
        </w:tc>
        <w:tc>
          <w:tcPr>
            <w:tcW w:w="8380" w:type="dxa"/>
            <w:vAlign w:val="bottom"/>
            <w:gridSpan w:val="20"/>
          </w:tcPr>
          <w:p>
            <w:pPr>
              <w:spacing w:after="0"/>
              <w:rPr>
                <w:sz w:val="20"/>
                <w:szCs w:val="20"/>
                <w:color w:val="auto"/>
              </w:rPr>
            </w:pPr>
            <w:r>
              <w:rPr>
                <w:rFonts w:ascii="Arial" w:cs="Arial" w:eastAsia="Arial" w:hAnsi="Arial"/>
                <w:sz w:val="22"/>
                <w:szCs w:val="22"/>
                <w:b w:val="1"/>
                <w:bCs w:val="1"/>
                <w:color w:val="0000EE"/>
              </w:rPr>
              <w:t>OWNERSHIP OF COMPANY STOCK</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36</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52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8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Security Ownership of Certain Beneficial Owners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gridSpan w:val="11"/>
          </w:tcPr>
          <w:p>
            <w:pPr>
              <w:spacing w:after="0"/>
              <w:rPr>
                <w:sz w:val="20"/>
                <w:szCs w:val="20"/>
                <w:color w:val="auto"/>
              </w:rPr>
            </w:pPr>
            <w:r>
              <w:rPr>
                <w:rFonts w:ascii="Arial" w:cs="Arial" w:eastAsia="Arial" w:hAnsi="Arial"/>
                <w:sz w:val="15"/>
                <w:szCs w:val="15"/>
                <w:color w:val="0000EE"/>
              </w:rPr>
              <w:t>Security Ownership of Management and Directors</w:t>
            </w:r>
          </w:p>
        </w:tc>
        <w:tc>
          <w:tcPr>
            <w:tcW w:w="4820" w:type="dxa"/>
            <w:vAlign w:val="bottom"/>
            <w:gridSpan w:val="8"/>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Arial" w:cs="Arial" w:eastAsia="Arial" w:hAnsi="Arial"/>
                <w:sz w:val="15"/>
                <w:szCs w:val="15"/>
                <w:color w:val="0000EE"/>
              </w:rPr>
              <w:t>Delinquent Section 16(a) Reports</w:t>
            </w:r>
          </w:p>
        </w:tc>
        <w:tc>
          <w:tcPr>
            <w:tcW w:w="1120" w:type="dxa"/>
            <w:vAlign w:val="bottom"/>
            <w:gridSpan w:val="5"/>
          </w:tcPr>
          <w:p>
            <w:pPr>
              <w:spacing w:after="0"/>
              <w:rPr>
                <w:sz w:val="19"/>
                <w:szCs w:val="19"/>
                <w:color w:val="auto"/>
              </w:rPr>
            </w:pPr>
          </w:p>
        </w:tc>
        <w:tc>
          <w:tcPr>
            <w:tcW w:w="4820" w:type="dxa"/>
            <w:vAlign w:val="bottom"/>
            <w:gridSpan w:val="8"/>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20"/>
          </w:tcPr>
          <w:p>
            <w:pPr>
              <w:spacing w:after="0"/>
              <w:rPr>
                <w:sz w:val="20"/>
                <w:szCs w:val="20"/>
                <w:color w:val="auto"/>
              </w:rPr>
            </w:pPr>
            <w:r>
              <w:rPr>
                <w:rFonts w:ascii="Arial" w:cs="Arial" w:eastAsia="Arial" w:hAnsi="Arial"/>
                <w:sz w:val="22"/>
                <w:szCs w:val="22"/>
                <w:b w:val="1"/>
                <w:bCs w:val="1"/>
                <w:color w:val="0000EE"/>
              </w:rPr>
              <w:t>AUDIT COMMITTEE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38</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3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52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8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Audit Committee Report</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38</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Policy for Pre-Approval of Audit and Permitted Non-Audit Services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gridSpan w:val="15"/>
          </w:tcPr>
          <w:p>
            <w:pPr>
              <w:spacing w:after="0"/>
              <w:rPr>
                <w:sz w:val="20"/>
                <w:szCs w:val="20"/>
                <w:color w:val="auto"/>
              </w:rPr>
            </w:pPr>
            <w:r>
              <w:rPr>
                <w:rFonts w:ascii="Arial" w:cs="Arial" w:eastAsia="Arial" w:hAnsi="Arial"/>
                <w:sz w:val="15"/>
                <w:szCs w:val="15"/>
                <w:color w:val="0000EE"/>
              </w:rPr>
              <w:t>Auditor Fees and Services</w:t>
            </w:r>
          </w:p>
        </w:tc>
        <w:tc>
          <w:tcPr>
            <w:tcW w:w="3740" w:type="dxa"/>
            <w:vAlign w:val="bottom"/>
            <w:gridSpan w:val="4"/>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20"/>
          </w:tcPr>
          <w:p>
            <w:pPr>
              <w:spacing w:after="0"/>
              <w:rPr>
                <w:sz w:val="20"/>
                <w:szCs w:val="20"/>
                <w:color w:val="auto"/>
              </w:rPr>
            </w:pPr>
            <w:r>
              <w:rPr>
                <w:rFonts w:ascii="Arial" w:cs="Arial" w:eastAsia="Arial" w:hAnsi="Arial"/>
                <w:sz w:val="22"/>
                <w:szCs w:val="22"/>
                <w:b w:val="1"/>
                <w:bCs w:val="1"/>
                <w:color w:val="0000EE"/>
              </w:rPr>
              <w:t>OTHER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40</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18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bottom w:val="single" w:sz="8" w:color="2D64AF"/>
            </w:tcBorders>
          </w:tcPr>
          <w:p>
            <w:pPr>
              <w:spacing w:after="0"/>
              <w:rPr>
                <w:sz w:val="7"/>
                <w:szCs w:val="7"/>
                <w:color w:val="auto"/>
              </w:rPr>
            </w:pPr>
          </w:p>
        </w:tc>
        <w:tc>
          <w:tcPr>
            <w:tcW w:w="32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52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0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8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79"/>
        </w:trPr>
        <w:tc>
          <w:tcPr>
            <w:tcW w:w="960" w:type="dxa"/>
            <w:vAlign w:val="bottom"/>
          </w:tcPr>
          <w:p>
            <w:pPr>
              <w:spacing w:after="0"/>
              <w:rPr>
                <w:sz w:val="24"/>
                <w:szCs w:val="24"/>
                <w:color w:val="auto"/>
              </w:rPr>
            </w:pPr>
          </w:p>
        </w:tc>
        <w:tc>
          <w:tcPr>
            <w:tcW w:w="8380" w:type="dxa"/>
            <w:vAlign w:val="bottom"/>
            <w:gridSpan w:val="20"/>
          </w:tcPr>
          <w:p>
            <w:pPr>
              <w:spacing w:after="0"/>
              <w:rPr>
                <w:sz w:val="20"/>
                <w:szCs w:val="20"/>
                <w:color w:val="auto"/>
              </w:rPr>
            </w:pPr>
            <w:r>
              <w:rPr>
                <w:rFonts w:ascii="Arial" w:cs="Arial" w:eastAsia="Arial" w:hAnsi="Arial"/>
                <w:sz w:val="22"/>
                <w:szCs w:val="22"/>
                <w:b w:val="1"/>
                <w:bCs w:val="1"/>
                <w:color w:val="0000EE"/>
              </w:rPr>
              <w:t>SHAREHOLDER PROPOSALS FOR THE 2023 ANNUAL MEETING</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40</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52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00" w:type="dxa"/>
            <w:vAlign w:val="bottom"/>
            <w:tcBorders>
              <w:top w:val="single" w:sz="8" w:color="0000EE"/>
              <w:bottom w:val="single" w:sz="8" w:color="2D64AF"/>
            </w:tcBorders>
          </w:tcPr>
          <w:p>
            <w:pPr>
              <w:spacing w:after="0"/>
              <w:rPr>
                <w:sz w:val="7"/>
                <w:szCs w:val="7"/>
                <w:color w:val="auto"/>
              </w:rPr>
            </w:pPr>
          </w:p>
        </w:tc>
        <w:tc>
          <w:tcPr>
            <w:tcW w:w="1600" w:type="dxa"/>
            <w:vAlign w:val="bottom"/>
            <w:tcBorders>
              <w:top w:val="single" w:sz="8" w:color="0000EE"/>
              <w:bottom w:val="single" w:sz="8" w:color="2D64AF"/>
            </w:tcBorders>
          </w:tcPr>
          <w:p>
            <w:pPr>
              <w:spacing w:after="0"/>
              <w:rPr>
                <w:sz w:val="7"/>
                <w:szCs w:val="7"/>
                <w:color w:val="auto"/>
              </w:rPr>
            </w:pPr>
          </w:p>
        </w:tc>
        <w:tc>
          <w:tcPr>
            <w:tcW w:w="128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9"/>
          </w:tcPr>
          <w:p>
            <w:pPr>
              <w:spacing w:after="0"/>
              <w:rPr>
                <w:sz w:val="20"/>
                <w:szCs w:val="20"/>
                <w:color w:val="auto"/>
              </w:rPr>
            </w:pPr>
            <w:r>
              <w:rPr>
                <w:rFonts w:ascii="Arial" w:cs="Arial" w:eastAsia="Arial" w:hAnsi="Arial"/>
                <w:sz w:val="15"/>
                <w:szCs w:val="15"/>
                <w:color w:val="0000EE"/>
              </w:rPr>
              <w:t>Proposals for the Company’s Proxy Material</w:t>
            </w:r>
          </w:p>
        </w:tc>
        <w:tc>
          <w:tcPr>
            <w:tcW w:w="5220" w:type="dxa"/>
            <w:vAlign w:val="bottom"/>
            <w:gridSpan w:val="10"/>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9"/>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9"/>
          </w:tcPr>
          <w:p>
            <w:pPr>
              <w:spacing w:after="0"/>
              <w:rPr>
                <w:sz w:val="20"/>
                <w:szCs w:val="20"/>
                <w:color w:val="auto"/>
              </w:rPr>
            </w:pPr>
            <w:r>
              <w:rPr>
                <w:rFonts w:ascii="Arial" w:cs="Arial" w:eastAsia="Arial" w:hAnsi="Arial"/>
                <w:sz w:val="15"/>
                <w:szCs w:val="15"/>
                <w:color w:val="0000EE"/>
              </w:rPr>
              <w:t>Proposals to be Introduced at the Annual Meeting but not Intended to be Included in the Company’s Proxy Material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40" w:type="dxa"/>
            <w:vAlign w:val="bottom"/>
            <w:gridSpan w:val="18"/>
          </w:tcPr>
          <w:p>
            <w:pPr>
              <w:spacing w:after="0"/>
              <w:rPr>
                <w:sz w:val="20"/>
                <w:szCs w:val="20"/>
                <w:color w:val="auto"/>
              </w:rPr>
            </w:pPr>
            <w:r>
              <w:rPr>
                <w:rFonts w:ascii="Arial" w:cs="Arial" w:eastAsia="Arial" w:hAnsi="Arial"/>
                <w:sz w:val="15"/>
                <w:szCs w:val="15"/>
                <w:color w:val="0000EE"/>
              </w:rPr>
              <w:t>Compliance with Universal Proxy Rules for Director Nominations</w:t>
            </w:r>
          </w:p>
        </w:tc>
        <w:tc>
          <w:tcPr>
            <w:tcW w:w="4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48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48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520" w:type="dxa"/>
            <w:vAlign w:val="bottom"/>
            <w:tcBorders>
              <w:top w:val="single" w:sz="8" w:color="0000EE"/>
              <w:bottom w:val="single" w:sz="8" w:color="auto"/>
            </w:tcBorders>
          </w:tcPr>
          <w:p>
            <w:pPr>
              <w:spacing w:after="0"/>
              <w:rPr>
                <w:sz w:val="21"/>
                <w:szCs w:val="21"/>
                <w:color w:val="auto"/>
              </w:rPr>
            </w:pPr>
          </w:p>
        </w:tc>
        <w:tc>
          <w:tcPr>
            <w:tcW w:w="380" w:type="dxa"/>
            <w:vAlign w:val="bottom"/>
            <w:tcBorders>
              <w:top w:val="single" w:sz="8" w:color="0000EE"/>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2" w:right="4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PROXY STATEMENT</w:t>
      </w:r>
    </w:p>
    <w:p>
      <w:pPr>
        <w:spacing w:after="0" w:line="199" w:lineRule="exact"/>
        <w:rPr>
          <w:sz w:val="20"/>
          <w:szCs w:val="20"/>
          <w:color w:val="auto"/>
        </w:rPr>
      </w:pPr>
    </w:p>
    <w:p>
      <w:pPr>
        <w:ind w:right="3620"/>
        <w:spacing w:after="0" w:line="286" w:lineRule="auto"/>
        <w:rPr>
          <w:sz w:val="20"/>
          <w:szCs w:val="20"/>
          <w:color w:val="auto"/>
        </w:rPr>
      </w:pPr>
      <w:r>
        <w:rPr>
          <w:rFonts w:ascii="Arial" w:cs="Arial" w:eastAsia="Arial" w:hAnsi="Arial"/>
          <w:sz w:val="32"/>
          <w:szCs w:val="32"/>
          <w:b w:val="1"/>
          <w:bCs w:val="1"/>
          <w:color w:val="2D64AF"/>
        </w:rPr>
        <w:t>QUESTIONS AND ANSWERS ABOUT THE 2022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The Board of Directors of Allied Motion Technologies Inc. (the “Company”) is soliciting proxies to be voted at the Annual Meeting of Shareholders. The Annual Meeting will be held virtually on Wednesday, May 3, 2023, at 9:00 a.m. (Eastern Time). The meeting can be accessed by visiting </w:t>
      </w:r>
      <w:r>
        <w:rPr>
          <w:rFonts w:ascii="Arial" w:cs="Arial" w:eastAsia="Arial" w:hAnsi="Arial"/>
          <w:sz w:val="16"/>
          <w:szCs w:val="16"/>
          <w:b w:val="1"/>
          <w:bCs w:val="1"/>
          <w:u w:val="single" w:color="auto"/>
          <w:color w:val="2D64AF"/>
        </w:rPr>
        <w:t>www.virtualshareholdermeeting.com/AMOT2023</w:t>
      </w:r>
      <w:r>
        <w:rPr>
          <w:rFonts w:ascii="Arial" w:cs="Arial" w:eastAsia="Arial" w:hAnsi="Arial"/>
          <w:sz w:val="16"/>
          <w:szCs w:val="16"/>
          <w:color w:val="000000"/>
        </w:rPr>
        <w:t>, where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85"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All shareholders of record as of the close of business on Thursday, March 9, 2023 (the “Record Date”) are entitled to vote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received from the beneficial owners or other persons entitled to vote) and abstentions will be counted as shares present in determining whether a quorum is present. As of the Record Date, 16,081,195 shares of Common Stock were issued and outstanding.</w:t>
      </w:r>
    </w:p>
    <w:p>
      <w:pPr>
        <w:spacing w:after="0" w:line="272"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5"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17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in your name with the Company’s transfer agent, American Stock Transfer &amp; Trust Company, you are considered the shareholder of record with respect to those shares.</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held in an account at a brokerage firm, bank, broker-dealer or other similar organization, then you are the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460"/>
        <w:spacing w:after="0" w:line="249" w:lineRule="auto"/>
        <w:rPr>
          <w:sz w:val="20"/>
          <w:szCs w:val="20"/>
          <w:color w:val="auto"/>
        </w:rPr>
      </w:pPr>
      <w:r>
        <w:rPr>
          <w:rFonts w:ascii="Arial" w:cs="Arial" w:eastAsia="Arial" w:hAnsi="Arial"/>
          <w:sz w:val="16"/>
          <w:szCs w:val="16"/>
          <w:color w:val="auto"/>
        </w:rPr>
        <w:t>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82" w:lineRule="exact"/>
        <w:rPr>
          <w:sz w:val="20"/>
          <w:szCs w:val="20"/>
          <w:color w:val="auto"/>
        </w:rPr>
      </w:pPr>
    </w:p>
    <w:p>
      <w:pPr>
        <w:sectPr>
          <w:pgSz w:w="11900" w:h="16838" w:orient="portrait"/>
          <w:cols w:equalWidth="0" w:num="2">
            <w:col w:w="4300" w:space="36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85" w:lineRule="exact"/>
        <w:rPr>
          <w:sz w:val="20"/>
          <w:szCs w:val="20"/>
          <w:color w:val="auto"/>
        </w:rPr>
      </w:pPr>
    </w:p>
    <w:p>
      <w:pPr>
        <w:sectPr>
          <w:pgSz w:w="11900" w:h="16838" w:orient="portrait"/>
          <w:cols w:equalWidth="0" w:num="2">
            <w:col w:w="4440" w:space="22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you hold your shares in street name and do not instruct your bank or broker how to vote in the election of directors, no votes will be cast on your behalf. Your bank or broker will, however, continue to have discretion to vote any uninstructed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shares on the appointment of Deloitte &amp; Touche LLP (Proposal 3). Please ensure that you complete the voting instruction card sent by your bank or broker.</w:t>
      </w:r>
    </w:p>
    <w:p>
      <w:pPr>
        <w:spacing w:after="0" w:line="93"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389" w:lineRule="exact"/>
        <w:rPr>
          <w:sz w:val="20"/>
          <w:szCs w:val="20"/>
          <w:color w:val="auto"/>
        </w:rPr>
      </w:pPr>
    </w:p>
    <w:p>
      <w:pPr>
        <w:sectPr>
          <w:pgSz w:w="11900" w:h="16838" w:orient="portrait"/>
          <w:cols w:equalWidth="0" w:num="2">
            <w:col w:w="4440" w:space="220"/>
            <w:col w:w="4660"/>
          </w:cols>
          <w:pgMar w:left="1280" w:top="265" w:right="1299" w:bottom="1440" w:gutter="0" w:footer="0" w:header="0"/>
          <w:type w:val="continuous"/>
        </w:sectPr>
      </w:pPr>
    </w:p>
    <w:p>
      <w:pPr>
        <w:spacing w:after="0" w:line="32" w:lineRule="exact"/>
        <w:rPr>
          <w:sz w:val="20"/>
          <w:szCs w:val="20"/>
          <w:color w:val="auto"/>
        </w:rPr>
      </w:pPr>
    </w:p>
    <w:p>
      <w:pPr>
        <w:ind w:left="5980"/>
        <w:spacing w:after="0"/>
        <w:tabs>
          <w:tab w:leader="none" w:pos="9240" w:val="left"/>
        </w:tabs>
        <w:rPr>
          <w:sz w:val="20"/>
          <w:szCs w:val="20"/>
          <w:color w:val="auto"/>
        </w:rPr>
      </w:pPr>
      <w:r>
        <w:rPr>
          <w:rFonts w:ascii="Arial" w:cs="Arial" w:eastAsia="Arial" w:hAnsi="Arial"/>
          <w:sz w:val="13"/>
          <w:szCs w:val="13"/>
          <w:color w:val="auto"/>
        </w:rPr>
        <w:t>Allied Motion Technologies Inc. | 2023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141605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How can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sectPr>
      </w:pPr>
    </w:p>
    <w:p>
      <w:pPr>
        <w:spacing w:after="0" w:line="194" w:lineRule="exact"/>
        <w:rPr>
          <w:sz w:val="20"/>
          <w:szCs w:val="20"/>
          <w:color w:val="auto"/>
        </w:rPr>
      </w:pPr>
    </w:p>
    <w:p>
      <w:pPr>
        <w:ind w:left="220"/>
        <w:spacing w:after="0" w:line="265" w:lineRule="auto"/>
        <w:rPr>
          <w:sz w:val="20"/>
          <w:szCs w:val="20"/>
          <w:color w:val="auto"/>
        </w:rPr>
      </w:pPr>
      <w:r>
        <w:rPr>
          <w:rFonts w:ascii="Arial" w:cs="Arial" w:eastAsia="Arial" w:hAnsi="Arial"/>
          <w:sz w:val="15"/>
          <w:szCs w:val="15"/>
          <w:color w:val="auto"/>
        </w:rPr>
        <w:t xml:space="preserve">You may participate in the virtual Annual Meeting and vote your shares during the meeting by visiting our Annual Meeting website at </w:t>
      </w:r>
      <w:r>
        <w:rPr>
          <w:rFonts w:ascii="Arial" w:cs="Arial" w:eastAsia="Arial" w:hAnsi="Arial"/>
          <w:sz w:val="15"/>
          <w:szCs w:val="15"/>
          <w:b w:val="1"/>
          <w:bCs w:val="1"/>
          <w:u w:val="single" w:color="auto"/>
          <w:color w:val="2D64AF"/>
        </w:rPr>
        <w:t>www.virtualshareholdermeeting.com/AMOT2023</w:t>
      </w:r>
      <w:r>
        <w:rPr>
          <w:rFonts w:ascii="Arial" w:cs="Arial" w:eastAsia="Arial" w:hAnsi="Arial"/>
          <w:sz w:val="15"/>
          <w:szCs w:val="15"/>
          <w:color w:val="auto"/>
        </w:rPr>
        <w:t> . To participate in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participate in the Annual Meeting online, we recommend that you vote by proxy in advance as described above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274"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 xml:space="preserve">If you wish to submit a question during the Annual Meeting, you may log into the virtual meeting platform with your control number at </w:t>
      </w:r>
      <w:r>
        <w:rPr>
          <w:rFonts w:ascii="Arial" w:cs="Arial" w:eastAsia="Arial" w:hAnsi="Arial"/>
          <w:sz w:val="15"/>
          <w:szCs w:val="15"/>
          <w:b w:val="1"/>
          <w:bCs w:val="1"/>
          <w:u w:val="single" w:color="auto"/>
          <w:color w:val="2D64AF"/>
        </w:rPr>
        <w:t>www.virtualshareholdermeeting.com/AMOT2023</w:t>
      </w:r>
      <w:r>
        <w:rPr>
          <w:rFonts w:ascii="Arial" w:cs="Arial" w:eastAsia="Arial" w:hAnsi="Arial"/>
          <w:sz w:val="15"/>
          <w:szCs w:val="15"/>
          <w:color w:val="auto"/>
        </w:rPr>
        <w:t>, type your question into the “Ask a Question” field, and click “Submit.”</w:t>
      </w:r>
    </w:p>
    <w:p>
      <w:pPr>
        <w:spacing w:after="0" w:line="27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D64AF"/>
        </w:rPr>
        <w:t>www.alliedmotion.com/investor-relations/</w:t>
      </w:r>
      <w:r>
        <w:rPr>
          <w:rFonts w:ascii="Arial" w:cs="Arial" w:eastAsia="Arial" w:hAnsi="Arial"/>
          <w:sz w:val="16"/>
          <w:szCs w:val="16"/>
          <w:color w:val="000000"/>
        </w:rPr>
        <w:t>. The questions</w:t>
      </w:r>
      <w:r>
        <w:rPr>
          <w:rFonts w:ascii="Arial" w:cs="Arial" w:eastAsia="Arial" w:hAnsi="Arial"/>
          <w:sz w:val="16"/>
          <w:szCs w:val="16"/>
          <w:b w:val="1"/>
          <w:bCs w:val="1"/>
          <w:color w:val="2D64AF"/>
        </w:rPr>
        <w:t xml:space="preserve"> </w:t>
      </w:r>
      <w:r>
        <w:rPr>
          <w:rFonts w:ascii="Arial" w:cs="Arial" w:eastAsia="Arial" w:hAnsi="Arial"/>
          <w:sz w:val="16"/>
          <w:szCs w:val="16"/>
          <w:color w:val="000000"/>
        </w:rPr>
        <w:t>and answers will be available as soon as practical after the meeting and will remain available until one week after posting.</w:t>
      </w:r>
    </w:p>
    <w:p>
      <w:pPr>
        <w:spacing w:after="0" w:line="10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920" w:lineRule="exact"/>
        <w:rPr>
          <w:sz w:val="20"/>
          <w:szCs w:val="20"/>
          <w:color w:val="auto"/>
        </w:rPr>
      </w:pPr>
    </w:p>
    <w:p>
      <w:pPr>
        <w:sectPr>
          <w:pgSz w:w="11900" w:h="16838" w:orient="portrait"/>
          <w:cols w:equalWidth="0" w:num="2">
            <w:col w:w="4660" w:space="220"/>
            <w:col w:w="4400"/>
          </w:cols>
          <w:pgMar w:left="1280" w:top="265" w:right="133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type w:val="continuous"/>
        </w:sectPr>
      </w:pP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will be voting on the following proposals:</w:t>
      </w:r>
    </w:p>
    <w:p>
      <w:pPr>
        <w:spacing w:after="0" w:line="46" w:lineRule="exact"/>
        <w:rPr>
          <w:sz w:val="20"/>
          <w:szCs w:val="20"/>
          <w:color w:val="auto"/>
        </w:rPr>
      </w:pPr>
    </w:p>
    <w:p>
      <w:pPr>
        <w:ind w:left="400" w:right="560" w:hanging="182"/>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1: the election of seven Directors of the Company;</w:t>
      </w:r>
    </w:p>
    <w:p>
      <w:pPr>
        <w:spacing w:after="0" w:line="19" w:lineRule="exact"/>
        <w:rPr>
          <w:rFonts w:ascii="Arial" w:cs="Arial" w:eastAsia="Arial" w:hAnsi="Arial"/>
          <w:sz w:val="16"/>
          <w:szCs w:val="16"/>
          <w:color w:val="auto"/>
        </w:rPr>
      </w:pPr>
    </w:p>
    <w:p>
      <w:pPr>
        <w:ind w:left="400" w:hanging="182"/>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2: an advisory vote on the compensation of our Named Executive Officers; and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right="40" w:hanging="180"/>
        <w:spacing w:after="0" w:line="253"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3: the ratification of Deloitte &amp; Touche LLP as the Company’s independent registered public accounting firm for the 2023 fiscal year.</w:t>
      </w:r>
    </w:p>
    <w:p>
      <w:pPr>
        <w:spacing w:after="0" w:line="540" w:lineRule="exact"/>
        <w:rPr>
          <w:sz w:val="20"/>
          <w:szCs w:val="20"/>
          <w:color w:val="auto"/>
        </w:rPr>
      </w:pPr>
    </w:p>
    <w:p>
      <w:pPr>
        <w:sectPr>
          <w:pgSz w:w="11900" w:h="16838" w:orient="portrait"/>
          <w:cols w:equalWidth="0" w:num="2">
            <w:col w:w="4440" w:space="440"/>
            <w:col w:w="4400"/>
          </w:cols>
          <w:pgMar w:left="1280" w:top="265" w:right="133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27305</wp:posOffset>
            </wp:positionV>
            <wp:extent cx="5777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type w:val="continuous"/>
        </w:sectPr>
      </w:pPr>
    </w:p>
    <w:p>
      <w:pPr>
        <w:spacing w:after="0" w:line="194"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We do not expect any other items of business because the deadline for shareholder proposals and nominations has passed. Nonetheless, in case there is an unforeseen need, your proxy gives discretionary authority to Richard S. Warzala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and Richard D. Federico with respect to any other matters that might be brought before the Annual Meeting. Those persons intend to vote that proxy in accordance with their best judgment.</w:t>
      </w:r>
    </w:p>
    <w:p>
      <w:pPr>
        <w:spacing w:after="0" w:line="83" w:lineRule="exact"/>
        <w:rPr>
          <w:sz w:val="20"/>
          <w:szCs w:val="20"/>
          <w:color w:val="auto"/>
        </w:rPr>
      </w:pPr>
    </w:p>
    <w:p>
      <w:pPr>
        <w:sectPr>
          <w:pgSz w:w="11900" w:h="16838" w:orient="portrait"/>
          <w:cols w:equalWidth="0" w:num="2">
            <w:col w:w="4640" w:space="240"/>
            <w:col w:w="4400"/>
          </w:cols>
          <w:pgMar w:left="1280" w:top="265" w:right="133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How many votes are required to act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27305</wp:posOffset>
            </wp:positionV>
            <wp:extent cx="5777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type w:val="continuous"/>
        </w:sectPr>
      </w:pPr>
    </w:p>
    <w:p>
      <w:pPr>
        <w:spacing w:after="0" w:line="194"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93"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color w:val="auto"/>
        </w:rPr>
        <w:t>Pursuant to our Amended and Restated Articles of Incorporation and Bylaws, directors will be elected by the affirmative vote of the majority of the votes cast with respect to such director’s election.</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Approval of Proposals 2 and 3 requires an affirmative vote by a majority of the votes cast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868680</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91" w:lineRule="exact"/>
        <w:rPr>
          <w:sz w:val="20"/>
          <w:szCs w:val="20"/>
          <w:color w:val="auto"/>
        </w:rPr>
      </w:pPr>
    </w:p>
    <w:p>
      <w:pPr>
        <w:sectPr>
          <w:pgSz w:w="11900" w:h="16838" w:orient="portrait"/>
          <w:cols w:equalWidth="0" w:num="2">
            <w:col w:w="4620" w:space="260"/>
            <w:col w:w="4400"/>
          </w:cols>
          <w:pgMar w:left="1280" w:top="265" w:right="1339" w:bottom="1440" w:gutter="0" w:footer="0" w:header="0"/>
          <w:type w:val="continuous"/>
        </w:sectPr>
      </w:pPr>
    </w:p>
    <w:p>
      <w:pPr>
        <w:ind w:left="220" w:right="280"/>
        <w:spacing w:after="0" w:line="253" w:lineRule="auto"/>
        <w:rPr>
          <w:sz w:val="20"/>
          <w:szCs w:val="20"/>
          <w:color w:val="auto"/>
        </w:rPr>
      </w:pPr>
      <w:r>
        <w:rPr>
          <w:rFonts w:ascii="Arial" w:cs="Arial" w:eastAsia="Arial" w:hAnsi="Arial"/>
          <w:sz w:val="16"/>
          <w:szCs w:val="16"/>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247"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131445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27" w:lineRule="exact"/>
        <w:rPr>
          <w:sz w:val="20"/>
          <w:szCs w:val="20"/>
          <w:color w:val="auto"/>
        </w:rPr>
      </w:pPr>
    </w:p>
    <w:p>
      <w:pPr>
        <w:jc w:val="both"/>
        <w:ind w:left="180" w:right="40" w:hanging="178"/>
        <w:spacing w:after="0" w:line="253"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spacing w:after="0" w:line="25" w:lineRule="exact"/>
        <w:rPr>
          <w:rFonts w:ascii="Arial" w:cs="Arial" w:eastAsia="Arial" w:hAnsi="Arial"/>
          <w:sz w:val="16"/>
          <w:szCs w:val="16"/>
          <w:color w:val="auto"/>
        </w:rPr>
      </w:pPr>
    </w:p>
    <w:p>
      <w:pPr>
        <w:ind w:left="180" w:right="80" w:hanging="178"/>
        <w:spacing w:after="0" w:line="253"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anyone contact me regarding this vote?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80" w:right="320" w:hanging="176"/>
        <w:spacing w:after="0" w:line="260"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virtually attending the Annual Meeting, withdrawing the proxy and voting during the Annual Meeting.</w:t>
      </w:r>
    </w:p>
    <w:p>
      <w:pPr>
        <w:spacing w:after="0" w:line="87"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667385</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01" w:lineRule="exact"/>
        <w:rPr>
          <w:sz w:val="20"/>
          <w:szCs w:val="20"/>
          <w:color w:val="auto"/>
        </w:rPr>
      </w:pPr>
    </w:p>
    <w:p>
      <w:pPr>
        <w:sectPr>
          <w:pgSz w:w="11900" w:h="16838" w:orient="portrait"/>
          <w:cols w:equalWidth="0" w:num="2">
            <w:col w:w="4360" w:space="300"/>
            <w:col w:w="4660"/>
          </w:cols>
          <w:pgMar w:left="1280" w:top="265" w:right="1299" w:bottom="1440" w:gutter="0" w:footer="0" w:header="0"/>
          <w:type w:val="continuous"/>
        </w:sectPr>
      </w:pPr>
    </w:p>
    <w:p>
      <w:pPr>
        <w:spacing w:after="0" w:line="250"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w:t>
      </w:r>
    </w:p>
    <w:p>
      <w:pPr>
        <w:spacing w:after="0" w:line="20" w:lineRule="exact"/>
        <w:rPr>
          <w:sz w:val="20"/>
          <w:szCs w:val="20"/>
          <w:color w:val="auto"/>
        </w:rPr>
      </w:pPr>
      <w:r>
        <w:rPr>
          <w:sz w:val="20"/>
          <w:szCs w:val="20"/>
          <w:color w:val="auto"/>
        </w:rPr>
        <w:br w:type="column"/>
      </w:r>
    </w:p>
    <w:p>
      <w:pPr>
        <w:ind w:right="240"/>
        <w:spacing w:after="0" w:line="250" w:lineRule="auto"/>
        <w:rPr>
          <w:sz w:val="20"/>
          <w:szCs w:val="20"/>
          <w:color w:val="auto"/>
        </w:rPr>
      </w:pPr>
      <w:r>
        <w:rPr>
          <w:rFonts w:ascii="Arial" w:cs="Arial" w:eastAsia="Arial" w:hAnsi="Arial"/>
          <w:sz w:val="16"/>
          <w:szCs w:val="16"/>
          <w:color w:val="auto"/>
        </w:rPr>
        <w:t>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83" w:lineRule="exact"/>
        <w:rPr>
          <w:sz w:val="20"/>
          <w:szCs w:val="20"/>
          <w:color w:val="auto"/>
        </w:rPr>
      </w:pPr>
    </w:p>
    <w:p>
      <w:pPr>
        <w:sectPr>
          <w:pgSz w:w="11900" w:h="16838" w:orient="portrait"/>
          <w:cols w:equalWidth="0" w:num="2">
            <w:col w:w="4280" w:space="38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a copy of this year’s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copy of the Company’s 2022 Annual Report to Shareholders, including financial statements for the fiscal year ended December 31, 2022, accompanies this Proxy Statement. The Annual Report, however, is not part of the proxy solicitation material. A copy of the Company’s Annual Report on Form 10-K filed with the Securities and Exchange Commission (“SEC”) may be obtained free of charge by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writing to Allied Motion Technologies Inc., 495 Commerce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Drive, Suite 3, Amherst, New York 14228, Attention: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Secretary or by accessing the “Investors/SEC Filings” section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website at www.alliedmotion.com.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 the Proxy Statement and Annual Report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available on the internet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64AF"/>
        </w:rPr>
        <w:t>https://materials.proxyvote.com/019330</w:t>
      </w:r>
      <w:r>
        <w:rPr>
          <w:rFonts w:ascii="Arial" w:cs="Arial" w:eastAsia="Arial" w:hAnsi="Arial"/>
          <w:sz w:val="16"/>
          <w:szCs w:val="16"/>
          <w:color w:val="000000"/>
        </w:rPr>
        <w:t>.</w:t>
      </w:r>
    </w:p>
    <w:p>
      <w:pPr>
        <w:spacing w:after="0" w:line="101" w:lineRule="exact"/>
        <w:rPr>
          <w:sz w:val="20"/>
          <w:szCs w:val="20"/>
          <w:color w:val="auto"/>
        </w:rPr>
      </w:pPr>
    </w:p>
    <w:p>
      <w:pPr>
        <w:sectPr>
          <w:pgSz w:w="11900" w:h="16838" w:orient="portrait"/>
          <w:cols w:equalWidth="0" w:num="2">
            <w:col w:w="4300" w:space="36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9"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This proxy statement, the enclosed proxy card and the Annual Report were mailed to shareholders beginning on or about March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find additional information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and business conduct policy, corporate governance principles and each of the charters of our board committees may be obtained free of charge by writing to Allied Motion Technologies Inc., 495 Commerce Drive, Suite 3, Amherst, New York 14228, Attention: Secretary.</w:t>
      </w:r>
    </w:p>
    <w:p>
      <w:pPr>
        <w:spacing w:after="0" w:line="387" w:lineRule="exact"/>
        <w:rPr>
          <w:sz w:val="20"/>
          <w:szCs w:val="20"/>
          <w:color w:val="auto"/>
        </w:rPr>
      </w:pPr>
    </w:p>
    <w:p>
      <w:pPr>
        <w:sectPr>
          <w:pgSz w:w="11900" w:h="16838" w:orient="portrait"/>
          <w:cols w:equalWidth="0" w:num="2">
            <w:col w:w="4400" w:space="260"/>
            <w:col w:w="4660"/>
          </w:cols>
          <w:pgMar w:left="1280" w:top="265" w:right="1299" w:bottom="1440" w:gutter="0" w:footer="0" w:header="0"/>
          <w:type w:val="continuous"/>
        </w:sectPr>
      </w:pPr>
    </w:p>
    <w:p>
      <w:pPr>
        <w:spacing w:after="0" w:line="35" w:lineRule="exact"/>
        <w:rPr>
          <w:sz w:val="20"/>
          <w:szCs w:val="20"/>
          <w:color w:val="auto"/>
        </w:rPr>
      </w:pPr>
    </w:p>
    <w:p>
      <w:pPr>
        <w:ind w:left="5980"/>
        <w:spacing w:after="0"/>
        <w:tabs>
          <w:tab w:leader="none" w:pos="9240" w:val="left"/>
        </w:tabs>
        <w:rPr>
          <w:sz w:val="20"/>
          <w:szCs w:val="20"/>
          <w:color w:val="auto"/>
        </w:rPr>
      </w:pPr>
      <w:r>
        <w:rPr>
          <w:rFonts w:ascii="Arial" w:cs="Arial" w:eastAsia="Arial" w:hAnsi="Arial"/>
          <w:sz w:val="13"/>
          <w:szCs w:val="13"/>
          <w:color w:val="auto"/>
        </w:rPr>
        <w:t>Allied Motion Technologies Inc. | 2023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CORPORATE GOVERNANCE AND BOARD MATTERS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Director Qualifications and Biographical Information</w:t>
      </w:r>
    </w:p>
    <w:p>
      <w:pPr>
        <w:sectPr>
          <w:pgSz w:w="11900" w:h="16838" w:orient="portrait"/>
          <w:cols w:equalWidth="0" w:num="1">
            <w:col w:w="9179"/>
          </w:cols>
          <w:pgMar w:left="1280" w:top="265" w:right="1440" w:bottom="1440" w:gutter="0" w:footer="0" w:header="0"/>
        </w:sectPr>
      </w:pP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19"/>
        <w:spacing w:after="0" w:line="250" w:lineRule="auto"/>
        <w:rPr>
          <w:sz w:val="20"/>
          <w:szCs w:val="20"/>
          <w:color w:val="auto"/>
        </w:rPr>
      </w:pPr>
      <w:r>
        <w:rPr>
          <w:rFonts w:ascii="Arial" w:cs="Arial" w:eastAsia="Arial" w:hAnsi="Arial"/>
          <w:sz w:val="16"/>
          <w:szCs w:val="16"/>
          <w:color w:val="auto"/>
        </w:rPr>
        <w:t>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33020</wp:posOffset>
            </wp:positionV>
            <wp:extent cx="5777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519"/>
          </w:cols>
          <w:pgMar w:left="1280" w:top="265" w:right="1440" w:bottom="1440" w:gutter="0" w:footer="0" w:header="0"/>
          <w:type w:val="continuous"/>
        </w:sect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15875</wp:posOffset>
            </wp:positionV>
            <wp:extent cx="857250" cy="1191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  </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69</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2019.</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Mr. Engel serves as Chief Executive Officer and Managing Director of BLT Advisory</w:t>
      </w:r>
    </w:p>
    <w:p>
      <w:pPr>
        <w:spacing w:after="0" w:line="225" w:lineRule="auto"/>
        <w:rPr>
          <w:sz w:val="20"/>
          <w:szCs w:val="20"/>
          <w:color w:val="auto"/>
        </w:rPr>
      </w:pPr>
      <w:r>
        <w:rPr>
          <w:rFonts w:ascii="Arial" w:cs="Arial" w:eastAsia="Arial" w:hAnsi="Arial"/>
          <w:sz w:val="15"/>
          <w:szCs w:val="15"/>
          <w:color w:val="auto"/>
        </w:rPr>
        <w:t>Services, LLC, a boutique advisory firm he formed in 2017 which provides guidance for</w:t>
      </w:r>
    </w:p>
    <w:p>
      <w:pPr>
        <w:spacing w:after="0" w:line="225" w:lineRule="auto"/>
        <w:rPr>
          <w:sz w:val="20"/>
          <w:szCs w:val="20"/>
          <w:color w:val="auto"/>
        </w:rPr>
      </w:pPr>
      <w:r>
        <w:rPr>
          <w:rFonts w:ascii="Arial" w:cs="Arial" w:eastAsia="Arial" w:hAnsi="Arial"/>
          <w:sz w:val="15"/>
          <w:szCs w:val="15"/>
          <w:color w:val="auto"/>
        </w:rPr>
        <w:t>business transformation, mergers and acquisitions, brand building and governance, as well</w:t>
      </w:r>
    </w:p>
    <w:p>
      <w:pPr>
        <w:spacing w:after="0" w:line="226" w:lineRule="auto"/>
        <w:rPr>
          <w:sz w:val="20"/>
          <w:szCs w:val="20"/>
          <w:color w:val="auto"/>
        </w:rPr>
      </w:pPr>
      <w:r>
        <w:rPr>
          <w:rFonts w:ascii="Arial" w:cs="Arial" w:eastAsia="Arial" w:hAnsi="Arial"/>
          <w:sz w:val="15"/>
          <w:szCs w:val="15"/>
          <w:color w:val="auto"/>
        </w:rPr>
        <w:t>as leadership development. Prior to BLT Advisory Services, Mr. Engel was in the banking</w:t>
      </w:r>
    </w:p>
    <w:p>
      <w:pPr>
        <w:spacing w:after="0" w:line="225" w:lineRule="auto"/>
        <w:rPr>
          <w:sz w:val="20"/>
          <w:szCs w:val="20"/>
          <w:color w:val="auto"/>
        </w:rPr>
      </w:pPr>
      <w:r>
        <w:rPr>
          <w:rFonts w:ascii="Arial" w:cs="Arial" w:eastAsia="Arial" w:hAnsi="Arial"/>
          <w:sz w:val="15"/>
          <w:szCs w:val="15"/>
          <w:color w:val="auto"/>
        </w:rPr>
        <w:t>industry for more than 30 years, including 17 years at CoBank, ACB in Denver, Colorado,</w:t>
      </w:r>
    </w:p>
    <w:p>
      <w:pPr>
        <w:spacing w:after="0" w:line="226" w:lineRule="auto"/>
        <w:rPr>
          <w:sz w:val="20"/>
          <w:szCs w:val="20"/>
          <w:color w:val="auto"/>
        </w:rPr>
      </w:pPr>
      <w:r>
        <w:rPr>
          <w:rFonts w:ascii="Arial" w:cs="Arial" w:eastAsia="Arial" w:hAnsi="Arial"/>
          <w:sz w:val="15"/>
          <w:szCs w:val="15"/>
          <w:color w:val="auto"/>
        </w:rPr>
        <w:t>serving first as President and Chief Operating Officer and subsequently being named</w:t>
      </w:r>
    </w:p>
    <w:p>
      <w:pPr>
        <w:spacing w:after="0" w:line="225" w:lineRule="auto"/>
        <w:rPr>
          <w:sz w:val="20"/>
          <w:szCs w:val="20"/>
          <w:color w:val="auto"/>
        </w:rPr>
      </w:pPr>
      <w:r>
        <w:rPr>
          <w:rFonts w:ascii="Arial" w:cs="Arial" w:eastAsia="Arial" w:hAnsi="Arial"/>
          <w:sz w:val="15"/>
          <w:szCs w:val="15"/>
          <w:color w:val="auto"/>
        </w:rPr>
        <w:t>President and Chief Executive Officer, responsible for leading the bank’s domestic and</w:t>
      </w:r>
    </w:p>
    <w:p>
      <w:pPr>
        <w:spacing w:after="0" w:line="225" w:lineRule="auto"/>
        <w:rPr>
          <w:sz w:val="20"/>
          <w:szCs w:val="20"/>
          <w:color w:val="auto"/>
        </w:rPr>
      </w:pPr>
      <w:r>
        <w:rPr>
          <w:rFonts w:ascii="Arial" w:cs="Arial" w:eastAsia="Arial" w:hAnsi="Arial"/>
          <w:sz w:val="15"/>
          <w:szCs w:val="15"/>
          <w:color w:val="auto"/>
        </w:rPr>
        <w:t>global businesses. Prior to this, Mr. Engel was with HSBC Bank USA in Buffalo, New York for</w:t>
      </w:r>
    </w:p>
    <w:p>
      <w:pPr>
        <w:spacing w:after="0" w:line="226" w:lineRule="auto"/>
        <w:rPr>
          <w:sz w:val="20"/>
          <w:szCs w:val="20"/>
          <w:color w:val="auto"/>
        </w:rPr>
      </w:pPr>
      <w:r>
        <w:rPr>
          <w:rFonts w:ascii="Arial" w:cs="Arial" w:eastAsia="Arial" w:hAnsi="Arial"/>
          <w:sz w:val="15"/>
          <w:szCs w:val="15"/>
          <w:color w:val="auto"/>
        </w:rPr>
        <w:t>14 years, where he served in positions of increasing responsibility, ultimately becoming the</w:t>
      </w:r>
    </w:p>
    <w:p>
      <w:pPr>
        <w:spacing w:after="0" w:line="225" w:lineRule="auto"/>
        <w:rPr>
          <w:sz w:val="20"/>
          <w:szCs w:val="20"/>
          <w:color w:val="auto"/>
        </w:rPr>
      </w:pPr>
      <w:r>
        <w:rPr>
          <w:rFonts w:ascii="Arial" w:cs="Arial" w:eastAsia="Arial" w:hAnsi="Arial"/>
          <w:sz w:val="15"/>
          <w:szCs w:val="15"/>
          <w:color w:val="auto"/>
        </w:rPr>
        <w:t>Chief Banking Officer. Prior to moving to the banking industry, Mr. Engel began his public</w:t>
      </w:r>
    </w:p>
    <w:p>
      <w:pPr>
        <w:spacing w:after="0" w:line="226" w:lineRule="auto"/>
        <w:rPr>
          <w:sz w:val="20"/>
          <w:szCs w:val="20"/>
          <w:color w:val="auto"/>
        </w:rPr>
      </w:pPr>
      <w:r>
        <w:rPr>
          <w:rFonts w:ascii="Arial" w:cs="Arial" w:eastAsia="Arial" w:hAnsi="Arial"/>
          <w:sz w:val="15"/>
          <w:szCs w:val="15"/>
          <w:color w:val="auto"/>
        </w:rPr>
        <w:t>accounting career with Deloitte &amp; Touche, and then KPMG, rising to the position of Senior</w:t>
      </w:r>
    </w:p>
    <w:p>
      <w:pPr>
        <w:spacing w:after="0" w:line="225" w:lineRule="auto"/>
        <w:rPr>
          <w:sz w:val="20"/>
          <w:szCs w:val="20"/>
          <w:color w:val="auto"/>
        </w:rPr>
      </w:pPr>
      <w:r>
        <w:rPr>
          <w:rFonts w:ascii="Arial" w:cs="Arial" w:eastAsia="Arial" w:hAnsi="Arial"/>
          <w:sz w:val="15"/>
          <w:szCs w:val="15"/>
          <w:color w:val="auto"/>
        </w:rPr>
        <w:t>Audit Manager.</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139"/>
        <w:spacing w:after="0" w:line="229" w:lineRule="auto"/>
        <w:rPr>
          <w:sz w:val="20"/>
          <w:szCs w:val="20"/>
          <w:color w:val="auto"/>
        </w:rPr>
      </w:pPr>
      <w:r>
        <w:rPr>
          <w:rFonts w:ascii="Arial" w:cs="Arial" w:eastAsia="Arial" w:hAnsi="Arial"/>
          <w:sz w:val="15"/>
          <w:szCs w:val="15"/>
          <w:color w:val="auto"/>
        </w:rPr>
        <w:t>Mr. Engel is currently the Chairman of the Board at Alaska Power &amp; Telephone, where he serves on the Audit Committee and as Chairman of the Compensation Committee, and Heartland Financial USA, Inc. (HTLF) where he serves on the Audit Committee and as Chairman of the Risk Committee. Mr. Engel is a recipient of the Ellis Island Medal of Honor. His experience in board and executive leadership, strategic planning, capital markets, risk management, international operations, mergers and acquisitions, and corporate governance matters gives him strong insight into the issues facing our company’s businesses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74930</wp:posOffset>
            </wp:positionV>
            <wp:extent cx="5777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6359"/>
          </w:cols>
          <w:pgMar w:left="1280" w:top="265" w:right="1440" w:bottom="1440" w:gutter="0" w:footer="0" w:header="0"/>
          <w:type w:val="continuous"/>
        </w:sect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15875</wp:posOffset>
            </wp:positionV>
            <wp:extent cx="857250" cy="1191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68</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2012</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79"/>
        <w:spacing w:after="0" w:line="227" w:lineRule="auto"/>
        <w:rPr>
          <w:sz w:val="20"/>
          <w:szCs w:val="20"/>
          <w:color w:val="auto"/>
        </w:rPr>
      </w:pPr>
      <w:r>
        <w:rPr>
          <w:rFonts w:ascii="Arial" w:cs="Arial" w:eastAsia="Arial" w:hAnsi="Arial"/>
          <w:sz w:val="15"/>
          <w:szCs w:val="15"/>
          <w:color w:val="auto"/>
        </w:rPr>
        <w:t>Mr. Federico has over forty years of operational, strategy and investment experience and has served as Lead Director for the past six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Sterling’s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environmental security and investment experience, knowledge of capital markets and experience on other public and private company boards prepare him to give the Board his views on strategic, operational, financial, advanced technology and environmental related matters.</w:t>
      </w:r>
    </w:p>
    <w:p>
      <w:pPr>
        <w:spacing w:after="0" w:line="200" w:lineRule="exact"/>
        <w:rPr>
          <w:sz w:val="20"/>
          <w:szCs w:val="20"/>
          <w:color w:val="auto"/>
        </w:rPr>
      </w:pPr>
    </w:p>
    <w:p>
      <w:pPr>
        <w:sectPr>
          <w:pgSz w:w="11900" w:h="16838" w:orient="portrait"/>
          <w:cols w:equalWidth="0" w:num="2">
            <w:col w:w="2200" w:space="620"/>
            <w:col w:w="6359"/>
          </w:cols>
          <w:pgMar w:left="1280" w:top="265" w:right="1440" w:bottom="1440" w:gutter="0" w:footer="0" w:header="0"/>
          <w:type w:val="continuous"/>
        </w:sectPr>
      </w:pPr>
    </w:p>
    <w:p>
      <w:pPr>
        <w:spacing w:after="0" w:line="102" w:lineRule="exact"/>
        <w:rPr>
          <w:sz w:val="20"/>
          <w:szCs w:val="20"/>
          <w:color w:val="auto"/>
        </w:rPr>
      </w:pPr>
    </w:p>
    <w:p>
      <w:pPr>
        <w:ind w:left="440" w:hanging="218"/>
        <w:spacing w:after="0"/>
        <w:tabs>
          <w:tab w:leader="none" w:pos="44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5"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2D64A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269875</wp:posOffset>
            </wp:positionV>
            <wp:extent cx="5777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D64AF"/>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857250" cy="119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65</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Mr. Finch is President of Manufacturing and Community Engagement at Viridi Parente, Inc., a developer and manufacturer of environmentally conscious energy usage and storage products, including battery powered energy delivery systems for heavy equipment, and energy storage and power management systems.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 GM facilities outside Buffalo before becoming Tonawanda Engine Plant Manager in 2007. He was a previous board member and Senior Vice President of the Automobile Association of America Western and Central New York.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127635</wp:posOffset>
            </wp:positionV>
            <wp:extent cx="5777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2320" w:space="720"/>
            <w:col w:w="6280"/>
          </w:cols>
          <w:pgMar w:left="1280" w:top="265" w:right="1299" w:bottom="1440" w:gutter="0" w:footer="0" w:header="0"/>
          <w:type w:val="continuous"/>
        </w:sect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D64AF"/>
        </w:rPr>
        <w:t>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857250" cy="1191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75</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Mr. Tanous, an attorney licensed in New York and Pennsylvania, focuses his practice on corporate and business legal matters, including corporate governance issues. From 1973 through March 2007 he was an attorney, partner and chairman at Jaeckle Fleischmann &amp; Mugel, LLP, a national law firm headquartered in Buffalo, New York where he represented numerous public and private companies. From April 2007 through June 2013 he served as Executive Vice President, Secretary and General Counsel of Erie Indemnity Company, a publicly traded Fortune 500 company that manages the property and casualty and life insurance companies that comprise the Erie Insurance Group. While with Erie Indemnity Company he served on the Board of Directors of all of its subsidiaries and was Chairman of the Pennsylvania Insurance Association. From January 1, 2014 through December 31, 2022, he served as the Executive Director of the Prentice Family Foundation, a not-for-profit private foundation whose mission is to promote the economic development of the Western New York area. Mr. Tanous’ management of a large law firm and private foundation and his senior level responsibilities at a major publicly traded financial services company, coupled with his extensive legal expertise and decades of experience as a counselor to public and private companies, enable him to provide the Company’s Board of Directors both a business and legal perspective on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75565</wp:posOffset>
            </wp:positionV>
            <wp:extent cx="5777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6280"/>
          </w:cols>
          <w:pgMar w:left="1280" w:top="265" w:right="1299" w:bottom="1440" w:gutter="0" w:footer="0" w:header="0"/>
          <w:type w:val="continuous"/>
        </w:sectPr>
      </w:pPr>
    </w:p>
    <w:p>
      <w:pPr>
        <w:spacing w:after="0" w:line="29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b w:val="1"/>
                <w:bCs w:val="1"/>
                <w:color w:val="2D64AF"/>
              </w:rPr>
              <w:t>Nicole R. Tzetzo</w:t>
            </w:r>
          </w:p>
        </w:tc>
        <w:tc>
          <w:tcPr>
            <w:tcW w:w="6600" w:type="dxa"/>
            <w:vAlign w:val="bottom"/>
          </w:tcPr>
          <w:p>
            <w:pPr>
              <w:ind w:left="500"/>
              <w:spacing w:after="0"/>
              <w:rPr>
                <w:sz w:val="20"/>
                <w:szCs w:val="20"/>
                <w:color w:val="auto"/>
              </w:rPr>
            </w:pPr>
            <w:r>
              <w:rPr>
                <w:rFonts w:ascii="Arial" w:cs="Arial" w:eastAsia="Arial" w:hAnsi="Arial"/>
                <w:sz w:val="15"/>
                <w:szCs w:val="15"/>
                <w:color w:val="auto"/>
              </w:rPr>
              <w:t>Ms. Tzetzo serves as Chief Operating Officer of Tzetzo Companies LLC, a residential and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commercial real estate company with primary focus in senior care facilities. From 2016 to</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2018 she served as the first Vice President of Finance and Administration at the Ralph C.</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Wilson, Jr. Foundation, a billion-dollar foundation, where she was responsible for all of the</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Foundation’s legal and financial operations. Ms. Tzetzo’s career as a tax attorney included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partner roles at Hodgson Russ, LLP (2019 to March 2021) and Jaeckle Fleischmann &amp;</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Mugel, LLP (2006 to 2016), where she represented numerous for-profit and not-for-profit</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clients on general tax and business matters. She currently is and has been involved with</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numerous private and non-profit boards. Ms. Tzetzo has served in management and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leadership roles throughout her legal career. Her significant business and legal experience</w:t>
            </w:r>
          </w:p>
        </w:tc>
      </w:tr>
      <w:tr>
        <w:trPr>
          <w:trHeight w:val="184"/>
        </w:trPr>
        <w:tc>
          <w:tcPr>
            <w:tcW w:w="2000" w:type="dxa"/>
            <w:vAlign w:val="bottom"/>
          </w:tcPr>
          <w:p>
            <w:pPr>
              <w:spacing w:after="0"/>
              <w:rPr>
                <w:sz w:val="16"/>
                <w:szCs w:val="16"/>
                <w:color w:val="auto"/>
              </w:rPr>
            </w:pPr>
          </w:p>
        </w:tc>
        <w:tc>
          <w:tcPr>
            <w:tcW w:w="6600" w:type="dxa"/>
            <w:vAlign w:val="bottom"/>
          </w:tcPr>
          <w:p>
            <w:pPr>
              <w:ind w:left="500"/>
              <w:spacing w:after="0"/>
              <w:rPr>
                <w:sz w:val="20"/>
                <w:szCs w:val="20"/>
                <w:color w:val="auto"/>
              </w:rPr>
            </w:pPr>
            <w:r>
              <w:rPr>
                <w:rFonts w:ascii="Arial" w:cs="Arial" w:eastAsia="Arial" w:hAnsi="Arial"/>
                <w:sz w:val="15"/>
                <w:szCs w:val="15"/>
                <w:color w:val="auto"/>
              </w:rPr>
              <w:t>make her highly qualified to serve as a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-1005840</wp:posOffset>
            </wp:positionV>
            <wp:extent cx="857250" cy="119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7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49</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298" w:lineRule="exact"/>
        <w:rPr>
          <w:sz w:val="20"/>
          <w:szCs w:val="20"/>
          <w:color w:val="auto"/>
        </w:rPr>
      </w:pPr>
    </w:p>
    <w:p>
      <w:pPr>
        <w:ind w:left="5760"/>
        <w:spacing w:after="0"/>
        <w:tabs>
          <w:tab w:leader="none" w:pos="9020" w:val="left"/>
        </w:tabs>
        <w:rPr>
          <w:sz w:val="20"/>
          <w:szCs w:val="20"/>
          <w:color w:val="auto"/>
        </w:rPr>
      </w:pPr>
      <w:r>
        <w:rPr>
          <w:rFonts w:ascii="Arial" w:cs="Arial" w:eastAsia="Arial" w:hAnsi="Arial"/>
          <w:sz w:val="13"/>
          <w:szCs w:val="13"/>
          <w:color w:val="auto"/>
        </w:rPr>
        <w:t>Allied Motion Technologies Inc. | 2023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460" w:type="dxa"/>
            <w:vAlign w:val="bottom"/>
          </w:tcPr>
          <w:p>
            <w:pPr>
              <w:spacing w:after="0"/>
              <w:rPr>
                <w:sz w:val="24"/>
                <w:szCs w:val="24"/>
                <w:color w:val="auto"/>
              </w:rPr>
            </w:pPr>
          </w:p>
        </w:tc>
        <w:tc>
          <w:tcPr>
            <w:tcW w:w="6660" w:type="dxa"/>
            <w:vAlign w:val="bottom"/>
            <w:gridSpan w:val="2"/>
          </w:tcPr>
          <w:p>
            <w:pPr>
              <w:ind w:left="2380"/>
              <w:spacing w:after="0"/>
              <w:rPr>
                <w:sz w:val="20"/>
                <w:szCs w:val="20"/>
                <w:color w:val="auto"/>
              </w:rPr>
            </w:pPr>
            <w:r>
              <w:rPr>
                <w:rFonts w:ascii="Arial" w:cs="Arial" w:eastAsia="Arial" w:hAnsi="Arial"/>
                <w:sz w:val="23"/>
                <w:szCs w:val="23"/>
                <w:b w:val="1"/>
                <w:bCs w:val="1"/>
                <w:color w:val="2D64AF"/>
                <w:w w:val="93"/>
              </w:rPr>
              <w:t>Corporate Governance and Board Matters</w:t>
            </w:r>
          </w:p>
        </w:tc>
        <w:tc>
          <w:tcPr>
            <w:tcW w:w="0" w:type="dxa"/>
            <w:vAlign w:val="bottom"/>
          </w:tcPr>
          <w:p>
            <w:pPr>
              <w:spacing w:after="0"/>
              <w:rPr>
                <w:sz w:val="1"/>
                <w:szCs w:val="1"/>
                <w:color w:val="auto"/>
              </w:rPr>
            </w:pPr>
          </w:p>
        </w:tc>
      </w:tr>
      <w:tr>
        <w:trPr>
          <w:trHeight w:val="106"/>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Richard S. Warzala</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Warzala has a strong management and technical background in the motion control</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6660" w:type="dxa"/>
            <w:vAlign w:val="bottom"/>
            <w:gridSpan w:val="2"/>
          </w:tcPr>
          <w:p>
            <w:pPr>
              <w:ind w:left="360"/>
              <w:spacing w:after="0" w:line="145" w:lineRule="exact"/>
              <w:rPr>
                <w:sz w:val="20"/>
                <w:szCs w:val="20"/>
                <w:color w:val="auto"/>
              </w:rPr>
            </w:pPr>
            <w:r>
              <w:rPr>
                <w:rFonts w:ascii="Arial" w:cs="Arial" w:eastAsia="Arial" w:hAnsi="Arial"/>
                <w:sz w:val="15"/>
                <w:szCs w:val="15"/>
                <w:color w:val="auto"/>
              </w:rPr>
              <w:t>industry and has served as Chairman of the Board since February 2014. Mr. Warzala joined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Allied Motion as President and Chief Operating Officer in May 2002 and was appointed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President and Chief Executive Officer in May 2009. Prior to joining Allied Motion, Mr. Warzala</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was President of the Motion Components Group of Danaher Corporation and held various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positions at American Precision Industries Inc., including Corporate Vice President and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President of its API Motion Division. Pursuant to his employment agreement, as long as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Mr. Warzala is Chief Executive Officer and is willing to serve, the Board of Directors will</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nominate him for election to the Board. His leadership experience and Company and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industry knowledge, with 32 years of motion experience, provide valuable insight to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Board of Directors in formulating and executing the Company’s strategy. Mr. Warzala has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also served on the Board of Directors of Astronova, Inc. since December 2017 where he</w:t>
            </w:r>
          </w:p>
        </w:tc>
        <w:tc>
          <w:tcPr>
            <w:tcW w:w="0" w:type="dxa"/>
            <w:vAlign w:val="bottom"/>
          </w:tcPr>
          <w:p>
            <w:pPr>
              <w:spacing w:after="0"/>
              <w:rPr>
                <w:sz w:val="1"/>
                <w:szCs w:val="1"/>
                <w:color w:val="auto"/>
              </w:rPr>
            </w:pPr>
          </w:p>
        </w:tc>
      </w:tr>
      <w:tr>
        <w:trPr>
          <w:trHeight w:val="184"/>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serves as the Lead Director and Chair of the Compensation Committee.</w:t>
            </w:r>
          </w:p>
        </w:tc>
        <w:tc>
          <w:tcPr>
            <w:tcW w:w="0" w:type="dxa"/>
            <w:vAlign w:val="bottom"/>
          </w:tcPr>
          <w:p>
            <w:pPr>
              <w:spacing w:after="0"/>
              <w:rPr>
                <w:sz w:val="1"/>
                <w:szCs w:val="1"/>
                <w:color w:val="auto"/>
              </w:rPr>
            </w:pPr>
          </w:p>
        </w:tc>
      </w:tr>
      <w:tr>
        <w:trPr>
          <w:trHeight w:val="144"/>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69</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2006</w:t>
            </w: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Michael R. Winter</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Winter is a former partner in the Buffalo, New York office of PricewaterhouseCoopers</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6660" w:type="dxa"/>
            <w:vAlign w:val="bottom"/>
            <w:gridSpan w:val="2"/>
          </w:tcPr>
          <w:p>
            <w:pPr>
              <w:ind w:left="360"/>
              <w:spacing w:after="0" w:line="145" w:lineRule="exact"/>
              <w:rPr>
                <w:sz w:val="20"/>
                <w:szCs w:val="20"/>
                <w:color w:val="auto"/>
              </w:rPr>
            </w:pPr>
            <w:r>
              <w:rPr>
                <w:rFonts w:ascii="Arial" w:cs="Arial" w:eastAsia="Arial" w:hAnsi="Arial"/>
                <w:sz w:val="15"/>
                <w:szCs w:val="15"/>
                <w:color w:val="auto"/>
              </w:rPr>
              <w:t>LLP (“PwC”), serving in that role from 1987 until his retirement in June 2014. During his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tenure, Mr. Winter was responsible for leading the delivery of assurance services to public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entities with experience serving many sectors including Consumer and Industrial Products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Manufacturing, Energy and Healthcare. Since 2010 he was also a member of the PwC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National Office based in New Jersey, which serves as support for all PwC U.S. practice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offices. Mr. Winter served on the Board of Directors of Gas Natural, Inc. (EGAS) from</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October 2014 through its sale in August 2017. His accounting and business expertise,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including an in-depth understanding of the preparation and analysis of financial statements,</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makes him highly qualified to serve as a director.</w:t>
            </w:r>
          </w:p>
        </w:tc>
        <w:tc>
          <w:tcPr>
            <w:tcW w:w="0" w:type="dxa"/>
            <w:vAlign w:val="bottom"/>
          </w:tcPr>
          <w:p>
            <w:pPr>
              <w:spacing w:after="0"/>
              <w:rPr>
                <w:sz w:val="1"/>
                <w:szCs w:val="1"/>
                <w:color w:val="auto"/>
              </w:rPr>
            </w:pPr>
          </w:p>
        </w:tc>
      </w:tr>
      <w:tr>
        <w:trPr>
          <w:trHeight w:val="631"/>
        </w:trPr>
        <w:tc>
          <w:tcPr>
            <w:tcW w:w="2460" w:type="dxa"/>
            <w:vAlign w:val="bottom"/>
          </w:tcPr>
          <w:p>
            <w:pPr>
              <w:ind w:left="340"/>
              <w:spacing w:after="0"/>
              <w:rPr>
                <w:sz w:val="20"/>
                <w:szCs w:val="20"/>
                <w:color w:val="auto"/>
              </w:rPr>
            </w:pPr>
            <w:r>
              <w:rPr>
                <w:rFonts w:ascii="Arial" w:cs="Arial" w:eastAsia="Arial" w:hAnsi="Arial"/>
                <w:sz w:val="14"/>
                <w:szCs w:val="14"/>
                <w:color w:val="auto"/>
              </w:rPr>
              <w:t> </w:t>
            </w: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69</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2014</w:t>
            </w: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-3643630</wp:posOffset>
            </wp:positionV>
            <wp:extent cx="857250" cy="119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119126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-1577340</wp:posOffset>
            </wp:positionV>
            <wp:extent cx="857250" cy="1191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83" w:lineRule="exact"/>
        <w:rPr>
          <w:sz w:val="20"/>
          <w:szCs w:val="20"/>
          <w:color w:val="auto"/>
        </w:rPr>
      </w:pPr>
    </w:p>
    <w:p>
      <w:pPr>
        <w:ind w:left="440" w:hanging="218"/>
        <w:spacing w:after="0"/>
        <w:tabs>
          <w:tab w:leader="none" w:pos="4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131445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5"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D64AF"/>
        </w:rPr>
        <w:t>Corporate Governance and Board Matters</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Board Diversity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Recently adopted Nasdaq listing requirements require each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listed company to have, or explain why it does not have, two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diverse directors on the board, including at least one diverse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who self-identifies as female and one diverse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who self-identifies as an underrepresented minority or LGBTQ+ (subject to the exceptions). Our current board composition complies with the Nasdaq diversity requirement.</w:t>
      </w:r>
    </w:p>
    <w:p>
      <w:pPr>
        <w:spacing w:after="0" w:line="282" w:lineRule="exact"/>
        <w:rPr>
          <w:sz w:val="20"/>
          <w:szCs w:val="20"/>
          <w:color w:val="auto"/>
        </w:rPr>
      </w:pPr>
    </w:p>
    <w:p>
      <w:pPr>
        <w:sectPr>
          <w:pgSz w:w="11900" w:h="16838" w:orient="portrait"/>
          <w:cols w:equalWidth="0" w:num="2">
            <w:col w:w="4620" w:space="260"/>
            <w:col w:w="4440"/>
          </w:cols>
          <w:pgMar w:left="1280" w:top="265" w:right="1299" w:bottom="738" w:gutter="0" w:footer="0" w:header="0"/>
        </w:sectPr>
      </w:pPr>
    </w:p>
    <w:p>
      <w:pPr>
        <w:ind w:left="220" w:right="80"/>
        <w:spacing w:after="0" w:line="257" w:lineRule="auto"/>
        <w:rPr>
          <w:sz w:val="20"/>
          <w:szCs w:val="20"/>
          <w:color w:val="auto"/>
        </w:rPr>
      </w:pPr>
      <w:r>
        <w:rPr>
          <w:rFonts w:ascii="Arial" w:cs="Arial" w:eastAsia="Arial" w:hAnsi="Arial"/>
          <w:sz w:val="16"/>
          <w:szCs w:val="16"/>
          <w:color w:val="auto"/>
        </w:rPr>
        <w:t>The table below provides certain highlights of the composition of our board members, each of whom are nominees for election at the Annual Meeting. Each of the categories included in the below table has the meaning as it is used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151765</wp:posOffset>
            </wp:positionV>
            <wp:extent cx="5777865" cy="3308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7865" cy="3308985"/>
                    </a:xfrm>
                    <a:prstGeom prst="rect">
                      <a:avLst/>
                    </a:prstGeom>
                    <a:noFill/>
                  </pic:spPr>
                </pic:pic>
              </a:graphicData>
            </a:graphic>
          </wp:anchor>
        </w:drawing>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2D64AF"/>
        </w:rPr>
        <w:t>Board Diversity Matrix (As of December 31, 2022)</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275"/>
        </w:trPr>
        <w:tc>
          <w:tcPr>
            <w:tcW w:w="3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2D64AF"/>
              </w:rPr>
              <w:t>Total Number of Directors</w:t>
            </w:r>
          </w:p>
        </w:tc>
        <w:tc>
          <w:tcPr>
            <w:tcW w:w="12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jc w:val="right"/>
              <w:ind w:right="804"/>
              <w:spacing w:after="0"/>
              <w:rPr>
                <w:sz w:val="20"/>
                <w:szCs w:val="20"/>
                <w:color w:val="auto"/>
              </w:rPr>
            </w:pPr>
            <w:r>
              <w:rPr>
                <w:rFonts w:ascii="Arial" w:cs="Arial" w:eastAsia="Arial" w:hAnsi="Arial"/>
                <w:sz w:val="15"/>
                <w:szCs w:val="15"/>
                <w:b w:val="1"/>
                <w:bCs w:val="1"/>
                <w:color w:val="2D64AF"/>
              </w:rPr>
              <w:t>7</w:t>
            </w:r>
          </w:p>
        </w:tc>
        <w:tc>
          <w:tcPr>
            <w:tcW w:w="1580" w:type="dxa"/>
            <w:vAlign w:val="bottom"/>
            <w:tcBorders>
              <w:top w:val="single" w:sz="8" w:color="auto"/>
            </w:tcBorders>
          </w:tcPr>
          <w:p>
            <w:pPr>
              <w:spacing w:after="0"/>
              <w:rPr>
                <w:sz w:val="23"/>
                <w:szCs w:val="23"/>
                <w:color w:val="auto"/>
              </w:rPr>
            </w:pP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15"/>
        </w:trPr>
        <w:tc>
          <w:tcPr>
            <w:tcW w:w="3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80" w:type="dxa"/>
            <w:vAlign w:val="bottom"/>
          </w:tcPr>
          <w:p>
            <w:pPr>
              <w:jc w:val="center"/>
              <w:ind w:left="164"/>
              <w:spacing w:after="0"/>
              <w:rPr>
                <w:sz w:val="20"/>
                <w:szCs w:val="20"/>
                <w:color w:val="auto"/>
              </w:rPr>
            </w:pPr>
            <w:r>
              <w:rPr>
                <w:rFonts w:ascii="Arial" w:cs="Arial" w:eastAsia="Arial" w:hAnsi="Arial"/>
                <w:sz w:val="15"/>
                <w:szCs w:val="15"/>
                <w:b w:val="1"/>
                <w:bCs w:val="1"/>
                <w:color w:val="2D64AF"/>
              </w:rPr>
              <w:t>Did Not Disclose</w:t>
            </w:r>
          </w:p>
        </w:tc>
      </w:tr>
      <w:tr>
        <w:trPr>
          <w:trHeight w:val="202"/>
        </w:trPr>
        <w:tc>
          <w:tcPr>
            <w:tcW w:w="3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320"/>
              <w:spacing w:after="0"/>
              <w:rPr>
                <w:sz w:val="20"/>
                <w:szCs w:val="20"/>
                <w:color w:val="auto"/>
              </w:rPr>
            </w:pPr>
            <w:r>
              <w:rPr>
                <w:rFonts w:ascii="Arial" w:cs="Arial" w:eastAsia="Arial" w:hAnsi="Arial"/>
                <w:sz w:val="15"/>
                <w:szCs w:val="15"/>
                <w:b w:val="1"/>
                <w:bCs w:val="1"/>
                <w:color w:val="2D64AF"/>
              </w:rPr>
              <w:t>Female</w:t>
            </w:r>
          </w:p>
        </w:tc>
        <w:tc>
          <w:tcPr>
            <w:tcW w:w="980" w:type="dxa"/>
            <w:vAlign w:val="bottom"/>
            <w:tcBorders>
              <w:right w:val="single" w:sz="8" w:color="auto"/>
            </w:tcBorders>
          </w:tcPr>
          <w:p>
            <w:pPr>
              <w:ind w:left="300"/>
              <w:spacing w:after="0"/>
              <w:rPr>
                <w:sz w:val="20"/>
                <w:szCs w:val="20"/>
                <w:color w:val="auto"/>
              </w:rPr>
            </w:pPr>
            <w:r>
              <w:rPr>
                <w:rFonts w:ascii="Arial" w:cs="Arial" w:eastAsia="Arial" w:hAnsi="Arial"/>
                <w:sz w:val="15"/>
                <w:szCs w:val="15"/>
                <w:b w:val="1"/>
                <w:bCs w:val="1"/>
                <w:color w:val="2D64AF"/>
              </w:rPr>
              <w:t>Male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2D64AF"/>
              </w:rPr>
              <w:t>Non-Binary</w:t>
            </w:r>
          </w:p>
        </w:tc>
        <w:tc>
          <w:tcPr>
            <w:tcW w:w="1580" w:type="dxa"/>
            <w:vAlign w:val="bottom"/>
          </w:tcPr>
          <w:p>
            <w:pPr>
              <w:jc w:val="center"/>
              <w:ind w:left="164"/>
              <w:spacing w:after="0"/>
              <w:rPr>
                <w:sz w:val="20"/>
                <w:szCs w:val="20"/>
                <w:color w:val="auto"/>
              </w:rPr>
            </w:pPr>
            <w:r>
              <w:rPr>
                <w:rFonts w:ascii="Arial" w:cs="Arial" w:eastAsia="Arial" w:hAnsi="Arial"/>
                <w:sz w:val="15"/>
                <w:szCs w:val="15"/>
                <w:b w:val="1"/>
                <w:bCs w:val="1"/>
                <w:color w:val="2D64AF"/>
              </w:rPr>
              <w:t>Gender</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120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Directors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120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African American or Black</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Alaskan Native or Native American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Asian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Hispanic or Latinx</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Native Hawaiian or Pacific Islander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White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Two or More Races or Ethnicities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5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LGBTQ+</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r>
      <w:tr>
        <w:trPr>
          <w:trHeight w:val="62"/>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60"/>
        </w:trPr>
        <w:tc>
          <w:tcPr>
            <w:tcW w:w="3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color w:val="auto"/>
              </w:rPr>
              <w:t>-</w:t>
            </w:r>
          </w:p>
        </w:tc>
      </w:tr>
    </w:tbl>
    <w:p>
      <w:pPr>
        <w:spacing w:after="0" w:line="186" w:lineRule="exact"/>
        <w:rPr>
          <w:sz w:val="20"/>
          <w:szCs w:val="20"/>
          <w:color w:val="auto"/>
        </w:rPr>
      </w:pPr>
    </w:p>
    <w:p>
      <w:pPr>
        <w:sectPr>
          <w:pgSz w:w="11900" w:h="16838" w:orient="portrait"/>
          <w:cols w:equalWidth="0" w:num="1">
            <w:col w:w="9320"/>
          </w:cols>
          <w:pgMar w:left="1280" w:top="265" w:right="1299" w:bottom="738"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Independent Directors</w:t>
      </w:r>
    </w:p>
    <w:p>
      <w:pPr>
        <w:spacing w:after="0" w:line="150"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Human Capital and Compensation Committee and Governance and Nominating Committee, must meet the test of “independence” as defined by Nasdaq. The Nasdaq standards provide that to qualify as an “independent” director, in addition to satisfying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bright-line criteria, the Board of Directors must affirmatively determine that a director has no material relationship with the Company. The Board of Directors has determined that each director nominee, other than Mr. Warzala, satisfies the bright-line criteria and that no other director or nominee has a relationship with the Company that would interfere with such person’s ability to exercise independent judgment as a member of our Board.</w:t>
      </w:r>
    </w:p>
    <w:p>
      <w:pPr>
        <w:spacing w:after="0" w:line="134" w:lineRule="exact"/>
        <w:rPr>
          <w:sz w:val="20"/>
          <w:szCs w:val="20"/>
          <w:color w:val="auto"/>
        </w:rPr>
      </w:pPr>
    </w:p>
    <w:p>
      <w:pPr>
        <w:sectPr>
          <w:pgSz w:w="11900" w:h="16838" w:orient="portrait"/>
          <w:cols w:equalWidth="0" w:num="2">
            <w:col w:w="4560" w:space="320"/>
            <w:col w:w="4440"/>
          </w:cols>
          <w:pgMar w:left="1280" w:top="265" w:right="1299" w:bottom="738"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Board Leadership Structure</w:t>
      </w:r>
    </w:p>
    <w:p>
      <w:pPr>
        <w:spacing w:after="0" w:line="15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103"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 responsibilities include: providing leadership to ensure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Board and Committee levels. Six of the seven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w:t>
      </w:r>
    </w:p>
    <w:p>
      <w:pPr>
        <w:spacing w:after="0" w:line="201" w:lineRule="exact"/>
        <w:rPr>
          <w:sz w:val="20"/>
          <w:szCs w:val="20"/>
          <w:color w:val="auto"/>
        </w:rPr>
      </w:pPr>
    </w:p>
    <w:p>
      <w:pPr>
        <w:sectPr>
          <w:pgSz w:w="11900" w:h="16838" w:orient="portrait"/>
          <w:cols w:equalWidth="0" w:num="2">
            <w:col w:w="4600" w:space="280"/>
            <w:col w:w="4440"/>
          </w:cols>
          <w:pgMar w:left="1280" w:top="265" w:right="1299" w:bottom="738" w:gutter="0" w:footer="0" w:header="0"/>
          <w:type w:val="continuous"/>
        </w:sectPr>
      </w:pPr>
    </w:p>
    <w:p>
      <w:pPr>
        <w:spacing w:after="0" w:line="35" w:lineRule="exact"/>
        <w:rPr>
          <w:sz w:val="20"/>
          <w:szCs w:val="20"/>
          <w:color w:val="auto"/>
        </w:rPr>
      </w:pPr>
    </w:p>
    <w:p>
      <w:pPr>
        <w:ind w:left="5760"/>
        <w:spacing w:after="0"/>
        <w:tabs>
          <w:tab w:leader="none" w:pos="9020" w:val="left"/>
        </w:tabs>
        <w:rPr>
          <w:sz w:val="20"/>
          <w:szCs w:val="20"/>
          <w:color w:val="auto"/>
        </w:rPr>
      </w:pPr>
      <w:r>
        <w:rPr>
          <w:rFonts w:ascii="Arial" w:cs="Arial" w:eastAsia="Arial" w:hAnsi="Arial"/>
          <w:sz w:val="13"/>
          <w:szCs w:val="13"/>
          <w:color w:val="auto"/>
        </w:rPr>
        <w:t>Allied Motion Technologies Inc. | 2023 Proxy Statement |</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738"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9179"/>
          </w:cols>
          <w:pgMar w:left="128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Human Capital and Compensation Committee and Governance and Nominating Committee,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2D64AF"/>
        </w:rPr>
        <w:t>Corporate Governance and Board Matters</w:t>
      </w:r>
    </w:p>
    <w:p>
      <w:pPr>
        <w:spacing w:after="0" w:line="170" w:lineRule="exact"/>
        <w:rPr>
          <w:sz w:val="20"/>
          <w:szCs w:val="20"/>
          <w:color w:val="auto"/>
        </w:rPr>
      </w:pPr>
    </w:p>
    <w:p>
      <w:pPr>
        <w:ind w:right="79"/>
        <w:spacing w:after="0" w:line="260" w:lineRule="auto"/>
        <w:rPr>
          <w:sz w:val="20"/>
          <w:szCs w:val="20"/>
          <w:color w:val="auto"/>
        </w:rPr>
      </w:pPr>
      <w:r>
        <w:rPr>
          <w:rFonts w:ascii="Arial" w:cs="Arial" w:eastAsia="Arial" w:hAnsi="Arial"/>
          <w:sz w:val="16"/>
          <w:szCs w:val="16"/>
          <w:color w:val="auto"/>
        </w:rPr>
        <w:t>of which are comprised entirely of independent Directors, also perform oversight functions independent of management.</w:t>
      </w:r>
    </w:p>
    <w:p>
      <w:pPr>
        <w:spacing w:after="0" w:line="87"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214" w:lineRule="exact"/>
        <w:rPr>
          <w:sz w:val="20"/>
          <w:szCs w:val="20"/>
          <w:color w:val="auto"/>
        </w:rPr>
      </w:pPr>
    </w:p>
    <w:p>
      <w:pPr>
        <w:sectPr>
          <w:pgSz w:w="11900" w:h="16838" w:orient="portrait"/>
          <w:cols w:equalWidth="0" w:num="2">
            <w:col w:w="4440" w:space="220"/>
            <w:col w:w="4519"/>
          </w:cols>
          <w:pgMar w:left="1280" w:top="265"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Shareholder Communication with the Board</w:t>
      </w:r>
    </w:p>
    <w:p>
      <w:pPr>
        <w:sectPr>
          <w:pgSz w:w="11900" w:h="16838" w:orient="portrait"/>
          <w:cols w:equalWidth="0" w:num="1">
            <w:col w:w="9179"/>
          </w:cols>
          <w:pgMar w:left="1280" w:top="265" w:right="1440" w:bottom="1440" w:gutter="0" w:footer="0" w:header="0"/>
          <w:type w:val="continuous"/>
        </w:sectPr>
      </w:pP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provide an informal process for shareholders to send communications to the Board of Directors. Shareholders who wish to contact the Board of Directors or any of its members may do so in writing to Allied Motion Technologies Inc.,</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99"/>
        <w:spacing w:after="0" w:line="251" w:lineRule="auto"/>
        <w:rPr>
          <w:sz w:val="20"/>
          <w:szCs w:val="20"/>
          <w:color w:val="auto"/>
        </w:rPr>
      </w:pPr>
      <w:r>
        <w:rPr>
          <w:rFonts w:ascii="Arial" w:cs="Arial" w:eastAsia="Arial" w:hAnsi="Arial"/>
          <w:sz w:val="16"/>
          <w:szCs w:val="16"/>
          <w:color w:val="auto"/>
        </w:rPr>
        <w:t>495 Commerce Drive, Suite 3, Amherst, New York 14228. Correspondence directed to an individual board member will be referred to that member. Correspondence not directed to a particular board member will be referred to the Lead Director.</w:t>
      </w:r>
    </w:p>
    <w:p>
      <w:pPr>
        <w:spacing w:after="0" w:line="116" w:lineRule="exact"/>
        <w:rPr>
          <w:sz w:val="20"/>
          <w:szCs w:val="20"/>
          <w:color w:val="auto"/>
        </w:rPr>
      </w:pPr>
    </w:p>
    <w:p>
      <w:pPr>
        <w:sectPr>
          <w:pgSz w:w="11900" w:h="16838" w:orient="portrait"/>
          <w:cols w:equalWidth="0" w:num="2">
            <w:col w:w="4360" w:space="300"/>
            <w:col w:w="4519"/>
          </w:cols>
          <w:pgMar w:left="1280" w:top="265"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Committees and Meeting Data</w:t>
      </w:r>
    </w:p>
    <w:p>
      <w:pPr>
        <w:spacing w:after="0" w:line="15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The Board of Directors has a standing Audit Committee, Human Capital and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6"/>
          <w:szCs w:val="16"/>
          <w:b w:val="1"/>
          <w:bCs w:val="1"/>
          <w:u w:val="single" w:color="auto"/>
          <w:color w:val="2D64AF"/>
        </w:rPr>
        <w:t>www.alliedmotion.com</w:t>
      </w:r>
      <w:r>
        <w:rPr>
          <w:rFonts w:ascii="Arial" w:cs="Arial" w:eastAsia="Arial" w:hAnsi="Arial"/>
          <w:sz w:val="16"/>
          <w:szCs w:val="16"/>
          <w:color w:val="auto"/>
        </w:rPr>
        <w:t>.</w:t>
      </w:r>
    </w:p>
    <w:p>
      <w:pPr>
        <w:spacing w:after="0" w:line="10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six meetings during 2022 and consisted of Messrs. Winter (Chair), Engel and Tanous. Each member of the Audit Committee meets the current independence and experience requirements of Nasdaq and the SEC. Messrs. Winter and Engel have each been designated as an “Audit Committee financial expert” in accordance with the SEC rules and regulations and each qualify as a financially sophisticated audit committee member under the Nasdaq listing standards. See “Report of the Audit Committee” below.</w:t>
      </w:r>
    </w:p>
    <w:p>
      <w:pPr>
        <w:spacing w:after="0" w:line="10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Human Capital and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Human Capital and Compensation Committee also reviews and approves all awards granted under the Company’s stock incentive plan and performs other functions regarding compensation as the Board may delegate. In addition, the Human Capital and Compensation Committee (i) reviews and oversees the Company’s human capital management strategies,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99"/>
        <w:spacing w:after="0" w:line="247" w:lineRule="auto"/>
        <w:rPr>
          <w:sz w:val="20"/>
          <w:szCs w:val="20"/>
          <w:color w:val="auto"/>
        </w:rPr>
      </w:pPr>
      <w:r>
        <w:rPr>
          <w:rFonts w:ascii="Arial" w:cs="Arial" w:eastAsia="Arial" w:hAnsi="Arial"/>
          <w:sz w:val="16"/>
          <w:szCs w:val="16"/>
          <w:color w:val="auto"/>
        </w:rPr>
        <w:t>and programs, including initiatives to enhance the engagement, diversity, skills, bench strength and recognition of the Company’s human capital, (ii) monitors and receives reports from management on no less than a semi-annual basis on the progress of the Company’s strategies, efforts and initiatives to promote diversity, equity and inclusion and an environment that is free from discrimination, prejudice and retribution, and (iii) reviews and assists the Board in developing succession plans for the CEO and other executive officers. The Human Capital and Compensation Committee met eight times during 2022 and consisted of Messrs. Federico (Chair), Engel and Finch and Ms. Tzetzo.</w:t>
      </w:r>
    </w:p>
    <w:p>
      <w:pPr>
        <w:spacing w:after="0" w:line="104" w:lineRule="exact"/>
        <w:rPr>
          <w:sz w:val="20"/>
          <w:szCs w:val="20"/>
          <w:color w:val="auto"/>
        </w:rPr>
      </w:pPr>
    </w:p>
    <w:p>
      <w:pPr>
        <w:ind w:right="179"/>
        <w:spacing w:after="0" w:line="246" w:lineRule="auto"/>
        <w:rPr>
          <w:sz w:val="20"/>
          <w:szCs w:val="20"/>
          <w:color w:val="auto"/>
        </w:rPr>
      </w:pPr>
      <w:r>
        <w:rPr>
          <w:rFonts w:ascii="Arial" w:cs="Arial" w:eastAsia="Arial" w:hAnsi="Arial"/>
          <w:sz w:val="16"/>
          <w:szCs w:val="16"/>
          <w:color w:val="auto"/>
        </w:rPr>
        <w:t>The Governance and Nominating Committee of our Board of Directors (i) monitors and oversees matters of corporate governance, including the evaluation of Board performance and processes and the “independence” of directors, and</w:t>
      </w:r>
    </w:p>
    <w:p>
      <w:pPr>
        <w:spacing w:after="0" w:line="2" w:lineRule="exact"/>
        <w:rPr>
          <w:sz w:val="20"/>
          <w:szCs w:val="20"/>
          <w:color w:val="auto"/>
        </w:rPr>
      </w:pPr>
    </w:p>
    <w:p>
      <w:pPr>
        <w:ind w:right="79" w:firstLine="4"/>
        <w:spacing w:after="0" w:line="247" w:lineRule="auto"/>
        <w:tabs>
          <w:tab w:leader="none" w:pos="2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 In addition, the Governance and Nominating Committee assists the Board in its oversight of the Company’s processes for management and communication of key risks, as well as the guidelines, policies and processes for monitoring and mitigating such risks. The Governance and Nominating Committee also oversees the Company’s (i) strategies, activities and policies regarding sustainability and other environmental, social and governance related matters and (ii) legal and regulatory compliance and its policies, procedures and programs designated to promote and monitor legal and regulatory compliance. The Governance and Nominating Committee has primary responsibility to oversee compliance with the Company’s Code of Ethics and Business Conduct and assists the Board in reviewing related person transactions. The committee met four times during 2022 and consisted of Messrs. Tanous (Chair), Federico, Winter and Ms. Tzetzo.</w:t>
      </w:r>
    </w:p>
    <w:p>
      <w:pPr>
        <w:spacing w:after="0" w:line="136" w:lineRule="exact"/>
        <w:rPr>
          <w:sz w:val="20"/>
          <w:szCs w:val="20"/>
          <w:color w:val="auto"/>
        </w:rPr>
      </w:pPr>
    </w:p>
    <w:p>
      <w:pPr>
        <w:sectPr>
          <w:pgSz w:w="11900" w:h="16838" w:orient="portrait"/>
          <w:cols w:equalWidth="0" w:num="2">
            <w:col w:w="4440" w:space="220"/>
            <w:col w:w="4519"/>
          </w:cols>
          <w:pgMar w:left="1280" w:top="265"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Risk Oversight</w:t>
      </w:r>
    </w:p>
    <w:p>
      <w:pPr>
        <w:spacing w:after="0" w:line="15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The entire Board of Directors is responsible for oversight of this senior management function. In certain instances, the Board of Directors has delegated oversight of specific risk categories to individual Board Committees. The Audit Committee is responsible for the oversight of risks arising out of financial, capital markets, and technology related activities. The Human Capital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color w:val="auto"/>
        </w:rPr>
        <w:t>Compensation Committee annually reviews the Company’s compensation arrangements to confirm that compensation plans, especially incentive pay arrangements, do not encourage or create opportunities for unnecessary risk-taking. The Governance and Nominating Committee is tasked with the oversight of the Company’s regulatory and shareholder activities, including policies regarding sustainability and other environmental, social and governance related matters. The Human Capital and Compensation</w:t>
      </w:r>
    </w:p>
    <w:p>
      <w:pPr>
        <w:spacing w:after="0" w:line="200" w:lineRule="exact"/>
        <w:rPr>
          <w:sz w:val="20"/>
          <w:szCs w:val="20"/>
          <w:color w:val="auto"/>
        </w:rPr>
      </w:pPr>
    </w:p>
    <w:p>
      <w:pPr>
        <w:sectPr>
          <w:pgSz w:w="11900" w:h="16838" w:orient="portrait"/>
          <w:cols w:equalWidth="0" w:num="2">
            <w:col w:w="4320" w:space="340"/>
            <w:col w:w="4519"/>
          </w:cols>
          <w:pgMar w:left="1280" w:top="265" w:right="1440" w:bottom="1440" w:gutter="0" w:footer="0" w:header="0"/>
          <w:type w:val="continuous"/>
        </w:sectPr>
      </w:pPr>
    </w:p>
    <w:p>
      <w:pPr>
        <w:spacing w:after="0" w:line="52" w:lineRule="exact"/>
        <w:rPr>
          <w:sz w:val="20"/>
          <w:szCs w:val="20"/>
          <w:color w:val="auto"/>
        </w:rPr>
      </w:pPr>
    </w:p>
    <w:p>
      <w:pPr>
        <w:ind w:left="440" w:hanging="218"/>
        <w:spacing w:after="0"/>
        <w:tabs>
          <w:tab w:leader="none" w:pos="440"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2D64AF"/>
        </w:rPr>
        <w:t>Corporate Governance and Board Matters</w:t>
      </w:r>
    </w:p>
    <w:p>
      <w:pPr>
        <w:sectPr>
          <w:pgSz w:w="11900" w:h="16838" w:orient="portrait"/>
          <w:cols w:equalWidth="0" w:num="1">
            <w:col w:w="9280"/>
          </w:cols>
          <w:pgMar w:left="1280" w:top="265" w:right="1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20" w:right="80"/>
        <w:spacing w:after="0" w:line="247" w:lineRule="auto"/>
        <w:rPr>
          <w:sz w:val="20"/>
          <w:szCs w:val="20"/>
          <w:color w:val="auto"/>
        </w:rPr>
      </w:pPr>
      <w:r>
        <w:rPr>
          <w:rFonts w:ascii="Arial" w:cs="Arial" w:eastAsia="Arial" w:hAnsi="Arial"/>
          <w:sz w:val="16"/>
          <w:szCs w:val="16"/>
          <w:color w:val="auto"/>
        </w:rPr>
        <w:t>Committee also has oversight on broader human capital activities such as succession planning, and diversity, equity and inclusion. The Governance and Nominating Committee also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 The full board has risk oversight responsibility for broader strategic activities such as growth initiatives, supplier and customer relationships, and new product development.</w:t>
      </w:r>
    </w:p>
    <w:p>
      <w:pPr>
        <w:spacing w:after="0" w:line="104"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and information from senior management of the Company with respect to the Company’s risk categories, risk assessment, and identification processes. Management regularly reviews with the Board or a Committee, the appropriate risk appetite and risk mitigation strategies. The Board also is regularly updated on the Company’s strategy and strategic goals, which includes management’s analysis of the key risk categories that management analyzed in connection with the strategic planning and plan update processes. The Board and its Committees regularly communicate with or are provided with reports regarding risks from the Company’s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accountants, compensation consultants, outside and internal counsel and other professional advisers. The Board and its Committees are continually evaluating the significant risks faced by the Company and the appropriate Committee or Board to oversee the Company’s strategies for the identification, measurement and mitigation of such risks. In addition to the matters listed in the description of each Committee included above, the risks that are monitored by the Board or a Committee on a regular basis include but are not limited to:</w:t>
      </w:r>
    </w:p>
    <w:p>
      <w:pPr>
        <w:spacing w:after="0" w:line="29" w:lineRule="exact"/>
        <w:rPr>
          <w:sz w:val="20"/>
          <w:szCs w:val="20"/>
          <w:color w:val="auto"/>
        </w:rPr>
      </w:pPr>
    </w:p>
    <w:p>
      <w:pPr>
        <w:ind w:left="180" w:right="120" w:hanging="180"/>
        <w:spacing w:after="0" w:line="251"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Strategic risks, such as customer and market concentration, acquisition growth, organic growth, geographic strategy, new product development related matters, and technology development and obsolescence;</w:t>
      </w:r>
    </w:p>
    <w:p>
      <w:pPr>
        <w:spacing w:after="0" w:line="13" w:lineRule="exact"/>
        <w:rPr>
          <w:rFonts w:ascii="Arial" w:cs="Arial" w:eastAsia="Arial" w:hAnsi="Arial"/>
          <w:sz w:val="16"/>
          <w:szCs w:val="16"/>
          <w:color w:val="auto"/>
        </w:rPr>
      </w:pPr>
    </w:p>
    <w:p>
      <w:pPr>
        <w:ind w:left="180" w:right="260" w:hanging="180"/>
        <w:spacing w:after="0" w:line="260"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Technology risks such as cybersecurity and information technology systems;</w:t>
      </w:r>
    </w:p>
    <w:p>
      <w:pPr>
        <w:spacing w:after="0" w:line="19" w:lineRule="exact"/>
        <w:rPr>
          <w:rFonts w:ascii="Arial" w:cs="Arial" w:eastAsia="Arial" w:hAnsi="Arial"/>
          <w:sz w:val="16"/>
          <w:szCs w:val="16"/>
          <w:color w:val="auto"/>
        </w:rPr>
      </w:pPr>
    </w:p>
    <w:p>
      <w:pPr>
        <w:ind w:left="180" w:right="600" w:hanging="180"/>
        <w:spacing w:after="0" w:line="260"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Financial risks such as accounting, finance, capital markets, foreign exchange and related risks;</w:t>
      </w:r>
    </w:p>
    <w:p>
      <w:pPr>
        <w:spacing w:after="0" w:line="19" w:lineRule="exact"/>
        <w:rPr>
          <w:rFonts w:ascii="Arial" w:cs="Arial" w:eastAsia="Arial" w:hAnsi="Arial"/>
          <w:sz w:val="16"/>
          <w:szCs w:val="16"/>
          <w:color w:val="auto"/>
        </w:rPr>
      </w:pPr>
    </w:p>
    <w:p>
      <w:pPr>
        <w:ind w:left="180" w:hanging="180"/>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and legal risks; and</w:t>
      </w:r>
    </w:p>
    <w:p>
      <w:pPr>
        <w:spacing w:after="0" w:line="32" w:lineRule="exact"/>
        <w:rPr>
          <w:rFonts w:ascii="Arial" w:cs="Arial" w:eastAsia="Arial" w:hAnsi="Arial"/>
          <w:sz w:val="16"/>
          <w:szCs w:val="16"/>
          <w:color w:val="auto"/>
        </w:rPr>
      </w:pPr>
    </w:p>
    <w:p>
      <w:pPr>
        <w:ind w:left="180" w:right="280" w:hanging="180"/>
        <w:spacing w:after="0" w:line="253"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Human capital risks such as strategic and emergency succession planning, talent development, and diversity, equity and inclusion.</w:t>
      </w:r>
    </w:p>
    <w:p>
      <w:pPr>
        <w:spacing w:after="0" w:line="628" w:lineRule="exact"/>
        <w:rPr>
          <w:sz w:val="20"/>
          <w:szCs w:val="20"/>
          <w:color w:val="auto"/>
        </w:rPr>
      </w:pPr>
    </w:p>
    <w:p>
      <w:pPr>
        <w:sectPr>
          <w:pgSz w:w="11900" w:h="16838" w:orient="portrait"/>
          <w:cols w:equalWidth="0" w:num="2">
            <w:col w:w="4640" w:space="240"/>
            <w:col w:w="4400"/>
          </w:cols>
          <w:pgMar w:left="1280" w:top="265" w:right="133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Environmental, Social and Governance (“ESG”) Matters</w:t>
      </w:r>
    </w:p>
    <w:p>
      <w:pPr>
        <w:sectPr>
          <w:pgSz w:w="11900" w:h="16838" w:orient="portrait"/>
          <w:cols w:equalWidth="0" w:num="1">
            <w:col w:w="9280"/>
          </w:cols>
          <w:pgMar w:left="1280" w:top="265" w:right="1339" w:bottom="1440" w:gutter="0" w:footer="0" w:header="0"/>
          <w:type w:val="continuous"/>
        </w:sectPr>
      </w:pPr>
    </w:p>
    <w:p>
      <w:pPr>
        <w:spacing w:after="0" w:line="15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Company’s Governance Committee and its Human Capital and Compensation Committee oversee the Company’s ESG activities. The Governance Committee oversees ESG matters generally, while the Human Capital and Compensation Committee oversees ESG matters relating to human capital and diversity, equity and inclusion. The Company has always been committed to responsible and sustainable business practices that considered the best interest of our customers, employees, suppliers, communities, and other stakeholders. Details of the manner in which the Company has implemented its commitment are set forth below.</w:t>
      </w:r>
    </w:p>
    <w:p>
      <w:pPr>
        <w:spacing w:after="0" w:line="293"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auto"/>
        </w:rPr>
        <w:t>In 2022, the Company retained an independent consulting firm to do a complete assessment of its ESG program, including benchmarking. The purpose of the assessment as to aid the Company in furthering its ESG activities as appropriate for an organization in its business and of its size. The independent consultant made a report to the Company during 2022.</w:t>
      </w:r>
    </w:p>
    <w:p>
      <w:pPr>
        <w:spacing w:after="0" w:line="100"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During 2023 the Company will be working with the independent consultant to take additional steps to enhance its ESG program. The first steps will include:</w:t>
      </w:r>
    </w:p>
    <w:p>
      <w:pPr>
        <w:spacing w:after="0" w:line="12" w:lineRule="exact"/>
        <w:rPr>
          <w:sz w:val="20"/>
          <w:szCs w:val="20"/>
          <w:color w:val="auto"/>
        </w:rPr>
      </w:pPr>
    </w:p>
    <w:p>
      <w:pPr>
        <w:ind w:left="400" w:right="840" w:hanging="182"/>
        <w:spacing w:after="0" w:line="260"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and implementing a Corporate ESG Committee.</w:t>
      </w:r>
    </w:p>
    <w:p>
      <w:pPr>
        <w:spacing w:after="0" w:line="19" w:lineRule="exact"/>
        <w:rPr>
          <w:rFonts w:ascii="Arial" w:cs="Arial" w:eastAsia="Arial" w:hAnsi="Arial"/>
          <w:sz w:val="16"/>
          <w:szCs w:val="16"/>
          <w:color w:val="auto"/>
        </w:rPr>
      </w:pPr>
    </w:p>
    <w:p>
      <w:pPr>
        <w:ind w:left="400" w:right="340" w:hanging="182"/>
        <w:spacing w:after="0" w:line="260"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and issuing an appropriate Corporate ESG Policy.</w:t>
      </w:r>
    </w:p>
    <w:p>
      <w:pPr>
        <w:spacing w:after="0" w:line="19" w:lineRule="exact"/>
        <w:rPr>
          <w:rFonts w:ascii="Arial" w:cs="Arial" w:eastAsia="Arial" w:hAnsi="Arial"/>
          <w:sz w:val="16"/>
          <w:szCs w:val="16"/>
          <w:color w:val="auto"/>
        </w:rPr>
      </w:pPr>
    </w:p>
    <w:p>
      <w:pPr>
        <w:ind w:left="400" w:right="220" w:hanging="182"/>
        <w:spacing w:after="0" w:line="253"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Identifying and quantifying key performance measures appropriate to gauge progress under the Corporate ESG Policy.</w:t>
      </w:r>
    </w:p>
    <w:p>
      <w:pPr>
        <w:spacing w:after="0" w:line="93" w:lineRule="exact"/>
        <w:rPr>
          <w:sz w:val="20"/>
          <w:szCs w:val="20"/>
          <w:color w:val="auto"/>
        </w:rPr>
      </w:pPr>
    </w:p>
    <w:p>
      <w:pPr>
        <w:ind w:left="220" w:right="240"/>
        <w:spacing w:after="0" w:line="250" w:lineRule="auto"/>
        <w:rPr>
          <w:sz w:val="20"/>
          <w:szCs w:val="20"/>
          <w:color w:val="auto"/>
        </w:rPr>
      </w:pPr>
      <w:r>
        <w:rPr>
          <w:rFonts w:ascii="Arial" w:cs="Arial" w:eastAsia="Arial" w:hAnsi="Arial"/>
          <w:sz w:val="16"/>
          <w:szCs w:val="16"/>
          <w:color w:val="auto"/>
        </w:rPr>
        <w:t>The Company is committed to responsible and sustainable business practices that consider the best interests of our customers, employees, suppliers, communities, and other stakeholders. As a global company, our stakeholders and business locations are diverse. The Company fully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understands the expectations associated with this diversity and policies are in place to provide the fundamental practices for our daily operation and other responsibilities of all the Company’s employees.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Corporate Environmental, Health &amp;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Social Responsibility Policy that is predicated upon creating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 for our customers through the development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application of “Motion Solutions That Change the Game”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within a framework that recognizes and encourages us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create value and address the impact of all we do on a much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broader group of stakeholders. This policy, along with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the Company’s Environmental, Health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Social responsibility disclosures is located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Company’s website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64AF"/>
        </w:rPr>
        <w:t>www.alliedmotion.com/environmental-health-and-social-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64AF"/>
        </w:rPr>
        <w:t>responsibility/</w:t>
      </w:r>
      <w:r>
        <w:rPr>
          <w:rFonts w:ascii="Arial" w:cs="Arial" w:eastAsia="Arial" w:hAnsi="Arial"/>
          <w:sz w:val="16"/>
          <w:szCs w:val="16"/>
          <w:color w:val="000000"/>
        </w:rPr>
        <w:t>. The Company creates value for its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constituencies as follows:</w:t>
      </w:r>
    </w:p>
    <w:p>
      <w:pPr>
        <w:spacing w:after="0" w:line="12" w:lineRule="exact"/>
        <w:rPr>
          <w:sz w:val="20"/>
          <w:szCs w:val="20"/>
          <w:color w:val="auto"/>
        </w:rPr>
      </w:pPr>
    </w:p>
    <w:p>
      <w:pPr>
        <w:ind w:left="180" w:right="60" w:hanging="180"/>
        <w:spacing w:after="0" w:line="254"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Shareholders</w:t>
      </w:r>
      <w:r>
        <w:rPr>
          <w:rFonts w:ascii="Arial" w:cs="Arial" w:eastAsia="Arial" w:hAnsi="Arial"/>
          <w:sz w:val="16"/>
          <w:szCs w:val="16"/>
          <w:color w:val="auto"/>
        </w:rPr>
        <w:t>, by increasing our core value in a lawful</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and our commitment to compliance that is socially and environmentally responsible and sustainable. The Company’s published Code of Ethics and Business Conduct reflects our commitment to honest, ethical, and fair conduct.</w:t>
      </w:r>
    </w:p>
    <w:p>
      <w:pPr>
        <w:spacing w:after="0" w:line="6" w:lineRule="exact"/>
        <w:rPr>
          <w:rFonts w:ascii="Arial" w:cs="Arial" w:eastAsia="Arial" w:hAnsi="Arial"/>
          <w:sz w:val="16"/>
          <w:szCs w:val="16"/>
          <w:color w:val="auto"/>
        </w:rPr>
      </w:pPr>
    </w:p>
    <w:p>
      <w:pPr>
        <w:ind w:left="180" w:right="380" w:hanging="180"/>
        <w:spacing w:after="0" w:line="256"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Customers</w:t>
      </w:r>
      <w:r>
        <w:rPr>
          <w:rFonts w:ascii="Arial" w:cs="Arial" w:eastAsia="Arial" w:hAnsi="Arial"/>
          <w:sz w:val="16"/>
          <w:szCs w:val="16"/>
          <w:color w:val="auto"/>
        </w:rPr>
        <w:t>, by our focus on winning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adhere to business principles that are consistent with our own, by developing and providing products and services that offer value while insuring consideration of safety and environmental impacts.</w:t>
      </w:r>
    </w:p>
    <w:p>
      <w:pPr>
        <w:spacing w:after="0" w:line="4" w:lineRule="exact"/>
        <w:rPr>
          <w:rFonts w:ascii="Arial" w:cs="Arial" w:eastAsia="Arial" w:hAnsi="Arial"/>
          <w:sz w:val="16"/>
          <w:szCs w:val="16"/>
          <w:color w:val="auto"/>
        </w:rPr>
      </w:pPr>
    </w:p>
    <w:p>
      <w:pPr>
        <w:ind w:left="180" w:right="100" w:hanging="180"/>
        <w:spacing w:after="0" w:line="253"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Employees</w:t>
      </w:r>
      <w:r>
        <w:rPr>
          <w:rFonts w:ascii="Arial" w:cs="Arial" w:eastAsia="Arial" w:hAnsi="Arial"/>
          <w:sz w:val="16"/>
          <w:szCs w:val="16"/>
          <w:color w:val="auto"/>
        </w:rPr>
        <w:t>, by promoting their involvement,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participation at all levels, stimulating creativity, innovation, and teamwork, and demonstrating continual improvement for a safe and environmentally friendly workplace. As reflected in our Code of Ethics and Business Conduct, we are committed to respecting the human rights of all employees, whether directly employed</w:t>
      </w:r>
    </w:p>
    <w:p>
      <w:pPr>
        <w:spacing w:after="0" w:line="225" w:lineRule="exact"/>
        <w:rPr>
          <w:sz w:val="20"/>
          <w:szCs w:val="20"/>
          <w:color w:val="auto"/>
        </w:rPr>
      </w:pPr>
    </w:p>
    <w:p>
      <w:pPr>
        <w:sectPr>
          <w:pgSz w:w="11900" w:h="16838" w:orient="portrait"/>
          <w:cols w:equalWidth="0" w:num="2">
            <w:col w:w="4660" w:space="220"/>
            <w:col w:w="4400"/>
          </w:cols>
          <w:pgMar w:left="1280" w:top="265" w:right="1339" w:bottom="1440" w:gutter="0" w:footer="0" w:header="0"/>
          <w:type w:val="continuous"/>
        </w:sectPr>
      </w:pPr>
    </w:p>
    <w:p>
      <w:pPr>
        <w:spacing w:after="0" w:line="33" w:lineRule="exact"/>
        <w:rPr>
          <w:sz w:val="20"/>
          <w:szCs w:val="20"/>
          <w:color w:val="auto"/>
        </w:rPr>
      </w:pPr>
    </w:p>
    <w:p>
      <w:pPr>
        <w:ind w:left="5760"/>
        <w:spacing w:after="0"/>
        <w:tabs>
          <w:tab w:leader="none" w:pos="9020" w:val="left"/>
        </w:tabs>
        <w:rPr>
          <w:sz w:val="20"/>
          <w:szCs w:val="20"/>
          <w:color w:val="auto"/>
        </w:rPr>
      </w:pPr>
      <w:r>
        <w:rPr>
          <w:rFonts w:ascii="Arial" w:cs="Arial" w:eastAsia="Arial" w:hAnsi="Arial"/>
          <w:sz w:val="13"/>
          <w:szCs w:val="13"/>
          <w:color w:val="auto"/>
        </w:rPr>
        <w:t>Allied Motion Technologies Inc. | 2023 Proxy Statement |</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80" w:top="265" w:right="1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59"/>
        <w:spacing w:after="0"/>
        <w:rPr>
          <w:sz w:val="20"/>
          <w:szCs w:val="20"/>
          <w:color w:val="auto"/>
        </w:rPr>
      </w:pPr>
      <w:r>
        <w:rPr>
          <w:rFonts w:ascii="Arial" w:cs="Arial" w:eastAsia="Arial" w:hAnsi="Arial"/>
          <w:sz w:val="23"/>
          <w:szCs w:val="23"/>
          <w:b w:val="1"/>
          <w:bCs w:val="1"/>
          <w:color w:val="2D64AF"/>
        </w:rPr>
        <w:t>Corporate Governance and Board Matters</w:t>
      </w:r>
    </w:p>
    <w:p>
      <w:pPr>
        <w:sectPr>
          <w:pgSz w:w="11900" w:h="16838" w:orient="portrait"/>
          <w:cols w:equalWidth="0" w:num="1">
            <w:col w:w="9179"/>
          </w:cols>
          <w:pgMar w:left="1280" w:top="265" w:right="1440" w:bottom="1440" w:gutter="0" w:footer="0" w:header="0"/>
        </w:sectPr>
      </w:pPr>
    </w:p>
    <w:p>
      <w:pPr>
        <w:spacing w:after="0" w:line="147" w:lineRule="exact"/>
        <w:rPr>
          <w:sz w:val="20"/>
          <w:szCs w:val="20"/>
          <w:color w:val="auto"/>
        </w:rPr>
      </w:pPr>
    </w:p>
    <w:p>
      <w:pPr>
        <w:ind w:left="180"/>
        <w:spacing w:after="0" w:line="247" w:lineRule="auto"/>
        <w:rPr>
          <w:sz w:val="20"/>
          <w:szCs w:val="20"/>
          <w:color w:val="auto"/>
        </w:rPr>
      </w:pPr>
      <w:r>
        <w:rPr>
          <w:rFonts w:ascii="Arial" w:cs="Arial" w:eastAsia="Arial" w:hAnsi="Arial"/>
          <w:sz w:val="16"/>
          <w:szCs w:val="16"/>
          <w:color w:val="auto"/>
        </w:rPr>
        <w:t>or subcontracted. We provide and maintain safe conditions of work, with competitive terms and conditions of employment. We comply with applicable discrimination laws by selecting, developing, and retaining employees on the basis of ability and qualifications for the work to be performed, without any form of discrimination or prejudice under any circumstances. We insist that sexual harassment, rage, violence, or any other inappropriate conduct that creates an intimidating, threatening or otherwise offensive environment does not take place under any circumstances in our workplaces. We encourage the involvement of employees in the planning and direction of their work and provide the appropriate training for success in fulfilling their job responsibilities.</w:t>
      </w:r>
    </w:p>
    <w:p>
      <w:pPr>
        <w:spacing w:after="0" w:line="16" w:lineRule="exact"/>
        <w:rPr>
          <w:sz w:val="20"/>
          <w:szCs w:val="20"/>
          <w:color w:val="auto"/>
        </w:rPr>
      </w:pPr>
    </w:p>
    <w:p>
      <w:pPr>
        <w:ind w:left="180" w:right="100" w:hanging="178"/>
        <w:spacing w:after="0" w:line="250"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Suppliers and Business Partners</w:t>
      </w:r>
      <w:r>
        <w:rPr>
          <w:rFonts w:ascii="Arial" w:cs="Arial" w:eastAsia="Arial" w:hAnsi="Arial"/>
          <w:sz w:val="16"/>
          <w:szCs w:val="16"/>
          <w:color w:val="auto"/>
        </w:rPr>
        <w:t>, by working pro-actively for the development of long-term partnerships based upon integrity and co-operation, striving for improved and environmentally responsible equipment, materials, and services. We have a published Supplier Quality Manual that requires that suppliers and business partners follow the same environmental, health and social responsibility policies that the Company adheres to.</w:t>
      </w:r>
    </w:p>
    <w:p>
      <w:pPr>
        <w:spacing w:after="0" w:line="5" w:lineRule="exact"/>
        <w:rPr>
          <w:rFonts w:ascii="Arial" w:cs="Arial" w:eastAsia="Arial" w:hAnsi="Arial"/>
          <w:sz w:val="16"/>
          <w:szCs w:val="16"/>
          <w:color w:val="auto"/>
        </w:rPr>
      </w:pPr>
    </w:p>
    <w:p>
      <w:pPr>
        <w:ind w:left="180" w:right="40" w:hanging="178"/>
        <w:spacing w:after="0" w:line="25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the Community</w:t>
      </w:r>
      <w:r>
        <w:rPr>
          <w:rFonts w:ascii="Arial" w:cs="Arial" w:eastAsia="Arial" w:hAnsi="Arial"/>
          <w:sz w:val="16"/>
          <w:szCs w:val="16"/>
          <w:color w:val="auto"/>
        </w:rPr>
        <w:t>, by reducing the environmental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activities, products, and services through prevention of pollution, promotion of the safety and health of our employees and the public. We give proper regard to the health, safety, and the environment of the local communities in which we operate, and are sensitive to and supportive of local cultural, social, educational and economic needs.</w:t>
      </w:r>
    </w:p>
    <w:p>
      <w:pPr>
        <w:spacing w:after="0" w:line="9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following are examples of things that the Company does in the conduct of its business that further its Social Responsibility Policy:</w:t>
      </w:r>
    </w:p>
    <w:p>
      <w:pPr>
        <w:spacing w:after="0" w:line="7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 The Company is committed to minimizing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its activities on the environment. The Company believes it meets or exceeds all governmental environmental regulations in all jurisdictions in which it operates. All the Company’s significant manufacturing facilities have ISO 14001 certifications. The Company continues to assess its Environmental Management System to evaluate its risks and impact on various climate related areas such as carbon emissions, energy consumption, water usage, and biodiversity. This assessment includes the policies and practices of our value chain including suppliers and vendors. We continue to monitor relevant guidance on the measurement and disclosure of environmental impacts, including those from the Securities and Exchange Commission.</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 The Company complies in all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the national and local laws of the jurisdictions in which we operate regarding workers safety and health. The Company strives to 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59"/>
        <w:spacing w:after="0" w:line="248" w:lineRule="auto"/>
        <w:rPr>
          <w:sz w:val="20"/>
          <w:szCs w:val="20"/>
          <w:color w:val="auto"/>
        </w:rPr>
      </w:pPr>
      <w:r>
        <w:rPr>
          <w:rFonts w:ascii="Arial" w:cs="Arial" w:eastAsia="Arial" w:hAnsi="Arial"/>
          <w:sz w:val="16"/>
          <w:szCs w:val="16"/>
          <w:color w:val="auto"/>
        </w:rPr>
        <w:t>opportunities and review of safety activities and initiatives. This clearly visible effort encourages employee engagement and active management and leadership involvement. We are committed to meeting the highest standards associated with providing a safe and healthy environment for our workforce and have adopted an Occupational Safety and Health Management system to improve our ability to continuously identify hazards and control risks in our workplace and have adopted certifications to OHSAS 18001 and ISO 45001 in many of our facilities around the globe.</w:t>
      </w:r>
    </w:p>
    <w:p>
      <w:pPr>
        <w:spacing w:after="0" w:line="81" w:lineRule="exact"/>
        <w:rPr>
          <w:sz w:val="20"/>
          <w:szCs w:val="20"/>
          <w:color w:val="auto"/>
        </w:rPr>
      </w:pPr>
    </w:p>
    <w:p>
      <w:pPr>
        <w:ind w:right="79"/>
        <w:spacing w:after="0" w:line="253"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The Company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is one of our greatest assets, and it has a proactive human capital management and talent development program. The Human Capital and Compensation Committee is responsible for oversight of the Company’s human capital management and talent development programs.</w:t>
      </w:r>
    </w:p>
    <w:p>
      <w:pPr>
        <w:spacing w:after="0" w:line="7" w:lineRule="exact"/>
        <w:rPr>
          <w:sz w:val="20"/>
          <w:szCs w:val="20"/>
          <w:color w:val="auto"/>
        </w:rPr>
      </w:pPr>
    </w:p>
    <w:p>
      <w:pPr>
        <w:ind w:left="180" w:right="299" w:hanging="176"/>
        <w:spacing w:after="0" w:line="253"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Attraction</w:t>
      </w:r>
      <w:r>
        <w:rPr>
          <w:rFonts w:ascii="Arial" w:cs="Arial" w:eastAsia="Arial" w:hAnsi="Arial"/>
          <w:sz w:val="16"/>
          <w:szCs w:val="16"/>
          <w:color w:val="auto"/>
        </w:rPr>
        <w:t>: The Company competes within each world-wide market for a finite number of skilled and talented workers. The Company strives to leverage our broad resources to deliver an outstanding career experience to our employees.</w:t>
      </w:r>
    </w:p>
    <w:p>
      <w:pPr>
        <w:spacing w:after="0" w:line="2" w:lineRule="exact"/>
        <w:rPr>
          <w:rFonts w:ascii="Arial" w:cs="Arial" w:eastAsia="Arial" w:hAnsi="Arial"/>
          <w:sz w:val="16"/>
          <w:szCs w:val="16"/>
          <w:color w:val="auto"/>
        </w:rPr>
      </w:pPr>
    </w:p>
    <w:p>
      <w:pPr>
        <w:ind w:left="180" w:right="219" w:hanging="176"/>
        <w:spacing w:after="0" w:line="25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Engagement</w:t>
      </w:r>
      <w:r>
        <w:rPr>
          <w:rFonts w:ascii="Arial" w:cs="Arial" w:eastAsia="Arial" w:hAnsi="Arial"/>
          <w:sz w:val="16"/>
          <w:szCs w:val="16"/>
          <w:color w:val="auto"/>
        </w:rPr>
        <w:t>: The Company strives to provide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meaningful career opportunities for its employees, so they can thrive and be satisfied in our technology and innovation-based culture.</w:t>
      </w:r>
    </w:p>
    <w:p>
      <w:pPr>
        <w:spacing w:after="0" w:line="2" w:lineRule="exact"/>
        <w:rPr>
          <w:rFonts w:ascii="Arial" w:cs="Arial" w:eastAsia="Arial" w:hAnsi="Arial"/>
          <w:sz w:val="16"/>
          <w:szCs w:val="16"/>
          <w:color w:val="auto"/>
        </w:rPr>
      </w:pPr>
    </w:p>
    <w:p>
      <w:pPr>
        <w:ind w:left="180" w:right="119" w:hanging="176"/>
        <w:spacing w:after="0" w:line="264"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Development</w:t>
      </w:r>
      <w:r>
        <w:rPr>
          <w:rFonts w:ascii="Arial" w:cs="Arial" w:eastAsia="Arial" w:hAnsi="Arial"/>
          <w:sz w:val="16"/>
          <w:szCs w:val="16"/>
          <w:color w:val="auto"/>
        </w:rPr>
        <w:t>: The Company strengthens its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skills and experiences through diverse career development and learning opportunities, both internal and external.</w:t>
      </w:r>
    </w:p>
    <w:p>
      <w:pPr>
        <w:ind w:left="180" w:right="79" w:hanging="176"/>
        <w:spacing w:after="0" w:line="25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Retention</w:t>
      </w:r>
      <w:r>
        <w:rPr>
          <w:rFonts w:ascii="Arial" w:cs="Arial" w:eastAsia="Arial" w:hAnsi="Arial"/>
          <w:sz w:val="16"/>
          <w:szCs w:val="16"/>
          <w:color w:val="auto"/>
        </w:rPr>
        <w:t>: The Company supports a workplace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an environment of trust, personal and professional development and work-life balance is vital to its successful retention of engaged, top-notch talent.</w:t>
      </w:r>
    </w:p>
    <w:p>
      <w:pPr>
        <w:spacing w:after="0" w:line="74"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i w:val="1"/>
          <w:iCs w:val="1"/>
          <w:color w:val="auto"/>
        </w:rPr>
        <w:t xml:space="preserve">Diversity, Equity and Inclusion </w:t>
      </w:r>
      <w:r>
        <w:rPr>
          <w:rFonts w:ascii="Arial" w:cs="Arial" w:eastAsia="Arial" w:hAnsi="Arial"/>
          <w:sz w:val="16"/>
          <w:szCs w:val="16"/>
          <w:color w:val="auto"/>
        </w:rPr>
        <w:t>– The Company is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fair labor practices while respecting the national and local laws of the countries and communities where we have operations. The Company is committed to providing equal opportunity in all aspects of employment. The Company does not engage in or tolerate unlawful conduct, including discrimination, intimidation, or harassment. In addition, the Company continues to develop strategies to increase diversity and inclusion, including the formation of internal affinity groups, establishing a diversity, equity and inclusion task force, and establishing relationships with key organizations and associations that foster diversity and inclusion initiatives in the communities where we operate. The Company is committed to identify a talented and innovative workforce by building a diverse and inclusive pipeline of talent. As noted above, the Human Capital and Compensation Committee is responsible for the oversight of the Company’s diversity and inclusion initiatives.</w:t>
      </w:r>
    </w:p>
    <w:p>
      <w:pPr>
        <w:spacing w:after="0" w:line="88" w:lineRule="exact"/>
        <w:rPr>
          <w:sz w:val="20"/>
          <w:szCs w:val="20"/>
          <w:color w:val="auto"/>
        </w:rPr>
      </w:pPr>
    </w:p>
    <w:p>
      <w:pPr>
        <w:ind w:right="239"/>
        <w:spacing w:after="0" w:line="250" w:lineRule="auto"/>
        <w:rPr>
          <w:sz w:val="20"/>
          <w:szCs w:val="20"/>
          <w:color w:val="auto"/>
        </w:rPr>
      </w:pPr>
      <w:r>
        <w:rPr>
          <w:rFonts w:ascii="Arial" w:cs="Arial" w:eastAsia="Arial" w:hAnsi="Arial"/>
          <w:sz w:val="16"/>
          <w:szCs w:val="16"/>
          <w:i w:val="1"/>
          <w:iCs w:val="1"/>
          <w:color w:val="auto"/>
        </w:rPr>
        <w:t xml:space="preserve">Ethical Business Practices </w:t>
      </w:r>
      <w:r>
        <w:rPr>
          <w:rFonts w:ascii="Arial" w:cs="Arial" w:eastAsia="Arial" w:hAnsi="Arial"/>
          <w:sz w:val="16"/>
          <w:szCs w:val="16"/>
          <w:color w:val="auto"/>
        </w:rPr>
        <w:t>– The Company is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its business with integrity and responsibility. The Company promotes honest and ethical conduct, and the Code of Ethics and Business Conduct applies to all employees, directors, and officers as well as our business partners and supply chain. The Company does not tolerate human rights abuses, human trafficking and or slavery, the use of child labor and will not engage or be complicit in any activity that solicits or encourages human rights abuse.</w:t>
      </w:r>
    </w:p>
    <w:p>
      <w:pPr>
        <w:spacing w:after="0" w:line="200" w:lineRule="exact"/>
        <w:rPr>
          <w:sz w:val="20"/>
          <w:szCs w:val="20"/>
          <w:color w:val="auto"/>
        </w:rPr>
      </w:pPr>
    </w:p>
    <w:p>
      <w:pPr>
        <w:sectPr>
          <w:pgSz w:w="11900" w:h="16838" w:orient="portrait"/>
          <w:cols w:equalWidth="0" w:num="2">
            <w:col w:w="4420" w:space="240"/>
            <w:col w:w="4519"/>
          </w:cols>
          <w:pgMar w:left="1280" w:top="265" w:right="1440" w:bottom="1440" w:gutter="0" w:footer="0" w:header="0"/>
          <w:type w:val="continuous"/>
        </w:sectPr>
      </w:pPr>
    </w:p>
    <w:p>
      <w:pPr>
        <w:spacing w:after="0" w:line="54" w:lineRule="exact"/>
        <w:rPr>
          <w:sz w:val="20"/>
          <w:szCs w:val="20"/>
          <w:color w:val="auto"/>
        </w:rPr>
      </w:pPr>
    </w:p>
    <w:p>
      <w:pPr>
        <w:ind w:left="440" w:hanging="218"/>
        <w:spacing w:after="0"/>
        <w:tabs>
          <w:tab w:leader="none" w:pos="440" w:val="left"/>
        </w:tabs>
        <w:numPr>
          <w:ilvl w:val="0"/>
          <w:numId w:val="18"/>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5"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D64AF"/>
        </w:rPr>
        <w:t>Corporate Governance and Board Matters</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Nominating Procedures</w:t>
      </w:r>
    </w:p>
    <w:p>
      <w:pPr>
        <w:spacing w:after="0" w:line="15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289"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 The Governance and Nominating Committee (with Mr. Tanous abstaining) unanimously agreed that it was appropriate to recommend a waiver to allow Mr. Tanous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continue as a Director because of his skills and experience and his importance to the Board as the Chair of the Governance and Nominating Committee and a member of the Audit Committee.</w:t>
      </w:r>
    </w:p>
    <w:p>
      <w:pPr>
        <w:spacing w:after="0" w:line="9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backgrounds and diversity of opinion. As required by Nasdaq, the Company has collected statistical information regarding certain Nasdaq defined diversity categories with regard to our board of directors (See Board Diversity Matrix – as of December 31, 2022), however, our Board has not attempted to define “diversity,” or otherwise specifically require that the composition of our Board include individuals from any particular background or who possess specific attributes. Notwithstanding, the Board continues to be proactive in furthering the diversity of the Board.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1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2024 Annual Meeting.”</w:t>
      </w:r>
    </w:p>
    <w:p>
      <w:pPr>
        <w:spacing w:after="0" w:line="405" w:lineRule="exact"/>
        <w:rPr>
          <w:sz w:val="20"/>
          <w:szCs w:val="20"/>
          <w:color w:val="auto"/>
        </w:rPr>
      </w:pPr>
    </w:p>
    <w:p>
      <w:pPr>
        <w:sectPr>
          <w:pgSz w:w="11900" w:h="16838" w:orient="portrait"/>
          <w:cols w:equalWidth="0" w:num="2">
            <w:col w:w="4660" w:space="220"/>
            <w:col w:w="4440"/>
          </w:cols>
          <w:pgMar w:left="1280" w:top="265" w:right="1299" w:bottom="1440" w:gutter="0" w:footer="0" w:header="0"/>
        </w:sectPr>
      </w:pPr>
    </w:p>
    <w:p>
      <w:pPr>
        <w:ind w:left="220"/>
        <w:spacing w:after="0"/>
        <w:rPr>
          <w:sz w:val="20"/>
          <w:szCs w:val="20"/>
          <w:color w:val="auto"/>
        </w:rPr>
      </w:pPr>
      <w:r>
        <w:rPr>
          <w:rFonts w:ascii="Arial" w:cs="Arial" w:eastAsia="Arial" w:hAnsi="Arial"/>
          <w:sz w:val="25"/>
          <w:szCs w:val="25"/>
          <w:b w:val="1"/>
          <w:bCs w:val="1"/>
          <w:color w:val="2D64AF"/>
        </w:rPr>
        <w:t>Board Attendance at Meetings</w:t>
      </w:r>
    </w:p>
    <w:p>
      <w:pPr>
        <w:spacing w:after="0" w:line="150"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Board of Directors held five meetings in 2022. Our Independent Directors meet in executive session without management directors or management present. These sessions generally take place prior to and/or following regularly scheduled board meetings. The directors met in such sessions four times during 2022. Our Corporate Governance Principles provide that all directors are expected to regularly attend all meetings of the Board and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committees on which he serves. During 2022, each director attended more than 75 percent of the number of meetings of the Board of Directors and the standing committees of the Board oof Directors of which such director was a member. In addition, each director is expected to attend the Annual Meeting of Shareholders. In 2022, the Annual Meeting of Shareholders was attended by all of the directors then in office.</w:t>
      </w:r>
    </w:p>
    <w:p>
      <w:pPr>
        <w:spacing w:after="0" w:line="121" w:lineRule="exact"/>
        <w:rPr>
          <w:sz w:val="20"/>
          <w:szCs w:val="20"/>
          <w:color w:val="auto"/>
        </w:rPr>
      </w:pPr>
    </w:p>
    <w:p>
      <w:pPr>
        <w:sectPr>
          <w:pgSz w:w="11900" w:h="16838" w:orient="portrait"/>
          <w:cols w:equalWidth="0" w:num="2">
            <w:col w:w="4600" w:space="28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Compensation Committee Interlocks and Insider Participation</w:t>
      </w:r>
    </w:p>
    <w:p>
      <w:pPr>
        <w:sectPr>
          <w:pgSz w:w="11900" w:h="16838" w:orient="portrait"/>
          <w:cols w:equalWidth="0" w:num="1">
            <w:col w:w="9320"/>
          </w:cols>
          <w:pgMar w:left="1280" w:top="265" w:right="1299" w:bottom="1440" w:gutter="0" w:footer="0" w:header="0"/>
          <w:type w:val="continuous"/>
        </w:sectPr>
      </w:pPr>
    </w:p>
    <w:p>
      <w:pPr>
        <w:spacing w:after="0" w:line="150"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As noted above, the Human Capital and Compensation Committee is comprised of four independent Directors: Messrs. Engel, Federico and Finch and Ms. Tzetzo. No member of the Human Capital and Compensation Committee is or was formerly an officer or an employee of the Company or had any other relationships with us requiring disclosure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herein.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319" w:lineRule="exact"/>
        <w:rPr>
          <w:sz w:val="20"/>
          <w:szCs w:val="20"/>
          <w:color w:val="auto"/>
        </w:rPr>
      </w:pPr>
    </w:p>
    <w:p>
      <w:pPr>
        <w:sectPr>
          <w:pgSz w:w="11900" w:h="16838" w:orient="portrait"/>
          <w:cols w:equalWidth="0" w:num="2">
            <w:col w:w="4620" w:space="26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Ownership Guidelines for Directors and Officers</w:t>
      </w:r>
    </w:p>
    <w:p>
      <w:pPr>
        <w:sectPr>
          <w:pgSz w:w="11900" w:h="16838" w:orient="portrait"/>
          <w:cols w:equalWidth="0" w:num="1">
            <w:col w:w="9320"/>
          </w:cols>
          <w:pgMar w:left="1280" w:top="265" w:right="1299" w:bottom="1440" w:gutter="0" w:footer="0" w:header="0"/>
          <w:type w:val="continuous"/>
        </w:sectPr>
      </w:pPr>
    </w:p>
    <w:p>
      <w:pPr>
        <w:spacing w:after="0" w:line="150"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officers of the Company are required to own shares of Common Stock having a market value equal to or greater than the following multiples of their base salary: (1) President and Chief Executive Officer: five times annual base salary;</w:t>
      </w:r>
    </w:p>
    <w:p>
      <w:pPr>
        <w:spacing w:after="0" w:line="2" w:lineRule="exact"/>
        <w:rPr>
          <w:sz w:val="20"/>
          <w:szCs w:val="20"/>
          <w:color w:val="auto"/>
        </w:rPr>
      </w:pPr>
    </w:p>
    <w:p>
      <w:pPr>
        <w:jc w:val="both"/>
        <w:ind w:right="100"/>
        <w:spacing w:after="0" w:line="253"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Chief Financial Officer and Group Presidents: three times annual base salary; and (3) all other Section 16 officers: one times annual base salary.</w:t>
      </w:r>
    </w:p>
    <w:p>
      <w:pPr>
        <w:spacing w:after="0" w:line="200" w:lineRule="exact"/>
        <w:rPr>
          <w:sz w:val="20"/>
          <w:szCs w:val="20"/>
          <w:color w:val="auto"/>
        </w:rPr>
      </w:pPr>
    </w:p>
    <w:p>
      <w:pPr>
        <w:sectPr>
          <w:pgSz w:w="11900" w:h="16838" w:orient="portrait"/>
          <w:cols w:equalWidth="0" w:num="2">
            <w:col w:w="4560" w:space="320"/>
            <w:col w:w="4440"/>
          </w:cols>
          <w:pgMar w:left="1280" w:top="265" w:right="1299" w:bottom="1440" w:gutter="0" w:footer="0" w:header="0"/>
          <w:type w:val="continuous"/>
        </w:sectPr>
      </w:pPr>
    </w:p>
    <w:p>
      <w:pPr>
        <w:spacing w:after="0" w:line="31"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140335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PROPOSALS TO BE VOTED ON</w:t>
      </w:r>
    </w:p>
    <w:p>
      <w:pPr>
        <w:sectPr>
          <w:pgSz w:w="11900" w:h="16838" w:orient="portrait"/>
          <w:cols w:equalWidth="0" w:num="1">
            <w:col w:w="9179"/>
          </w:cols>
          <w:pgMar w:left="1280" w:top="265"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1 – Election of Directors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Board of Directors currently has seven members: Robert B. Engel, Richard D. Federico, Steven C. Finch, James J. Tanous, Nicole R. Tzetzo, Richard S. Warzala and Michael R. Winter. All seven positions on the Board are to be filled by vote of the shareholders at the Annual Meeting. The affirmative vote of a majority of the votes cast is required for the election of directors. Unless instructed otherwise, it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59"/>
        <w:spacing w:after="0" w:line="250" w:lineRule="auto"/>
        <w:rPr>
          <w:sz w:val="20"/>
          <w:szCs w:val="20"/>
          <w:color w:val="auto"/>
        </w:rPr>
      </w:pPr>
      <w:r>
        <w:rPr>
          <w:rFonts w:ascii="Arial" w:cs="Arial" w:eastAsia="Arial" w:hAnsi="Arial"/>
          <w:sz w:val="16"/>
          <w:szCs w:val="16"/>
          <w:color w:val="auto"/>
        </w:rPr>
        <w:t>intended that the shares represented by proxy at the Annual Meeting will be voted in favor of the seven nominees named above, each of whom was nominated by the Board based on the recommendation of our Governance and Nominating Committee. All nominees have agreed to serve if elected.</w:t>
      </w:r>
    </w:p>
    <w:p>
      <w:pPr>
        <w:spacing w:after="0" w:line="95" w:lineRule="exact"/>
        <w:rPr>
          <w:sz w:val="20"/>
          <w:szCs w:val="20"/>
          <w:color w:val="auto"/>
        </w:rPr>
      </w:pPr>
    </w:p>
    <w:p>
      <w:pPr>
        <w:ind w:right="219"/>
        <w:spacing w:after="0" w:line="250"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95" w:lineRule="exact"/>
        <w:rPr>
          <w:sz w:val="20"/>
          <w:szCs w:val="20"/>
          <w:color w:val="auto"/>
        </w:rPr>
      </w:pPr>
    </w:p>
    <w:p>
      <w:pPr>
        <w:ind w:right="239"/>
        <w:spacing w:after="0" w:line="253" w:lineRule="auto"/>
        <w:rPr>
          <w:sz w:val="20"/>
          <w:szCs w:val="20"/>
          <w:color w:val="auto"/>
        </w:rPr>
      </w:pPr>
      <w:r>
        <w:rPr>
          <w:rFonts w:ascii="Arial" w:cs="Arial" w:eastAsia="Arial" w:hAnsi="Arial"/>
          <w:sz w:val="16"/>
          <w:szCs w:val="16"/>
          <w:color w:val="auto"/>
        </w:rPr>
        <w:t>Information regarding the director nominees can be found under “Corporate Governance and Board Matters – Director Qualifications and Biographical Information.”</w:t>
      </w:r>
    </w:p>
    <w:p>
      <w:pPr>
        <w:spacing w:after="0" w:line="153" w:lineRule="exact"/>
        <w:rPr>
          <w:sz w:val="20"/>
          <w:szCs w:val="20"/>
          <w:color w:val="auto"/>
        </w:rPr>
      </w:pPr>
    </w:p>
    <w:p>
      <w:pPr>
        <w:sectPr>
          <w:pgSz w:w="11900" w:h="16838" w:orient="portrait"/>
          <w:cols w:equalWidth="0" w:num="2">
            <w:col w:w="4360" w:space="300"/>
            <w:col w:w="4519"/>
          </w:cols>
          <w:pgMar w:left="1280" w:top="265" w:right="1440" w:bottom="1440" w:gutter="0" w:footer="0" w:header="0"/>
          <w:type w:val="continuous"/>
        </w:sectPr>
      </w:pPr>
    </w:p>
    <w:p>
      <w:pPr>
        <w:ind w:right="79"/>
        <w:spacing w:after="0" w:line="286" w:lineRule="auto"/>
        <w:rPr>
          <w:sz w:val="20"/>
          <w:szCs w:val="20"/>
          <w:color w:val="auto"/>
        </w:rPr>
      </w:pPr>
      <w:r>
        <w:rPr>
          <w:rFonts w:ascii="Arial" w:cs="Arial" w:eastAsia="Arial" w:hAnsi="Arial"/>
          <w:sz w:val="16"/>
          <w:szCs w:val="16"/>
          <w:b w:val="1"/>
          <w:bCs w:val="1"/>
          <w:color w:val="2D64AF"/>
        </w:rPr>
        <w:t>THE BOARD OF DIRECTORS UNANIMOUSLY RECOMMENDS THAT SHAREHOLDERS VOTE “FOR” THE ELECTION OF EACH OF THE NOMINEES.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2 – Advisory Vote on Executive Compensation</w:t>
      </w:r>
    </w:p>
    <w:p>
      <w:pPr>
        <w:sectPr>
          <w:pgSz w:w="11900" w:h="16838" w:orient="portrait"/>
          <w:cols w:equalWidth="0" w:num="1">
            <w:col w:w="9179"/>
          </w:cols>
          <w:pgMar w:left="1280" w:top="265" w:right="1440"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9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159"/>
        <w:spacing w:after="0" w:line="253" w:lineRule="auto"/>
        <w:rPr>
          <w:sz w:val="20"/>
          <w:szCs w:val="20"/>
          <w:color w:val="auto"/>
        </w:rPr>
      </w:pPr>
      <w:r>
        <w:rPr>
          <w:rFonts w:ascii="Arial" w:cs="Arial" w:eastAsia="Arial" w:hAnsi="Arial"/>
          <w:sz w:val="16"/>
          <w:szCs w:val="16"/>
          <w:color w:val="auto"/>
        </w:rPr>
        <w:t>item of compensation, but rather the overall compensation of our Named Executive Officers and the philosophy, policies and procedures described in this Proxy Statement.</w:t>
      </w:r>
    </w:p>
    <w:p>
      <w:pPr>
        <w:spacing w:after="0" w:line="93" w:lineRule="exact"/>
        <w:rPr>
          <w:sz w:val="20"/>
          <w:szCs w:val="20"/>
          <w:color w:val="auto"/>
        </w:rPr>
      </w:pPr>
    </w:p>
    <w:p>
      <w:pPr>
        <w:ind w:right="219"/>
        <w:spacing w:after="0" w:line="260" w:lineRule="auto"/>
        <w:rPr>
          <w:sz w:val="20"/>
          <w:szCs w:val="20"/>
          <w:color w:val="auto"/>
        </w:rPr>
      </w:pPr>
      <w:r>
        <w:rPr>
          <w:rFonts w:ascii="Arial" w:cs="Arial" w:eastAsia="Arial" w:hAnsi="Arial"/>
          <w:sz w:val="16"/>
          <w:szCs w:val="16"/>
          <w:color w:val="auto"/>
        </w:rPr>
        <w:t>Our Board of Directors is asking shareholders to vote on the following resolution at the Meeting:</w:t>
      </w:r>
    </w:p>
    <w:p>
      <w:pPr>
        <w:spacing w:after="0" w:line="87" w:lineRule="exact"/>
        <w:rPr>
          <w:sz w:val="20"/>
          <w:szCs w:val="20"/>
          <w:color w:val="auto"/>
        </w:rPr>
      </w:pPr>
    </w:p>
    <w:p>
      <w:pPr>
        <w:ind w:left="360" w:right="159"/>
        <w:spacing w:after="0" w:line="249" w:lineRule="auto"/>
        <w:rPr>
          <w:sz w:val="20"/>
          <w:szCs w:val="20"/>
          <w:color w:val="auto"/>
        </w:rPr>
      </w:pPr>
      <w:r>
        <w:rPr>
          <w:rFonts w:ascii="Arial" w:cs="Arial" w:eastAsia="Arial" w:hAnsi="Arial"/>
          <w:sz w:val="16"/>
          <w:szCs w:val="16"/>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97" w:lineRule="exact"/>
        <w:rPr>
          <w:sz w:val="20"/>
          <w:szCs w:val="20"/>
          <w:color w:val="auto"/>
        </w:rPr>
      </w:pPr>
    </w:p>
    <w:p>
      <w:pPr>
        <w:ind w:right="139"/>
        <w:spacing w:after="0" w:line="248"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Human Capital and Compensation Committee expect to consider the outcome of the vote, along with other relevant factors, when considering future compensation programs.</w:t>
      </w:r>
    </w:p>
    <w:p>
      <w:pPr>
        <w:spacing w:after="0" w:line="537" w:lineRule="exact"/>
        <w:rPr>
          <w:sz w:val="20"/>
          <w:szCs w:val="20"/>
          <w:color w:val="auto"/>
        </w:rPr>
      </w:pPr>
    </w:p>
    <w:p>
      <w:pPr>
        <w:sectPr>
          <w:pgSz w:w="11900" w:h="16838" w:orient="portrait"/>
          <w:cols w:equalWidth="0" w:num="2">
            <w:col w:w="4420" w:space="240"/>
            <w:col w:w="4519"/>
          </w:cols>
          <w:pgMar w:left="1280" w:top="265" w:right="1440" w:bottom="1440" w:gutter="0" w:footer="0" w:header="0"/>
          <w:type w:val="continuous"/>
        </w:sectPr>
      </w:pPr>
    </w:p>
    <w:p>
      <w:pPr>
        <w:ind w:right="299"/>
        <w:spacing w:after="0" w:line="286" w:lineRule="auto"/>
        <w:rPr>
          <w:sz w:val="20"/>
          <w:szCs w:val="20"/>
          <w:color w:val="auto"/>
        </w:rPr>
      </w:pPr>
      <w:r>
        <w:rPr>
          <w:rFonts w:ascii="Arial" w:cs="Arial" w:eastAsia="Arial" w:hAnsi="Arial"/>
          <w:sz w:val="16"/>
          <w:szCs w:val="16"/>
          <w:b w:val="1"/>
          <w:bCs w:val="1"/>
          <w:color w:val="2D64AF"/>
        </w:rPr>
        <w:t>THE BOARD OF DIRECTORS UNANIMOUSLY RECOMMENDS A VOTE “FOR” THE APPROVAL OF THE FOREGOING RESOLUTION. UNLESS OTHERWISE INSTRUCTED, PROXIES WILL BE VOTED “FOR” THE APPROVAL.</w:t>
      </w:r>
    </w:p>
    <w:p>
      <w:pPr>
        <w:spacing w:after="0" w:line="222" w:lineRule="exact"/>
        <w:rPr>
          <w:sz w:val="20"/>
          <w:szCs w:val="20"/>
          <w:color w:val="auto"/>
        </w:rPr>
      </w:pPr>
    </w:p>
    <w:p>
      <w:pPr>
        <w:ind w:left="440" w:hanging="218"/>
        <w:spacing w:after="0"/>
        <w:tabs>
          <w:tab w:leader="none" w:pos="440"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5"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Proposals to be Voted On</w:t>
      </w:r>
    </w:p>
    <w:p>
      <w:pPr>
        <w:spacing w:after="0" w:line="371" w:lineRule="exact"/>
        <w:rPr>
          <w:sz w:val="20"/>
          <w:szCs w:val="20"/>
          <w:color w:val="auto"/>
        </w:rPr>
      </w:pPr>
    </w:p>
    <w:p>
      <w:pPr>
        <w:ind w:left="220" w:right="320"/>
        <w:spacing w:after="0" w:line="267" w:lineRule="auto"/>
        <w:rPr>
          <w:sz w:val="20"/>
          <w:szCs w:val="20"/>
          <w:color w:val="auto"/>
        </w:rPr>
      </w:pPr>
      <w:r>
        <w:rPr>
          <w:rFonts w:ascii="Arial" w:cs="Arial" w:eastAsia="Arial" w:hAnsi="Arial"/>
          <w:sz w:val="25"/>
          <w:szCs w:val="25"/>
          <w:b w:val="1"/>
          <w:bCs w:val="1"/>
          <w:color w:val="2D64AF"/>
        </w:rPr>
        <w:t>Proposal 3 – Advisory Vote on the Ratification of Independent Registered Public Accounting Firm</w:t>
      </w:r>
    </w:p>
    <w:p>
      <w:pPr>
        <w:sectPr>
          <w:pgSz w:w="11900" w:h="16838" w:orient="portrait"/>
          <w:cols w:equalWidth="0" w:num="1">
            <w:col w:w="9300"/>
          </w:cols>
          <w:pgMar w:left="1280" w:top="265" w:right="1319" w:bottom="1440" w:gutter="0" w:footer="0" w:header="0"/>
        </w:sectPr>
      </w:pPr>
    </w:p>
    <w:p>
      <w:pPr>
        <w:ind w:left="220"/>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left="220" w:right="160"/>
        <w:spacing w:after="0" w:line="248" w:lineRule="auto"/>
        <w:rPr>
          <w:sz w:val="20"/>
          <w:szCs w:val="20"/>
          <w:color w:val="auto"/>
        </w:rPr>
      </w:pPr>
      <w:r>
        <w:rPr>
          <w:rFonts w:ascii="Arial" w:cs="Arial" w:eastAsia="Arial" w:hAnsi="Arial"/>
          <w:sz w:val="16"/>
          <w:szCs w:val="16"/>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100" w:lineRule="exact"/>
        <w:rPr>
          <w:sz w:val="20"/>
          <w:szCs w:val="20"/>
          <w:color w:val="auto"/>
        </w:rPr>
      </w:pPr>
    </w:p>
    <w:p>
      <w:pPr>
        <w:ind w:left="220" w:right="200"/>
        <w:spacing w:after="0" w:line="249"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9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At the Annual Meeting, the shareholders will be asked to ratify the selection of Deloitte &amp; Touche LLP as the Company’s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Deloitte &amp; Touche LLP as the Company’s independent public accounting firm for 2023.</w:t>
      </w:r>
    </w:p>
    <w:p>
      <w:pPr>
        <w:spacing w:after="0" w:line="370" w:lineRule="exact"/>
        <w:rPr>
          <w:sz w:val="20"/>
          <w:szCs w:val="20"/>
          <w:color w:val="auto"/>
        </w:rPr>
      </w:pPr>
    </w:p>
    <w:p>
      <w:pPr>
        <w:sectPr>
          <w:pgSz w:w="11900" w:h="16838" w:orient="portrait"/>
          <w:cols w:equalWidth="0" w:num="2">
            <w:col w:w="4660" w:space="220"/>
            <w:col w:w="4420"/>
          </w:cols>
          <w:pgMar w:left="1280" w:top="265" w:right="1319" w:bottom="1440" w:gutter="0" w:footer="0" w:header="0"/>
          <w:type w:val="continuous"/>
        </w:sectPr>
      </w:pPr>
    </w:p>
    <w:p>
      <w:pPr>
        <w:ind w:left="220" w:right="900"/>
        <w:spacing w:after="0" w:line="286" w:lineRule="auto"/>
        <w:rPr>
          <w:sz w:val="20"/>
          <w:szCs w:val="20"/>
          <w:color w:val="auto"/>
        </w:rPr>
      </w:pPr>
      <w:r>
        <w:rPr>
          <w:rFonts w:ascii="Arial" w:cs="Arial" w:eastAsia="Arial" w:hAnsi="Arial"/>
          <w:sz w:val="16"/>
          <w:szCs w:val="16"/>
          <w:b w:val="1"/>
          <w:bCs w:val="1"/>
          <w:color w:val="2D64AF"/>
        </w:rPr>
        <w:t>THE BOARD OF DIRECTORS UNANIMOUSLY RECOMMENDS A VOTE “FOR” THE RATIFICATION. UNLESS OTHERWISE INSTRUCTED, PROXIES WILL BE VOTED “FOR” THE RATIFICATION.</w:t>
      </w:r>
    </w:p>
    <w:p>
      <w:pPr>
        <w:spacing w:after="0" w:line="206" w:lineRule="exact"/>
        <w:rPr>
          <w:sz w:val="20"/>
          <w:szCs w:val="20"/>
          <w:color w:val="auto"/>
        </w:rPr>
      </w:pPr>
    </w:p>
    <w:p>
      <w:pPr>
        <w:jc w:val="right"/>
        <w:ind w:right="200"/>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141605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265" w:right="1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ind w:right="860"/>
        <w:spacing w:after="0" w:line="286" w:lineRule="auto"/>
        <w:rPr>
          <w:sz w:val="20"/>
          <w:szCs w:val="20"/>
          <w:color w:val="auto"/>
        </w:rPr>
      </w:pPr>
      <w:r>
        <w:rPr>
          <w:rFonts w:ascii="Arial" w:cs="Arial" w:eastAsia="Arial" w:hAnsi="Arial"/>
          <w:sz w:val="32"/>
          <w:szCs w:val="32"/>
          <w:b w:val="1"/>
          <w:bCs w:val="1"/>
          <w:color w:val="2D64AF"/>
        </w:rPr>
        <w:t>EXECUTIVE OFFICERS  </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69—Mr. Warzala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Mr. Warzala currently serves as Lead Director and Chair of the Compensation Committee for AstroNova, Inc.</w:t>
      </w:r>
    </w:p>
    <w:p>
      <w:pPr>
        <w:spacing w:after="0" w:line="76"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Michael R. Leach</w:t>
      </w:r>
      <w:r>
        <w:rPr>
          <w:rFonts w:ascii="Arial" w:cs="Arial" w:eastAsia="Arial" w:hAnsi="Arial"/>
          <w:sz w:val="16"/>
          <w:szCs w:val="16"/>
          <w:color w:val="auto"/>
        </w:rPr>
        <w:t>, age 54—Mr. Leach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of the Company in August 2015 and was promoted to Senior Vice President in July 2020. Prior to joining Allied Motion, 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79"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Robert P. Maida</w:t>
      </w:r>
      <w:r>
        <w:rPr>
          <w:rFonts w:ascii="Arial" w:cs="Arial" w:eastAsia="Arial" w:hAnsi="Arial"/>
          <w:sz w:val="16"/>
          <w:szCs w:val="16"/>
          <w:color w:val="auto"/>
        </w:rPr>
        <w:t>, age 58—Mr. Maida was named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Innovum Group in July 2020. Prior to that he served as Vice President of Operational Excellence of the Company, a position he held since August 2015. Mr. Maida served as Vice President and 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Ashish R. Bendre</w:t>
      </w:r>
      <w:r>
        <w:rPr>
          <w:rFonts w:ascii="Arial" w:cs="Arial" w:eastAsia="Arial" w:hAnsi="Arial"/>
          <w:sz w:val="16"/>
          <w:szCs w:val="16"/>
          <w:color w:val="auto"/>
        </w:rPr>
        <w:t>, age 54—Mr. Bendre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Orion Group in July 2020. He has led the Allied Motion TCI technology unit since its</w:t>
      </w:r>
    </w:p>
    <w:p>
      <w:pPr>
        <w:spacing w:after="0" w:line="318" w:lineRule="exact"/>
        <w:rPr>
          <w:sz w:val="20"/>
          <w:szCs w:val="20"/>
          <w:color w:val="auto"/>
        </w:rPr>
      </w:pPr>
    </w:p>
    <w:p>
      <w:pPr>
        <w:ind w:left="440" w:hanging="218"/>
        <w:spacing w:after="0"/>
        <w:tabs>
          <w:tab w:leader="none" w:pos="44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19"/>
        <w:spacing w:after="0" w:line="247" w:lineRule="auto"/>
        <w:rPr>
          <w:sz w:val="20"/>
          <w:szCs w:val="20"/>
          <w:color w:val="auto"/>
        </w:rPr>
      </w:pPr>
      <w:r>
        <w:rPr>
          <w:rFonts w:ascii="Arial" w:cs="Arial" w:eastAsia="Arial" w:hAnsi="Arial"/>
          <w:sz w:val="16"/>
          <w:szCs w:val="16"/>
          <w:color w:val="auto"/>
        </w:rPr>
        <w:t>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Allied Motion/TCI, Mr. Bendre served as the Director of Technology for DRS Power &amp; Control Technologies, a division of Leonardo DRS focused on naval power conversion. He has a Ph.D. in Electrical Engineering from the University of Wisconsin, Madison and an MBA from the University of Chicago.</w:t>
      </w:r>
    </w:p>
    <w:p>
      <w:pPr>
        <w:spacing w:after="0" w:line="84"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b w:val="1"/>
          <w:bCs w:val="1"/>
          <w:i w:val="1"/>
          <w:iCs w:val="1"/>
          <w:color w:val="auto"/>
        </w:rPr>
        <w:t>Helmut D. Pirthauer</w:t>
      </w:r>
      <w:r>
        <w:rPr>
          <w:rFonts w:ascii="Arial" w:cs="Arial" w:eastAsia="Arial" w:hAnsi="Arial"/>
          <w:sz w:val="16"/>
          <w:szCs w:val="16"/>
          <w:color w:val="auto"/>
        </w:rPr>
        <w:t>, age 53—Mr. Pirthauer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Dynamos Group in July 2020. He joined Allied Motion as Chief Executive Officer of the Heidrive Group after its acquisition by the Company in January 2016. 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80"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Geoffery C. Rondeau</w:t>
      </w:r>
      <w:r>
        <w:rPr>
          <w:rFonts w:ascii="Arial" w:cs="Arial" w:eastAsia="Arial" w:hAnsi="Arial"/>
          <w:sz w:val="16"/>
          <w:szCs w:val="16"/>
          <w:color w:val="auto"/>
        </w:rPr>
        <w:t>, age 51—Mr. Rondeau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Operational Excellence in July 2020. Prior to that he served as a General Manager of the Company’s North American Mechatronics Group, a position he held since September 2014. Prior to joining Allied Motion, he worked for over three years as the General Manager for Excelco Newbrook. For the fifteen years prior to that, Mr. Rondeau held several positions with API Motion/Danaher Motion where he progressed to the position of Director of Engineering for the Applied Products Group of Danaher Motion, a subsidiary of Danaher Corporation.</w:t>
      </w:r>
    </w:p>
    <w:p>
      <w:pPr>
        <w:spacing w:after="0" w:line="79"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Kenneth A. May</w:t>
      </w:r>
      <w:r>
        <w:rPr>
          <w:rFonts w:ascii="Arial" w:cs="Arial" w:eastAsia="Arial" w:hAnsi="Arial"/>
          <w:sz w:val="16"/>
          <w:szCs w:val="16"/>
          <w:color w:val="auto"/>
        </w:rPr>
        <w:t>, age 59—Mr. May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Technology Officer in August 2022. Prior to that he served as Director of Research &amp; Development and Global Electronics, a position he held since January 2019. Prior to joining Allied Motion, he spent over twenty years at Moog Inc. and eleven years, collectively, at Borg Warner and Zexel Corporations, serving in various capacities of systems engineering, project engineering, product line engineering management and functional management for actuation and electronics design. Mr. May holds a Master’s degree in Electrical Engineering and a Graduate Certificate in Systems Engineering from the Rochester Institute of Technology (RIT).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377190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20" w:space="240"/>
            <w:col w:w="4519"/>
          </w:cols>
          <w:pgMar w:left="1280" w:top="265"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COMPENSATION OF NAMED EXECUTIVE OFFICERS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Compensation Discussion and Analysis</w:t>
      </w:r>
    </w:p>
    <w:p>
      <w:pPr>
        <w:sectPr>
          <w:pgSz w:w="11900" w:h="16838" w:orient="portrait"/>
          <w:cols w:equalWidth="0" w:num="1">
            <w:col w:w="9320"/>
          </w:cols>
          <w:pgMar w:left="1280" w:top="265" w:right="1299" w:bottom="1440" w:gutter="0" w:footer="0" w:header="0"/>
        </w:sectPr>
      </w:pP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Compensation Discussion and Analysis (“CD&amp;A”) reports on the Company’s performance in 2022, the executive compensation earned in light of that performance, and the performance metrics and other relevant factors the Human Capital and Compensation Committee (in this CD&amp;A, the “Compensation Committee”) used in making its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compensation decisions with respect to our Chief Executive Officer and President, Chief Financial Officer, and the Presidents of Allied Innovum Group, Allied Dynamos Group and Allied Orion Group (collectively, the “Named Executive Officers”).</w:t>
      </w:r>
    </w:p>
    <w:p>
      <w:pPr>
        <w:spacing w:after="0" w:line="272"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777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primary goals of the Company’s compensation philosophy for Named Executive Officers is as follows:</w:t>
      </w:r>
    </w:p>
    <w:p>
      <w:pPr>
        <w:spacing w:after="0" w:line="20" w:lineRule="exact"/>
        <w:rPr>
          <w:sz w:val="20"/>
          <w:szCs w:val="20"/>
          <w:color w:val="auto"/>
        </w:rPr>
      </w:pPr>
    </w:p>
    <w:p>
      <w:pPr>
        <w:ind w:left="180" w:right="40" w:hanging="178"/>
        <w:spacing w:after="0" w:line="250"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13" w:lineRule="exact"/>
        <w:rPr>
          <w:rFonts w:ascii="Arial" w:cs="Arial" w:eastAsia="Arial" w:hAnsi="Arial"/>
          <w:sz w:val="16"/>
          <w:szCs w:val="16"/>
          <w:color w:val="auto"/>
        </w:rPr>
      </w:pPr>
    </w:p>
    <w:p>
      <w:pPr>
        <w:ind w:left="180" w:hanging="178"/>
        <w:spacing w:after="0" w:line="250"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through the use of stock-based incentives that result in increased Company stock ownership by management.</w:t>
      </w:r>
    </w:p>
    <w:p>
      <w:pPr>
        <w:spacing w:after="0" w:line="9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Compensation Committee seeks to develop a well-balanced compensation program that not only contains 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competitive fixed pay element through annual base salary, perquisites and other benefits, but that is weighted more towards variable at-risk pay elements through the use of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98"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The Compensation Committee and the Board maintain governance practices and oversight of our executive compensation philosophy. The following governance practices were in place during 2022, and these practices, among other elements of our compensation program, aid in mitigating risk associated with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34290</wp:posOffset>
            </wp:positionV>
            <wp:extent cx="5777865" cy="3154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7865" cy="3154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280"/>
            <w:col w:w="4660"/>
          </w:cols>
          <w:pgMar w:left="1280" w:top="265" w:right="1299" w:bottom="1440" w:gutter="0" w:footer="0" w:header="0"/>
          <w:type w:val="continuous"/>
        </w:sectPr>
      </w:pPr>
    </w:p>
    <w:p>
      <w:pPr>
        <w:spacing w:after="0" w:line="164"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FFFFFF"/>
        </w:rPr>
        <w:t>What We Do</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As demonstrated in the</w:t>
      </w:r>
    </w:p>
    <w:p>
      <w:pPr>
        <w:spacing w:after="0" w:line="27" w:lineRule="exact"/>
        <w:rPr>
          <w:sz w:val="20"/>
          <w:szCs w:val="20"/>
          <w:color w:val="auto"/>
        </w:rPr>
      </w:pPr>
    </w:p>
    <w:p>
      <w:pPr>
        <w:ind w:left="580" w:right="60" w:hanging="542"/>
        <w:spacing w:after="0" w:line="251" w:lineRule="auto"/>
        <w:tabs>
          <w:tab w:leader="none" w:pos="580" w:val="left"/>
        </w:tabs>
        <w:numPr>
          <w:ilvl w:val="0"/>
          <w:numId w:val="23"/>
        </w:numPr>
        <w:rPr>
          <w:rFonts w:ascii="Arial" w:cs="Arial" w:eastAsia="Arial" w:hAnsi="Arial"/>
          <w:sz w:val="16"/>
          <w:szCs w:val="16"/>
          <w:color w:val="2D64AF"/>
        </w:rPr>
      </w:pPr>
      <w:r>
        <w:rPr>
          <w:rFonts w:ascii="Arial" w:cs="Arial" w:eastAsia="Arial" w:hAnsi="Arial"/>
          <w:sz w:val="16"/>
          <w:szCs w:val="16"/>
          <w:color w:val="auto"/>
        </w:rPr>
        <w:t>Elements of Executive Compensation, a significant portion of executive pay is not guaranteed, but rather tied to key financial metrics that measure our performance and are disclosed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Target the following market positions for Named</w:t>
      </w:r>
    </w:p>
    <w:p>
      <w:pPr>
        <w:spacing w:after="0" w:line="7" w:lineRule="exact"/>
        <w:rPr>
          <w:sz w:val="20"/>
          <w:szCs w:val="20"/>
          <w:color w:val="auto"/>
        </w:rPr>
      </w:pPr>
    </w:p>
    <w:p>
      <w:pPr>
        <w:ind w:left="580" w:hanging="542"/>
        <w:spacing w:after="0"/>
        <w:tabs>
          <w:tab w:leader="none" w:pos="580" w:val="left"/>
        </w:tabs>
        <w:numPr>
          <w:ilvl w:val="0"/>
          <w:numId w:val="24"/>
        </w:numPr>
        <w:rPr>
          <w:rFonts w:ascii="Arial" w:cs="Arial" w:eastAsia="Arial" w:hAnsi="Arial"/>
          <w:sz w:val="16"/>
          <w:szCs w:val="16"/>
          <w:color w:val="2D64AF"/>
        </w:rPr>
      </w:pPr>
      <w:r>
        <w:rPr>
          <w:rFonts w:ascii="Arial" w:cs="Arial" w:eastAsia="Arial" w:hAnsi="Arial"/>
          <w:sz w:val="16"/>
          <w:szCs w:val="16"/>
          <w:b w:val="1"/>
          <w:bCs w:val="1"/>
          <w:i w:val="1"/>
          <w:iCs w:val="1"/>
          <w:color w:val="auto"/>
        </w:rPr>
        <w:t>Executive Officers:</w:t>
      </w:r>
    </w:p>
    <w:p>
      <w:pPr>
        <w:spacing w:after="0" w:line="133"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5"/>
          <w:szCs w:val="15"/>
          <w:color w:val="auto"/>
        </w:rPr>
        <w:t>-  At Market</w:t>
      </w:r>
    </w:p>
    <w:p>
      <w:pPr>
        <w:spacing w:after="0" w:line="86"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  At Market for the</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achievement of target</w:t>
      </w:r>
    </w:p>
    <w:p>
      <w:pPr>
        <w:spacing w:after="0" w:line="113"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Equity Program</w:t>
      </w:r>
      <w:r>
        <w:rPr>
          <w:sz w:val="20"/>
          <w:szCs w:val="20"/>
          <w:color w:val="auto"/>
        </w:rPr>
        <w:tab/>
      </w:r>
      <w:r>
        <w:rPr>
          <w:rFonts w:ascii="Arial" w:cs="Arial" w:eastAsia="Arial" w:hAnsi="Arial"/>
          <w:sz w:val="16"/>
          <w:szCs w:val="16"/>
          <w:color w:val="auto"/>
        </w:rPr>
        <w:t>-  Slightly Above Market</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when performance is</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achieved</w:t>
      </w:r>
    </w:p>
    <w:p>
      <w:pPr>
        <w:spacing w:after="0" w:line="3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Mitigate undue risk in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-103505</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7" w:lineRule="exact"/>
        <w:rPr>
          <w:sz w:val="20"/>
          <w:szCs w:val="20"/>
          <w:color w:val="auto"/>
        </w:rPr>
      </w:pPr>
    </w:p>
    <w:p>
      <w:pPr>
        <w:ind w:left="580" w:hanging="542"/>
        <w:spacing w:after="0" w:line="248" w:lineRule="auto"/>
        <w:tabs>
          <w:tab w:leader="none" w:pos="580" w:val="left"/>
        </w:tabs>
        <w:numPr>
          <w:ilvl w:val="0"/>
          <w:numId w:val="25"/>
        </w:numPr>
        <w:rPr>
          <w:rFonts w:ascii="Arial" w:cs="Arial" w:eastAsia="Arial" w:hAnsi="Arial"/>
          <w:sz w:val="16"/>
          <w:szCs w:val="16"/>
          <w:color w:val="2D64AF"/>
        </w:rPr>
      </w:pPr>
      <w:r>
        <w:rPr>
          <w:rFonts w:ascii="Arial" w:cs="Arial" w:eastAsia="Arial" w:hAnsi="Arial"/>
          <w:sz w:val="16"/>
          <w:szCs w:val="16"/>
          <w:color w:val="auto"/>
        </w:rPr>
        <w:t>The executive compensation program includes features that reduce the possibility of the Named Executive Officers, either individually or as a group, making excessively risky business decisions that could maximize short-term results at the expense of long-term value. The Compensation Committee annually reviews our compensation arrangements, especially the incentive compensation arrangements, to confirm that such arrangements do not encourage undue risk taking.</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269"/>
        <w:spacing w:after="0"/>
        <w:rPr>
          <w:sz w:val="20"/>
          <w:szCs w:val="20"/>
          <w:color w:val="auto"/>
        </w:rPr>
      </w:pPr>
      <w:r>
        <w:rPr>
          <w:rFonts w:ascii="Arial" w:cs="Arial" w:eastAsia="Arial" w:hAnsi="Arial"/>
          <w:sz w:val="22"/>
          <w:szCs w:val="22"/>
          <w:b w:val="1"/>
          <w:bCs w:val="1"/>
          <w:color w:val="FFFFFF"/>
        </w:rPr>
        <w:t>What We Don’t Do</w:t>
      </w:r>
    </w:p>
    <w:p>
      <w:pPr>
        <w:spacing w:after="0" w:line="14" w:lineRule="exact"/>
        <w:rPr>
          <w:sz w:val="20"/>
          <w:szCs w:val="20"/>
          <w:color w:val="auto"/>
        </w:rPr>
      </w:pPr>
    </w:p>
    <w:p>
      <w:pPr>
        <w:ind w:left="2049"/>
        <w:spacing w:after="0"/>
        <w:rPr>
          <w:sz w:val="20"/>
          <w:szCs w:val="20"/>
          <w:color w:val="auto"/>
        </w:rPr>
      </w:pPr>
      <w:r>
        <w:rPr>
          <w:rFonts w:ascii="Arial" w:cs="Arial" w:eastAsia="Arial" w:hAnsi="Arial"/>
          <w:sz w:val="22"/>
          <w:szCs w:val="22"/>
          <w:b w:val="1"/>
          <w:bCs w:val="1"/>
          <w:color w:val="FFFFFF"/>
        </w:rPr>
        <w:t> </w:t>
      </w:r>
    </w:p>
    <w:p>
      <w:pPr>
        <w:spacing w:after="0" w:line="41"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w:t>
      </w:r>
    </w:p>
    <w:p>
      <w:pPr>
        <w:spacing w:after="0" w:line="27" w:lineRule="exact"/>
        <w:rPr>
          <w:sz w:val="20"/>
          <w:szCs w:val="20"/>
          <w:color w:val="auto"/>
        </w:rPr>
      </w:pPr>
    </w:p>
    <w:p>
      <w:pPr>
        <w:ind w:left="549" w:right="240" w:hanging="549"/>
        <w:spacing w:after="0" w:line="248" w:lineRule="auto"/>
        <w:tabs>
          <w:tab w:leader="none" w:pos="549" w:val="left"/>
        </w:tabs>
        <w:numPr>
          <w:ilvl w:val="0"/>
          <w:numId w:val="26"/>
        </w:numPr>
        <w:rPr>
          <w:rFonts w:ascii="Arial" w:cs="Arial" w:eastAsia="Arial" w:hAnsi="Arial"/>
          <w:sz w:val="16"/>
          <w:szCs w:val="16"/>
          <w:color w:val="2D64AF"/>
        </w:rPr>
      </w:pPr>
      <w:r>
        <w:rPr>
          <w:rFonts w:ascii="Arial" w:cs="Arial" w:eastAsia="Arial" w:hAnsi="Arial"/>
          <w:sz w:val="16"/>
          <w:szCs w:val="16"/>
          <w:color w:val="auto"/>
        </w:rPr>
        <w:t>Executive 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307"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No hedging, pledging, or short sales transactions</w:t>
      </w:r>
    </w:p>
    <w:p>
      <w:pPr>
        <w:spacing w:after="0" w:line="7" w:lineRule="exact"/>
        <w:rPr>
          <w:sz w:val="20"/>
          <w:szCs w:val="20"/>
          <w:color w:val="auto"/>
        </w:rPr>
      </w:pPr>
    </w:p>
    <w:p>
      <w:pPr>
        <w:ind w:left="549" w:right="240" w:hanging="549"/>
        <w:spacing w:after="0" w:line="251" w:lineRule="auto"/>
        <w:tabs>
          <w:tab w:leader="none" w:pos="549" w:val="left"/>
        </w:tabs>
        <w:numPr>
          <w:ilvl w:val="0"/>
          <w:numId w:val="27"/>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permitted. </w:t>
      </w:r>
      <w:r>
        <w:rPr>
          <w:rFonts w:ascii="Arial" w:cs="Arial" w:eastAsia="Arial" w:hAnsi="Arial"/>
          <w:sz w:val="16"/>
          <w:szCs w:val="16"/>
          <w:color w:val="auto"/>
        </w:rPr>
        <w:t>The Company’s Insider Trading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264"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No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9"/>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1116330</wp:posOffset>
            </wp:positionV>
            <wp:extent cx="5777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944" w:lineRule="exact"/>
        <w:rPr>
          <w:sz w:val="20"/>
          <w:szCs w:val="20"/>
          <w:color w:val="auto"/>
        </w:rPr>
      </w:pPr>
    </w:p>
    <w:p>
      <w:pPr>
        <w:sectPr>
          <w:pgSz w:w="11900" w:h="16838" w:orient="portrait"/>
          <w:cols w:equalWidth="0" w:num="2">
            <w:col w:w="4340" w:space="391"/>
            <w:col w:w="4589"/>
          </w:cols>
          <w:pgMar w:left="1280" w:top="265" w:right="1299" w:bottom="1440" w:gutter="0" w:footer="0" w:header="0"/>
          <w:type w:val="continuous"/>
        </w:sectPr>
      </w:pPr>
    </w:p>
    <w:p>
      <w:pPr>
        <w:spacing w:after="0" w:line="7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149225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255270</wp:posOffset>
            </wp:positionV>
            <wp:extent cx="68580" cy="3694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3694430"/>
                    </a:xfrm>
                    <a:prstGeom prst="rect">
                      <a:avLst/>
                    </a:prstGeom>
                    <a:noFill/>
                  </pic:spPr>
                </pic:pic>
              </a:graphicData>
            </a:graphic>
          </wp:anchor>
        </w:drawing>
      </w: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432"/>
        </w:trPr>
        <w:tc>
          <w:tcPr>
            <w:tcW w:w="340" w:type="dxa"/>
            <w:vAlign w:val="bottom"/>
            <w:shd w:val="clear" w:color="auto" w:fill="2D64AF"/>
          </w:tcPr>
          <w:p>
            <w:pPr>
              <w:spacing w:after="0"/>
              <w:rPr>
                <w:sz w:val="24"/>
                <w:szCs w:val="24"/>
                <w:color w:val="auto"/>
              </w:rPr>
            </w:pPr>
          </w:p>
        </w:tc>
        <w:tc>
          <w:tcPr>
            <w:tcW w:w="4260" w:type="dxa"/>
            <w:vAlign w:val="bottom"/>
            <w:gridSpan w:val="2"/>
            <w:vMerge w:val="restart"/>
            <w:shd w:val="clear" w:color="auto" w:fill="2D64AF"/>
          </w:tcPr>
          <w:p>
            <w:pPr>
              <w:ind w:left="1240"/>
              <w:spacing w:after="0"/>
              <w:rPr>
                <w:sz w:val="20"/>
                <w:szCs w:val="20"/>
                <w:color w:val="auto"/>
              </w:rPr>
            </w:pPr>
            <w:r>
              <w:rPr>
                <w:rFonts w:ascii="Arial" w:cs="Arial" w:eastAsia="Arial" w:hAnsi="Arial"/>
                <w:sz w:val="22"/>
                <w:szCs w:val="22"/>
                <w:b w:val="1"/>
                <w:bCs w:val="1"/>
                <w:color w:val="FFFFFF"/>
              </w:rPr>
              <w:t>What We Do</w:t>
            </w:r>
          </w:p>
        </w:tc>
        <w:tc>
          <w:tcPr>
            <w:tcW w:w="420" w:type="dxa"/>
            <w:vAlign w:val="bottom"/>
            <w:shd w:val="clear" w:color="auto" w:fill="2D64AF"/>
          </w:tcPr>
          <w:p>
            <w:pPr>
              <w:spacing w:after="0"/>
              <w:rPr>
                <w:sz w:val="24"/>
                <w:szCs w:val="24"/>
                <w:color w:val="auto"/>
              </w:rPr>
            </w:pPr>
          </w:p>
        </w:tc>
        <w:tc>
          <w:tcPr>
            <w:tcW w:w="4080" w:type="dxa"/>
            <w:vAlign w:val="bottom"/>
            <w:shd w:val="clear" w:color="auto" w:fill="2D64AF"/>
          </w:tcPr>
          <w:p>
            <w:pPr>
              <w:ind w:left="980"/>
              <w:spacing w:after="0"/>
              <w:rPr>
                <w:sz w:val="20"/>
                <w:szCs w:val="20"/>
                <w:color w:val="auto"/>
              </w:rPr>
            </w:pPr>
            <w:r>
              <w:rPr>
                <w:rFonts w:ascii="Arial" w:cs="Arial" w:eastAsia="Arial" w:hAnsi="Arial"/>
                <w:sz w:val="22"/>
                <w:szCs w:val="22"/>
                <w:b w:val="1"/>
                <w:bCs w:val="1"/>
                <w:color w:val="FFFFFF"/>
              </w:rPr>
              <w:t>What We Don’t Do</w:t>
            </w:r>
          </w:p>
        </w:tc>
        <w:tc>
          <w:tcPr>
            <w:tcW w:w="0" w:type="dxa"/>
            <w:vAlign w:val="bottom"/>
          </w:tcPr>
          <w:p>
            <w:pPr>
              <w:spacing w:after="0"/>
              <w:rPr>
                <w:sz w:val="1"/>
                <w:szCs w:val="1"/>
                <w:color w:val="auto"/>
              </w:rPr>
            </w:pPr>
          </w:p>
        </w:tc>
      </w:tr>
      <w:tr>
        <w:trPr>
          <w:trHeight w:val="159"/>
        </w:trPr>
        <w:tc>
          <w:tcPr>
            <w:tcW w:w="340" w:type="dxa"/>
            <w:vAlign w:val="bottom"/>
            <w:shd w:val="clear" w:color="auto" w:fill="2D64AF"/>
          </w:tcPr>
          <w:p>
            <w:pPr>
              <w:spacing w:after="0"/>
              <w:rPr>
                <w:sz w:val="13"/>
                <w:szCs w:val="13"/>
                <w:color w:val="auto"/>
              </w:rPr>
            </w:pPr>
          </w:p>
        </w:tc>
        <w:tc>
          <w:tcPr>
            <w:tcW w:w="4260" w:type="dxa"/>
            <w:vAlign w:val="bottom"/>
            <w:gridSpan w:val="2"/>
            <w:vMerge w:val="continue"/>
            <w:shd w:val="clear" w:color="auto" w:fill="2D64AF"/>
          </w:tcPr>
          <w:p>
            <w:pPr>
              <w:spacing w:after="0"/>
              <w:rPr>
                <w:sz w:val="13"/>
                <w:szCs w:val="13"/>
                <w:color w:val="auto"/>
              </w:rPr>
            </w:pPr>
          </w:p>
        </w:tc>
        <w:tc>
          <w:tcPr>
            <w:tcW w:w="420" w:type="dxa"/>
            <w:vAlign w:val="bottom"/>
            <w:shd w:val="clear" w:color="auto" w:fill="2D64AF"/>
          </w:tcPr>
          <w:p>
            <w:pPr>
              <w:spacing w:after="0"/>
              <w:rPr>
                <w:sz w:val="13"/>
                <w:szCs w:val="13"/>
                <w:color w:val="auto"/>
              </w:rPr>
            </w:pPr>
          </w:p>
        </w:tc>
        <w:tc>
          <w:tcPr>
            <w:tcW w:w="4080" w:type="dxa"/>
            <w:vAlign w:val="bottom"/>
            <w:vMerge w:val="restart"/>
            <w:shd w:val="clear" w:color="auto" w:fill="2D64AF"/>
          </w:tcPr>
          <w:p>
            <w:pPr>
              <w:ind w:left="1780"/>
              <w:spacing w:after="0"/>
              <w:rPr>
                <w:sz w:val="20"/>
                <w:szCs w:val="20"/>
                <w:color w:val="auto"/>
              </w:rPr>
            </w:pPr>
            <w:r>
              <w:rPr>
                <w:rFonts w:ascii="Arial" w:cs="Arial" w:eastAsia="Arial" w:hAnsi="Arial"/>
                <w:sz w:val="22"/>
                <w:szCs w:val="22"/>
                <w:b w:val="1"/>
                <w:bCs w:val="1"/>
                <w:color w:val="FFFFFF"/>
              </w:rPr>
              <w:t> </w:t>
            </w:r>
          </w:p>
        </w:tc>
        <w:tc>
          <w:tcPr>
            <w:tcW w:w="0" w:type="dxa"/>
            <w:vAlign w:val="bottom"/>
          </w:tcPr>
          <w:p>
            <w:pPr>
              <w:spacing w:after="0"/>
              <w:rPr>
                <w:sz w:val="1"/>
                <w:szCs w:val="1"/>
                <w:color w:val="auto"/>
              </w:rPr>
            </w:pPr>
          </w:p>
        </w:tc>
      </w:tr>
      <w:tr>
        <w:trPr>
          <w:trHeight w:val="132"/>
        </w:trPr>
        <w:tc>
          <w:tcPr>
            <w:tcW w:w="340" w:type="dxa"/>
            <w:vAlign w:val="bottom"/>
            <w:tcBorders>
              <w:bottom w:val="single" w:sz="8" w:color="auto"/>
            </w:tcBorders>
            <w:shd w:val="clear" w:color="auto" w:fill="2D64AF"/>
          </w:tcPr>
          <w:p>
            <w:pPr>
              <w:spacing w:after="0"/>
              <w:rPr>
                <w:sz w:val="11"/>
                <w:szCs w:val="11"/>
                <w:color w:val="auto"/>
              </w:rPr>
            </w:pPr>
          </w:p>
        </w:tc>
        <w:tc>
          <w:tcPr>
            <w:tcW w:w="4140" w:type="dxa"/>
            <w:vAlign w:val="bottom"/>
            <w:tcBorders>
              <w:bottom w:val="single" w:sz="8" w:color="auto"/>
            </w:tcBorders>
            <w:shd w:val="clear" w:color="auto" w:fill="2D64AF"/>
          </w:tcPr>
          <w:p>
            <w:pPr>
              <w:spacing w:after="0"/>
              <w:rPr>
                <w:sz w:val="11"/>
                <w:szCs w:val="11"/>
                <w:color w:val="auto"/>
              </w:rPr>
            </w:pPr>
          </w:p>
        </w:tc>
        <w:tc>
          <w:tcPr>
            <w:tcW w:w="120" w:type="dxa"/>
            <w:vAlign w:val="bottom"/>
            <w:shd w:val="clear" w:color="auto" w:fill="2D64AF"/>
          </w:tcPr>
          <w:p>
            <w:pPr>
              <w:spacing w:after="0"/>
              <w:rPr>
                <w:sz w:val="11"/>
                <w:szCs w:val="11"/>
                <w:color w:val="auto"/>
              </w:rPr>
            </w:pPr>
          </w:p>
        </w:tc>
        <w:tc>
          <w:tcPr>
            <w:tcW w:w="420" w:type="dxa"/>
            <w:vAlign w:val="bottom"/>
            <w:tcBorders>
              <w:bottom w:val="single" w:sz="8" w:color="auto"/>
            </w:tcBorders>
            <w:shd w:val="clear" w:color="auto" w:fill="2D64AF"/>
          </w:tcPr>
          <w:p>
            <w:pPr>
              <w:spacing w:after="0"/>
              <w:rPr>
                <w:sz w:val="11"/>
                <w:szCs w:val="11"/>
                <w:color w:val="auto"/>
              </w:rPr>
            </w:pPr>
          </w:p>
        </w:tc>
        <w:tc>
          <w:tcPr>
            <w:tcW w:w="4080" w:type="dxa"/>
            <w:vAlign w:val="bottom"/>
            <w:tcBorders>
              <w:bottom w:val="single" w:sz="8" w:color="auto"/>
            </w:tcBorders>
            <w:vMerge w:val="continue"/>
            <w:shd w:val="clear" w:color="auto" w:fill="2D64AF"/>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340" w:type="dxa"/>
            <w:vAlign w:val="bottom"/>
            <w:vMerge w:val="restart"/>
          </w:tcPr>
          <w:p>
            <w:pPr>
              <w:ind w:left="40"/>
              <w:spacing w:after="0"/>
              <w:rPr>
                <w:sz w:val="20"/>
                <w:szCs w:val="20"/>
                <w:color w:val="auto"/>
              </w:rPr>
            </w:pPr>
            <w:r>
              <w:rPr>
                <w:rFonts w:ascii="Arial" w:cs="Arial" w:eastAsia="Arial" w:hAnsi="Arial"/>
                <w:sz w:val="16"/>
                <w:szCs w:val="16"/>
                <w:color w:val="2D64AF"/>
              </w:rPr>
              <w:t> </w:t>
            </w:r>
          </w:p>
        </w:tc>
        <w:tc>
          <w:tcPr>
            <w:tcW w:w="4260" w:type="dxa"/>
            <w:vAlign w:val="bottom"/>
            <w:gridSpan w:val="2"/>
          </w:tcPr>
          <w:p>
            <w:pPr>
              <w:ind w:left="240"/>
              <w:spacing w:after="0"/>
              <w:rPr>
                <w:sz w:val="20"/>
                <w:szCs w:val="20"/>
                <w:color w:val="auto"/>
              </w:rPr>
            </w:pPr>
            <w:r>
              <w:rPr>
                <w:rFonts w:ascii="Arial" w:cs="Arial" w:eastAsia="Arial" w:hAnsi="Arial"/>
                <w:sz w:val="16"/>
                <w:szCs w:val="16"/>
                <w:b w:val="1"/>
                <w:bCs w:val="1"/>
                <w:i w:val="1"/>
                <w:iCs w:val="1"/>
                <w:color w:val="auto"/>
              </w:rPr>
              <w:t>Balance of short-term and long-term incentives.</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2D64AF"/>
              </w:rPr>
              <w:t> </w:t>
            </w: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No use of non-performance based pay other than</w:t>
            </w:r>
          </w:p>
        </w:tc>
        <w:tc>
          <w:tcPr>
            <w:tcW w:w="0" w:type="dxa"/>
            <w:vAlign w:val="bottom"/>
          </w:tcPr>
          <w:p>
            <w:pPr>
              <w:spacing w:after="0"/>
              <w:rPr>
                <w:sz w:val="1"/>
                <w:szCs w:val="1"/>
                <w:color w:val="auto"/>
              </w:rPr>
            </w:pPr>
          </w:p>
        </w:tc>
      </w:tr>
      <w:tr>
        <w:trPr>
          <w:trHeight w:val="189"/>
        </w:trPr>
        <w:tc>
          <w:tcPr>
            <w:tcW w:w="340" w:type="dxa"/>
            <w:vAlign w:val="bottom"/>
            <w:vMerge w:val="continue"/>
          </w:tcPr>
          <w:p>
            <w:pPr>
              <w:spacing w:after="0"/>
              <w:rPr>
                <w:sz w:val="16"/>
                <w:szCs w:val="16"/>
                <w:color w:val="auto"/>
              </w:rPr>
            </w:pPr>
          </w:p>
        </w:tc>
        <w:tc>
          <w:tcPr>
            <w:tcW w:w="4260" w:type="dxa"/>
            <w:vAlign w:val="bottom"/>
            <w:gridSpan w:val="2"/>
          </w:tcPr>
          <w:p>
            <w:pPr>
              <w:ind w:left="240"/>
              <w:spacing w:after="0"/>
              <w:rPr>
                <w:sz w:val="20"/>
                <w:szCs w:val="20"/>
                <w:color w:val="auto"/>
              </w:rPr>
            </w:pPr>
            <w:r>
              <w:rPr>
                <w:rFonts w:ascii="Arial" w:cs="Arial" w:eastAsia="Arial" w:hAnsi="Arial"/>
                <w:sz w:val="16"/>
                <w:szCs w:val="16"/>
                <w:color w:val="auto"/>
              </w:rPr>
              <w:t>Our incentive programs provide an appropriate</w:t>
            </w:r>
          </w:p>
        </w:tc>
        <w:tc>
          <w:tcPr>
            <w:tcW w:w="420" w:type="dxa"/>
            <w:vAlign w:val="bottom"/>
            <w:vMerge w:val="continue"/>
          </w:tcPr>
          <w:p>
            <w:pPr>
              <w:spacing w:after="0"/>
              <w:rPr>
                <w:sz w:val="16"/>
                <w:szCs w:val="16"/>
                <w:color w:val="auto"/>
              </w:rPr>
            </w:pP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base salary and limited perquisites and other</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Arial" w:cs="Arial" w:eastAsia="Arial" w:hAnsi="Arial"/>
                <w:sz w:val="16"/>
                <w:szCs w:val="16"/>
                <w:color w:val="auto"/>
              </w:rPr>
              <w:t>balance of annual and long-term incentives.</w:t>
            </w:r>
          </w:p>
        </w:tc>
        <w:tc>
          <w:tcPr>
            <w:tcW w:w="420" w:type="dxa"/>
            <w:vAlign w:val="bottom"/>
          </w:tcPr>
          <w:p>
            <w:pPr>
              <w:spacing w:after="0"/>
              <w:rPr>
                <w:sz w:val="18"/>
                <w:szCs w:val="18"/>
                <w:color w:val="auto"/>
              </w:rPr>
            </w:pP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benefits.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-364490</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-364490</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7" w:lineRule="exact"/>
        <w:rPr>
          <w:sz w:val="20"/>
          <w:szCs w:val="20"/>
          <w:color w:val="auto"/>
        </w:rPr>
      </w:pPr>
    </w:p>
    <w:p>
      <w:pPr>
        <w:ind w:left="800" w:right="4800" w:hanging="546"/>
        <w:spacing w:after="0" w:line="248" w:lineRule="auto"/>
        <w:tabs>
          <w:tab w:leader="none" w:pos="800" w:val="left"/>
        </w:tabs>
        <w:numPr>
          <w:ilvl w:val="0"/>
          <w:numId w:val="28"/>
        </w:numPr>
        <w:rPr>
          <w:rFonts w:ascii="Arial" w:cs="Arial" w:eastAsia="Arial" w:hAnsi="Arial"/>
          <w:sz w:val="16"/>
          <w:szCs w:val="16"/>
          <w:color w:val="2D64AF"/>
        </w:rPr>
      </w:pPr>
      <w:r>
        <w:rPr>
          <w:rFonts w:ascii="Arial" w:cs="Arial" w:eastAsia="Arial" w:hAnsi="Arial"/>
          <w:sz w:val="16"/>
          <w:szCs w:val="16"/>
          <w:color w:val="auto"/>
        </w:rPr>
        <w:t>stock ownership guidelines for Named Executive Officers. The President and CEO must have ownership of at least five times base salary, and the CFO and Group Presidents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Include recoupment and other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800" w:right="4760" w:hanging="546"/>
        <w:spacing w:after="0" w:line="250" w:lineRule="auto"/>
        <w:tabs>
          <w:tab w:leader="none" w:pos="800" w:val="left"/>
        </w:tabs>
        <w:numPr>
          <w:ilvl w:val="0"/>
          <w:numId w:val="29"/>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provisions in our annual incentive programs and equity-award provisions. </w:t>
      </w:r>
      <w:r>
        <w:rPr>
          <w:rFonts w:ascii="Arial" w:cs="Arial" w:eastAsia="Arial" w:hAnsi="Arial"/>
          <w:sz w:val="16"/>
          <w:szCs w:val="16"/>
          <w:color w:val="auto"/>
        </w:rPr>
        <w:t>Our annual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Utilize an independent compensation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800" w:right="4880" w:hanging="546"/>
        <w:spacing w:after="0" w:line="259" w:lineRule="auto"/>
        <w:tabs>
          <w:tab w:leader="none" w:pos="800" w:val="left"/>
        </w:tabs>
        <w:numPr>
          <w:ilvl w:val="0"/>
          <w:numId w:val="30"/>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firm. </w:t>
      </w:r>
      <w:r>
        <w:rPr>
          <w:rFonts w:ascii="Arial" w:cs="Arial" w:eastAsia="Arial" w:hAnsi="Arial"/>
          <w:sz w:val="16"/>
          <w:szCs w:val="16"/>
          <w:color w:val="auto"/>
        </w:rPr>
        <w:t>The Compensation Committee benefits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use of an independent compensation consulting firm, which provides minimal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4445</wp:posOffset>
            </wp:positionV>
            <wp:extent cx="57778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64" w:lineRule="exact"/>
        <w:rPr>
          <w:sz w:val="20"/>
          <w:szCs w:val="20"/>
          <w:color w:val="auto"/>
        </w:rPr>
      </w:pPr>
    </w:p>
    <w:p>
      <w:pPr>
        <w:ind w:left="220" w:hanging="214"/>
        <w:spacing w:after="0"/>
        <w:tabs>
          <w:tab w:leader="none" w:pos="220"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use a combination of compensation elements, including base salary, the annual incentive program and an equity program. Each element and the related compensation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decisions and results for fiscal 2022 are summarized below and detailed summaries follow in the CD&amp;A.</w:t>
      </w:r>
    </w:p>
    <w:p>
      <w:pPr>
        <w:spacing w:after="0" w:line="214" w:lineRule="exact"/>
        <w:rPr>
          <w:sz w:val="20"/>
          <w:szCs w:val="20"/>
          <w:color w:val="auto"/>
        </w:rPr>
      </w:pPr>
    </w:p>
    <w:p>
      <w:pPr>
        <w:sectPr>
          <w:pgSz w:w="11900" w:h="16838" w:orient="portrait"/>
          <w:cols w:equalWidth="0" w:num="2">
            <w:col w:w="4260" w:space="400"/>
            <w:col w:w="4660"/>
          </w:cols>
          <w:pgMar w:left="1280" w:top="265" w:right="1299" w:bottom="1440" w:gutter="0" w:footer="0" w:header="0"/>
          <w:type w:val="continuous"/>
        </w:sectPr>
      </w:pPr>
    </w:p>
    <w:tbl>
      <w:tblPr>
        <w:tblLayout w:type="fixed"/>
        <w:tblInd w:w="10" w:type="dxa"/>
        <w:tblCellMar>
          <w:top w:w="0" w:type="dxa"/>
          <w:left w:w="0" w:type="dxa"/>
          <w:bottom w:w="0" w:type="dxa"/>
          <w:right w:w="0" w:type="dxa"/>
        </w:tblCellMar>
      </w:tblPr>
      <w:tr>
        <w:trPr>
          <w:trHeight w:val="315"/>
        </w:trPr>
        <w:tc>
          <w:tcPr>
            <w:tcW w:w="1540" w:type="dxa"/>
            <w:vAlign w:val="bottom"/>
            <w:tcBorders>
              <w:top w:val="single" w:sz="8" w:color="auto"/>
              <w:left w:val="single" w:sz="8" w:color="auto"/>
              <w:bottom w:val="single" w:sz="8" w:color="D9D9D9"/>
              <w:right w:val="single" w:sz="8" w:color="auto"/>
            </w:tcBorders>
            <w:shd w:val="clear" w:color="auto" w:fill="D9D9D9"/>
          </w:tcPr>
          <w:p>
            <w:pPr>
              <w:spacing w:after="0"/>
              <w:rPr>
                <w:sz w:val="24"/>
                <w:szCs w:val="24"/>
                <w:color w:val="auto"/>
              </w:rPr>
            </w:pPr>
          </w:p>
        </w:tc>
        <w:tc>
          <w:tcPr>
            <w:tcW w:w="1280" w:type="dxa"/>
            <w:vAlign w:val="bottom"/>
            <w:tcBorders>
              <w:top w:val="single" w:sz="8" w:color="auto"/>
              <w:bottom w:val="single" w:sz="8" w:color="D9D9D9"/>
            </w:tcBorders>
            <w:shd w:val="clear" w:color="auto" w:fill="D9D9D9"/>
          </w:tcPr>
          <w:p>
            <w:pPr>
              <w:spacing w:after="0"/>
              <w:rPr>
                <w:sz w:val="24"/>
                <w:szCs w:val="24"/>
                <w:color w:val="auto"/>
              </w:rPr>
            </w:pPr>
          </w:p>
        </w:tc>
        <w:tc>
          <w:tcPr>
            <w:tcW w:w="2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Equity Programs</w:t>
            </w:r>
          </w:p>
        </w:tc>
        <w:tc>
          <w:tcPr>
            <w:tcW w:w="154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540" w:type="dxa"/>
            <w:vAlign w:val="bottom"/>
            <w:tcBorders>
              <w:top w:val="single" w:sz="8" w:color="D9D9D9"/>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D9D9D9"/>
            </w:tcBorders>
            <w:shd w:val="clear" w:color="auto" w:fill="D9D9D9"/>
          </w:tcPr>
          <w:p>
            <w:pPr>
              <w:spacing w:after="0"/>
              <w:rPr>
                <w:sz w:val="18"/>
                <w:szCs w:val="18"/>
                <w:color w:val="auto"/>
              </w:rPr>
            </w:pPr>
          </w:p>
        </w:tc>
        <w:tc>
          <w:tcPr>
            <w:tcW w:w="220" w:type="dxa"/>
            <w:vAlign w:val="bottom"/>
            <w:tcBorders>
              <w:top w:val="single" w:sz="8" w:color="D9D9D9"/>
              <w:right w:val="single" w:sz="8" w:color="auto"/>
            </w:tcBorders>
            <w:shd w:val="clear" w:color="auto" w:fill="D9D9D9"/>
          </w:tcPr>
          <w:p>
            <w:pPr>
              <w:spacing w:after="0"/>
              <w:rPr>
                <w:sz w:val="18"/>
                <w:szCs w:val="18"/>
                <w:color w:val="auto"/>
              </w:rPr>
            </w:pPr>
          </w:p>
        </w:tc>
        <w:tc>
          <w:tcPr>
            <w:tcW w:w="1500" w:type="dxa"/>
            <w:vAlign w:val="bottom"/>
            <w:tcBorders>
              <w:top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Annual Cash</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Time-Based</w:t>
            </w:r>
          </w:p>
        </w:tc>
        <w:tc>
          <w:tcPr>
            <w:tcW w:w="1520" w:type="dxa"/>
            <w:vAlign w:val="bottom"/>
            <w:tcBorders>
              <w:top w:val="single" w:sz="8" w:color="auto"/>
              <w:right w:val="single" w:sz="8" w:color="auto"/>
            </w:tcBorders>
            <w:shd w:val="clear" w:color="auto" w:fill="D9D9D9"/>
          </w:tcPr>
          <w:p>
            <w:pPr>
              <w:ind w:left="220"/>
              <w:spacing w:after="0"/>
              <w:rPr>
                <w:sz w:val="20"/>
                <w:szCs w:val="20"/>
                <w:color w:val="auto"/>
              </w:rPr>
            </w:pPr>
            <w:r>
              <w:rPr>
                <w:rFonts w:ascii="Arial" w:cs="Arial" w:eastAsia="Arial" w:hAnsi="Arial"/>
                <w:sz w:val="16"/>
                <w:szCs w:val="16"/>
                <w:b w:val="1"/>
                <w:bCs w:val="1"/>
                <w:color w:val="auto"/>
              </w:rPr>
              <w:t>Performance</w:t>
            </w:r>
          </w:p>
        </w:tc>
        <w:tc>
          <w:tcPr>
            <w:tcW w:w="1540" w:type="dxa"/>
            <w:vAlign w:val="bottom"/>
            <w:tcBorders>
              <w:top w:val="single" w:sz="8" w:color="auto"/>
              <w:right w:val="single" w:sz="8" w:color="auto"/>
            </w:tcBorders>
            <w:shd w:val="clear" w:color="auto" w:fill="D9D9D9"/>
          </w:tcPr>
          <w:p>
            <w:pPr>
              <w:jc w:val="center"/>
              <w:ind w:right="40"/>
              <w:spacing w:after="0"/>
              <w:rPr>
                <w:sz w:val="20"/>
                <w:szCs w:val="20"/>
                <w:color w:val="auto"/>
              </w:rPr>
            </w:pPr>
            <w:r>
              <w:rPr>
                <w:rFonts w:ascii="Arial" w:cs="Arial" w:eastAsia="Arial" w:hAnsi="Arial"/>
                <w:sz w:val="16"/>
                <w:szCs w:val="16"/>
                <w:b w:val="1"/>
                <w:bCs w:val="1"/>
                <w:color w:val="auto"/>
                <w:w w:val="99"/>
              </w:rPr>
              <w:t>Long Term</w:t>
            </w:r>
          </w:p>
        </w:tc>
        <w:tc>
          <w:tcPr>
            <w:tcW w:w="0" w:type="dxa"/>
            <w:vAlign w:val="bottom"/>
          </w:tcPr>
          <w:p>
            <w:pPr>
              <w:spacing w:after="0"/>
              <w:rPr>
                <w:sz w:val="1"/>
                <w:szCs w:val="1"/>
                <w:color w:val="auto"/>
              </w:rPr>
            </w:pPr>
          </w:p>
        </w:tc>
      </w:tr>
      <w:tr>
        <w:trPr>
          <w:trHeight w:val="266"/>
        </w:trPr>
        <w:tc>
          <w:tcPr>
            <w:tcW w:w="15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Elements</w:t>
            </w:r>
          </w:p>
        </w:tc>
        <w:tc>
          <w:tcPr>
            <w:tcW w:w="1280" w:type="dxa"/>
            <w:vAlign w:val="bottom"/>
            <w:tcBorders>
              <w:bottom w:val="single" w:sz="8" w:color="D9D9D9"/>
            </w:tcBorders>
            <w:shd w:val="clear" w:color="auto" w:fill="D9D9D9"/>
          </w:tcPr>
          <w:p>
            <w:pPr>
              <w:jc w:val="center"/>
              <w:ind w:left="79"/>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Borders>
              <w:bottom w:val="single" w:sz="8" w:color="D9D9D9"/>
              <w:right w:val="single" w:sz="8" w:color="auto"/>
            </w:tcBorders>
            <w:shd w:val="clear" w:color="auto" w:fill="D9D9D9"/>
          </w:tcPr>
          <w:p>
            <w:pPr>
              <w:spacing w:after="0"/>
              <w:rPr>
                <w:sz w:val="22"/>
                <w:szCs w:val="22"/>
                <w:color w:val="auto"/>
              </w:rPr>
            </w:pP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 Plan</w:t>
            </w:r>
          </w:p>
        </w:tc>
        <w:tc>
          <w:tcPr>
            <w:tcW w:w="15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218"/>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color w:val="auto"/>
              </w:rPr>
              <w:t>Fixed</w:t>
            </w:r>
          </w:p>
        </w:tc>
        <w:tc>
          <w:tcPr>
            <w:tcW w:w="220" w:type="dxa"/>
            <w:vAlign w:val="bottom"/>
            <w:tcBorders>
              <w:top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Variable</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Fixed</w:t>
            </w:r>
          </w:p>
        </w:tc>
        <w:tc>
          <w:tcPr>
            <w:tcW w:w="3060" w:type="dxa"/>
            <w:vAlign w:val="bottom"/>
            <w:tcBorders>
              <w:top w:val="single" w:sz="8" w:color="auto"/>
              <w:right w:val="single" w:sz="8" w:color="auto"/>
            </w:tcBorders>
            <w:gridSpan w:val="2"/>
            <w:vMerge w:val="restart"/>
          </w:tcPr>
          <w:p>
            <w:pPr>
              <w:ind w:left="1200"/>
              <w:spacing w:after="0"/>
              <w:rPr>
                <w:sz w:val="20"/>
                <w:szCs w:val="20"/>
                <w:color w:val="auto"/>
              </w:rPr>
            </w:pPr>
            <w:r>
              <w:rPr>
                <w:rFonts w:ascii="Arial" w:cs="Arial" w:eastAsia="Arial" w:hAnsi="Arial"/>
                <w:sz w:val="16"/>
                <w:szCs w:val="16"/>
                <w:color w:val="auto"/>
              </w:rPr>
              <w:t>Variable</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Mix</w:t>
            </w:r>
          </w:p>
        </w:tc>
        <w:tc>
          <w:tcPr>
            <w:tcW w:w="128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30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Recipients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All Named Executive Officers for time-based awards, all U.S.</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vMerge w:val="continue"/>
          </w:tcPr>
          <w:p>
            <w:pPr>
              <w:spacing w:after="0"/>
              <w:rPr>
                <w:sz w:val="16"/>
                <w:szCs w:val="16"/>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Named Executive Officers</w:t>
            </w:r>
          </w:p>
        </w:tc>
        <w:tc>
          <w:tcPr>
            <w:tcW w:w="4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based Named Executive Officers for Performance Share Plan</w:t>
            </w:r>
          </w:p>
        </w:tc>
        <w:tc>
          <w:tcPr>
            <w:tcW w:w="0" w:type="dxa"/>
            <w:vAlign w:val="bottom"/>
          </w:tcPr>
          <w:p>
            <w:pPr>
              <w:spacing w:after="0"/>
              <w:rPr>
                <w:sz w:val="1"/>
                <w:szCs w:val="1"/>
                <w:color w:val="auto"/>
              </w:rPr>
            </w:pPr>
          </w:p>
        </w:tc>
      </w:tr>
      <w:tr>
        <w:trPr>
          <w:trHeight w:val="195"/>
        </w:trPr>
        <w:tc>
          <w:tcPr>
            <w:tcW w:w="1540" w:type="dxa"/>
            <w:vAlign w:val="bottom"/>
            <w:tcBorders>
              <w:left w:val="single" w:sz="8" w:color="auto"/>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4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and Long Term Incentive Plan.</w:t>
            </w:r>
          </w:p>
        </w:tc>
        <w:tc>
          <w:tcPr>
            <w:tcW w:w="0" w:type="dxa"/>
            <w:vAlign w:val="bottom"/>
          </w:tcPr>
          <w:p>
            <w:pPr>
              <w:spacing w:after="0"/>
              <w:rPr>
                <w:sz w:val="1"/>
                <w:szCs w:val="1"/>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When Granted</w:t>
            </w:r>
          </w:p>
        </w:tc>
        <w:tc>
          <w:tcPr>
            <w:tcW w:w="1280" w:type="dxa"/>
            <w:vAlign w:val="bottom"/>
          </w:tcPr>
          <w:p>
            <w:pPr>
              <w:jc w:val="center"/>
              <w:ind w:left="59"/>
              <w:spacing w:after="0"/>
              <w:rPr>
                <w:sz w:val="20"/>
                <w:szCs w:val="20"/>
                <w:color w:val="auto"/>
              </w:rPr>
            </w:pPr>
            <w:r>
              <w:rPr>
                <w:rFonts w:ascii="Arial" w:cs="Arial" w:eastAsia="Arial" w:hAnsi="Arial"/>
                <w:sz w:val="16"/>
                <w:szCs w:val="16"/>
                <w:color w:val="auto"/>
              </w:rPr>
              <w:t>Review</w:t>
            </w:r>
          </w:p>
        </w:tc>
        <w:tc>
          <w:tcPr>
            <w:tcW w:w="2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3040" w:type="dxa"/>
            <w:vAlign w:val="bottom"/>
            <w:gridSpan w:val="2"/>
            <w:vMerge w:val="restart"/>
          </w:tcPr>
          <w:p>
            <w:pPr>
              <w:ind w:left="1200"/>
              <w:spacing w:after="0"/>
              <w:rPr>
                <w:sz w:val="20"/>
                <w:szCs w:val="20"/>
                <w:color w:val="auto"/>
              </w:rPr>
            </w:pPr>
            <w:r>
              <w:rPr>
                <w:rFonts w:ascii="Arial" w:cs="Arial" w:eastAsia="Arial" w:hAnsi="Arial"/>
                <w:sz w:val="16"/>
                <w:szCs w:val="16"/>
                <w:color w:val="auto"/>
              </w:rPr>
              <w:t>Annually</w:t>
            </w: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Annually</w:t>
            </w:r>
          </w:p>
        </w:tc>
        <w:tc>
          <w:tcPr>
            <w:tcW w:w="220" w:type="dxa"/>
            <w:vAlign w:val="bottom"/>
            <w:tcBorders>
              <w:right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3040" w:type="dxa"/>
            <w:vAlign w:val="bottom"/>
            <w:gridSpan w:val="2"/>
            <w:vMerge w:val="continue"/>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Form of Delivery</w:t>
            </w:r>
          </w:p>
        </w:tc>
        <w:tc>
          <w:tcPr>
            <w:tcW w:w="1280" w:type="dxa"/>
            <w:vAlign w:val="bottom"/>
          </w:tcPr>
          <w:p>
            <w:pPr>
              <w:spacing w:after="0"/>
              <w:rPr>
                <w:sz w:val="21"/>
                <w:szCs w:val="21"/>
                <w:color w:val="auto"/>
              </w:rPr>
            </w:pPr>
          </w:p>
        </w:tc>
        <w:tc>
          <w:tcPr>
            <w:tcW w:w="1720" w:type="dxa"/>
            <w:vAlign w:val="bottom"/>
            <w:tcBorders>
              <w:right w:val="single" w:sz="8" w:color="auto"/>
            </w:tcBorders>
            <w:gridSpan w:val="2"/>
          </w:tcPr>
          <w:p>
            <w:pPr>
              <w:jc w:val="center"/>
              <w:ind w:right="1219"/>
              <w:spacing w:after="0"/>
              <w:rPr>
                <w:sz w:val="20"/>
                <w:szCs w:val="20"/>
                <w:color w:val="auto"/>
              </w:rPr>
            </w:pPr>
            <w:r>
              <w:rPr>
                <w:rFonts w:ascii="Arial" w:cs="Arial" w:eastAsia="Arial" w:hAnsi="Arial"/>
                <w:sz w:val="16"/>
                <w:szCs w:val="16"/>
                <w:color w:val="auto"/>
              </w:rPr>
              <w:t>Cash</w:t>
            </w:r>
          </w:p>
        </w:tc>
        <w:tc>
          <w:tcPr>
            <w:tcW w:w="15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Type of</w:t>
            </w: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9"/>
              </w:rPr>
              <w:t>Short Term</w:t>
            </w:r>
          </w:p>
        </w:tc>
        <w:tc>
          <w:tcPr>
            <w:tcW w:w="152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Long Term</w:t>
            </w: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3000" w:type="dxa"/>
            <w:vAlign w:val="bottom"/>
            <w:tcBorders>
              <w:right w:val="single" w:sz="8" w:color="auto"/>
            </w:tcBorders>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Ongoing</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Stock vests over</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 stock</w:t>
            </w: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80" w:type="dxa"/>
            <w:vAlign w:val="bottom"/>
          </w:tcPr>
          <w:p>
            <w:pPr>
              <w:jc w:val="center"/>
              <w:ind w:left="99"/>
              <w:spacing w:after="0" w:line="147" w:lineRule="exact"/>
              <w:rPr>
                <w:sz w:val="20"/>
                <w:szCs w:val="20"/>
                <w:color w:val="auto"/>
              </w:rPr>
            </w:pPr>
            <w:r>
              <w:rPr>
                <w:rFonts w:ascii="Arial" w:cs="Arial" w:eastAsia="Arial" w:hAnsi="Arial"/>
                <w:sz w:val="16"/>
                <w:szCs w:val="16"/>
                <w:color w:val="auto"/>
              </w:rPr>
              <w:t>Ongoing</w:t>
            </w:r>
          </w:p>
        </w:tc>
        <w:tc>
          <w:tcPr>
            <w:tcW w:w="22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6"/>
                <w:szCs w:val="16"/>
                <w:color w:val="auto"/>
              </w:rPr>
              <w:t>performance, stock</w:t>
            </w: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40" w:type="dxa"/>
            <w:vAlign w:val="bottom"/>
            <w:tcBorders>
              <w:left w:val="single" w:sz="8" w:color="auto"/>
              <w:right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rPr>
              <w:t>Period</w:t>
            </w:r>
          </w:p>
        </w:tc>
        <w:tc>
          <w:tcPr>
            <w:tcW w:w="12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rPr>
              <w:t>3 years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vests over 3 years</w:t>
            </w:r>
          </w:p>
        </w:tc>
        <w:tc>
          <w:tcPr>
            <w:tcW w:w="15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5"/>
                <w:szCs w:val="15"/>
                <w:color w:val="auto"/>
              </w:rPr>
              <w:t>vests over 2 to</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5 years</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Vesting</w:t>
            </w:r>
          </w:p>
        </w:tc>
        <w:tc>
          <w:tcPr>
            <w:tcW w:w="1280" w:type="dxa"/>
            <w:vAlign w:val="bottom"/>
          </w:tcPr>
          <w:p>
            <w:pPr>
              <w:jc w:val="center"/>
              <w:ind w:left="79"/>
              <w:spacing w:after="0"/>
              <w:rPr>
                <w:sz w:val="20"/>
                <w:szCs w:val="20"/>
                <w:color w:val="auto"/>
              </w:rPr>
            </w:pPr>
            <w:r>
              <w:rPr>
                <w:rFonts w:ascii="Arial" w:cs="Arial" w:eastAsia="Arial" w:hAnsi="Arial"/>
                <w:sz w:val="16"/>
                <w:szCs w:val="16"/>
                <w:color w:val="auto"/>
              </w:rPr>
              <w:t>Immediate</w:t>
            </w:r>
          </w:p>
        </w:tc>
        <w:tc>
          <w:tcPr>
            <w:tcW w:w="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3-Years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3-Years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 to 5 years</w:t>
            </w:r>
          </w:p>
        </w:tc>
        <w:tc>
          <w:tcPr>
            <w:tcW w:w="0" w:type="dxa"/>
            <w:vAlign w:val="bottom"/>
          </w:tcPr>
          <w:p>
            <w:pPr>
              <w:spacing w:after="0"/>
              <w:rPr>
                <w:sz w:val="1"/>
                <w:szCs w:val="1"/>
                <w:color w:val="auto"/>
              </w:rPr>
            </w:pPr>
          </w:p>
        </w:tc>
      </w:tr>
      <w:tr>
        <w:trPr>
          <w:trHeight w:val="47"/>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How Payout is</w:t>
            </w:r>
          </w:p>
        </w:tc>
        <w:tc>
          <w:tcPr>
            <w:tcW w:w="1280" w:type="dxa"/>
            <w:vAlign w:val="bottom"/>
          </w:tcPr>
          <w:p>
            <w:pPr>
              <w:jc w:val="center"/>
              <w:ind w:left="79"/>
              <w:spacing w:after="0"/>
              <w:rPr>
                <w:sz w:val="20"/>
                <w:szCs w:val="20"/>
                <w:color w:val="auto"/>
              </w:rPr>
            </w:pPr>
            <w:r>
              <w:rPr>
                <w:rFonts w:ascii="Arial" w:cs="Arial" w:eastAsia="Arial" w:hAnsi="Arial"/>
                <w:sz w:val="16"/>
                <w:szCs w:val="16"/>
                <w:color w:val="auto"/>
              </w:rPr>
              <w:t>Compensation</w:t>
            </w:r>
          </w:p>
        </w:tc>
        <w:tc>
          <w:tcPr>
            <w:tcW w:w="2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Quantitative based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Formula Based</w:t>
            </w:r>
          </w:p>
        </w:tc>
        <w:tc>
          <w:tcPr>
            <w:tcW w:w="1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vMerge w:val="restart"/>
          </w:tcPr>
          <w:p>
            <w:pPr>
              <w:jc w:val="center"/>
              <w:ind w:left="99"/>
              <w:spacing w:after="0" w:line="169" w:lineRule="exact"/>
              <w:rPr>
                <w:sz w:val="20"/>
                <w:szCs w:val="20"/>
                <w:color w:val="auto"/>
              </w:rPr>
            </w:pPr>
            <w:r>
              <w:rPr>
                <w:rFonts w:ascii="Arial" w:cs="Arial" w:eastAsia="Arial" w:hAnsi="Arial"/>
                <w:sz w:val="16"/>
                <w:szCs w:val="16"/>
                <w:color w:val="auto"/>
              </w:rPr>
              <w:t>Committee</w:t>
            </w: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6"/>
                <w:szCs w:val="16"/>
                <w:color w:val="auto"/>
                <w:w w:val="98"/>
              </w:rPr>
              <w:t>Multi-Year</w:t>
            </w:r>
          </w:p>
        </w:tc>
        <w:tc>
          <w:tcPr>
            <w:tcW w:w="0" w:type="dxa"/>
            <w:vAlign w:val="bottom"/>
          </w:tcPr>
          <w:p>
            <w:pPr>
              <w:spacing w:after="0"/>
              <w:rPr>
                <w:sz w:val="1"/>
                <w:szCs w:val="1"/>
                <w:color w:val="auto"/>
              </w:rPr>
            </w:pPr>
          </w:p>
        </w:tc>
      </w:tr>
      <w:tr>
        <w:trPr>
          <w:trHeight w:val="74"/>
        </w:trPr>
        <w:tc>
          <w:tcPr>
            <w:tcW w:w="154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on performance</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(Percentage of</w:t>
            </w:r>
          </w:p>
        </w:tc>
        <w:tc>
          <w:tcPr>
            <w:tcW w:w="15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Determined</w:t>
            </w:r>
          </w:p>
        </w:tc>
        <w:tc>
          <w:tcPr>
            <w:tcW w:w="1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Recommends to</w:t>
            </w: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against goals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Salary)</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w w:val="98"/>
              </w:rPr>
              <w:t>Board</w:t>
            </w: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Performance</w:t>
            </w:r>
          </w:p>
        </w:tc>
        <w:tc>
          <w:tcPr>
            <w:tcW w:w="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EVA / EBITDA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EBITDA</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Revenue Growth</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Metrics</w:t>
            </w:r>
          </w:p>
        </w:tc>
        <w:tc>
          <w:tcPr>
            <w:tcW w:w="1280" w:type="dxa"/>
            <w:vAlign w:val="bottom"/>
            <w:vMerge w:val="restart"/>
          </w:tcPr>
          <w:p>
            <w:pPr>
              <w:jc w:val="center"/>
              <w:ind w:left="79"/>
              <w:spacing w:after="0"/>
              <w:rPr>
                <w:sz w:val="20"/>
                <w:szCs w:val="20"/>
                <w:color w:val="auto"/>
              </w:rPr>
            </w:pPr>
            <w:r>
              <w:rPr>
                <w:rFonts w:ascii="Arial" w:cs="Arial" w:eastAsia="Arial" w:hAnsi="Arial"/>
                <w:sz w:val="16"/>
                <w:szCs w:val="16"/>
                <w:color w:val="auto"/>
              </w:rPr>
              <w:t>Assessment</w:t>
            </w: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At-Risk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graphics below illustrate the mix of 2022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60960</wp:posOffset>
            </wp:positionV>
            <wp:extent cx="5666105" cy="1979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6105" cy="1979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220"/>
            <w:col w:w="4660"/>
          </w:cols>
          <w:pgMar w:left="1280" w:top="265"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320"/>
          </w:cols>
          <w:pgMar w:left="1280" w:top="265" w:right="1299" w:bottom="1440" w:gutter="0" w:footer="0" w:header="0"/>
          <w:type w:val="continuous"/>
        </w:sectPr>
      </w:pP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140335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2D64AF"/>
        </w:rPr>
        <w:t>Compensation of Named Executive Officers</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28575</wp:posOffset>
            </wp:positionV>
            <wp:extent cx="5777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p>
      <w:pPr>
        <w:spacing w:after="0" w:line="18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www.alliedmotion.com/corporate-governance/.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the Chief Executive Officer and, in consultation with the Chief Executive Officer, for the other Named Executive Officers and other key management. The Compensation Committee recommends annual base compensation and incentive compensation targets to the Board, and it also has the authority to make equity awards under the Company’s 2017 Omnibus Incentive Plan and reviews the attainment of annual goals for incentive compensation.</w:t>
      </w:r>
    </w:p>
    <w:p>
      <w:pPr>
        <w:spacing w:after="0" w:line="100"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The Compensation Committee meets with Mr.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Warzala’s compensation with him but makes decisions regarding his recommended compensation without him present.</w:t>
      </w:r>
    </w:p>
    <w:p>
      <w:pPr>
        <w:spacing w:after="0" w:line="97"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The Compensation Committee has authorized Mr. Warzala to make salary adjustments for all employees other than Named Executive Officers and other key management. Additionally, the Compensation Committee has from time to time delegated to Mr. Warzala the authority to grant restricted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stock awards to employees other than Named Executive Officers or key management in limited annual amounts. Such awards made by Mr. Warzala are generally intended to be used for employee recruiting, employee retention and promotion purposes. The one exception to these authorities is that the Compensation Committee retains approval authority for all salary adjustments and grants of restricted stock for Stephen Warzala, the Company’s Director of Strategic Business Development, who is the son of Mr. Warzala.</w:t>
      </w:r>
    </w:p>
    <w:p>
      <w:pPr>
        <w:spacing w:after="0" w:line="98"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Under the direction of the Compensation Committee, the Company has retained the Burke Group, an independent compensation consultant, to prepare a study that provided input on trends in executive compensation and an outside perspective on the Company’s executive compensation philosophy, programs and practices, while periodically assisting with the Compensation Committee’s peer group benchmarking analysis.</w:t>
      </w:r>
    </w:p>
    <w:p>
      <w:pPr>
        <w:spacing w:after="0" w:line="9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Compensation Committee has the sole authority to retain and terminate the compensation consultant and to approve the compensation consultant’s fees and all other terms of the engagement. The Compensation Committee exercised this authority to engage the Burke Group.</w:t>
      </w:r>
    </w:p>
    <w:p>
      <w:pPr>
        <w:spacing w:after="0" w:line="9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the Burke Group is independent in providing executive compensation consulting services. The Compensation Committee reviews its relationship with the Burke Group at least annually and in 2022 determined that the Burke Group’s work for the Compensation Committee did not raise any conflicts of interest, consistent with the guidance provided under the Dodd-Frank Wall Street Reform and Consumer Protection Act, the SEC and the Nasdaq Global Market. Burke Group does provide actuarial services on behalf of the Company for a defined benefit pension at Motor Products – Owosso. In 2022, the total fees for these services were approximately $75,000 and were taken into account by the Compensation Committee in making its independence determination.</w:t>
      </w:r>
    </w:p>
    <w:p>
      <w:pPr>
        <w:spacing w:after="0" w:line="171" w:lineRule="exact"/>
        <w:rPr>
          <w:sz w:val="20"/>
          <w:szCs w:val="20"/>
          <w:color w:val="auto"/>
        </w:rPr>
      </w:pPr>
    </w:p>
    <w:p>
      <w:pPr>
        <w:sectPr>
          <w:pgSz w:w="11900" w:h="16838" w:orient="portrait"/>
          <w:cols w:equalWidth="0" w:num="2">
            <w:col w:w="4660" w:space="22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Compensation Changes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Compensation Committee approved certain revisions to the Company’s compensation program for 2022, after advice from Burke Group.</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u w:val="single" w:color="auto"/>
          <w:color w:val="auto"/>
        </w:rPr>
        <w:t>Target Compensation Mix</w:t>
      </w:r>
      <w:r>
        <w:rPr>
          <w:rFonts w:ascii="Arial" w:cs="Arial" w:eastAsia="Arial" w:hAnsi="Arial"/>
          <w:sz w:val="16"/>
          <w:szCs w:val="16"/>
          <w:color w:val="auto"/>
        </w:rPr>
        <w:t>. The table below shows the mix of 2022 fixed pay (base salary) and at-risk pay incentives (cash incentive compensation and equity awards), presented at target, for each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33020</wp:posOffset>
            </wp:positionV>
            <wp:extent cx="5777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560" w:space="320"/>
            <w:col w:w="4440"/>
          </w:cols>
          <w:pgMar w:left="1280" w:top="265" w:right="1299" w:bottom="1440" w:gutter="0" w:footer="0" w:header="0"/>
          <w:type w:val="continuous"/>
        </w:sectPr>
      </w:pPr>
    </w:p>
    <w:tbl>
      <w:tblPr>
        <w:tblLayout w:type="fixed"/>
        <w:tblInd w:w="220" w:type="dxa"/>
        <w:tblCellMar>
          <w:top w:w="0" w:type="dxa"/>
          <w:left w:w="0" w:type="dxa"/>
          <w:bottom w:w="0" w:type="dxa"/>
          <w:right w:w="0" w:type="dxa"/>
        </w:tblCellMar>
      </w:tblPr>
      <w:tr>
        <w:trPr>
          <w:trHeight w:val="202"/>
        </w:trPr>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Percentage of Base Salary</w:t>
            </w:r>
          </w:p>
        </w:tc>
      </w:tr>
      <w:tr>
        <w:trPr>
          <w:trHeight w:val="62"/>
        </w:trPr>
        <w:tc>
          <w:tcPr>
            <w:tcW w:w="20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40" w:type="dxa"/>
            <w:vAlign w:val="bottom"/>
            <w:tcBorders>
              <w:bottom w:val="single" w:sz="8" w:color="2D64AF"/>
            </w:tcBorders>
          </w:tcPr>
          <w:p>
            <w:pPr>
              <w:spacing w:after="0"/>
              <w:rPr>
                <w:sz w:val="5"/>
                <w:szCs w:val="5"/>
                <w:color w:val="auto"/>
              </w:rPr>
            </w:pPr>
          </w:p>
        </w:tc>
        <w:tc>
          <w:tcPr>
            <w:tcW w:w="1320" w:type="dxa"/>
            <w:vAlign w:val="bottom"/>
            <w:tcBorders>
              <w:bottom w:val="single" w:sz="8" w:color="2D64AF"/>
            </w:tcBorders>
          </w:tcPr>
          <w:p>
            <w:pPr>
              <w:spacing w:after="0"/>
              <w:rPr>
                <w:sz w:val="5"/>
                <w:szCs w:val="5"/>
                <w:color w:val="auto"/>
              </w:rPr>
            </w:pPr>
          </w:p>
        </w:tc>
        <w:tc>
          <w:tcPr>
            <w:tcW w:w="1440" w:type="dxa"/>
            <w:vAlign w:val="bottom"/>
            <w:tcBorders>
              <w:bottom w:val="single" w:sz="8" w:color="2D64AF"/>
            </w:tcBorders>
          </w:tcPr>
          <w:p>
            <w:pPr>
              <w:spacing w:after="0"/>
              <w:rPr>
                <w:sz w:val="5"/>
                <w:szCs w:val="5"/>
                <w:color w:val="auto"/>
              </w:rPr>
            </w:pPr>
          </w:p>
        </w:tc>
        <w:tc>
          <w:tcPr>
            <w:tcW w:w="1280" w:type="dxa"/>
            <w:vAlign w:val="bottom"/>
            <w:tcBorders>
              <w:bottom w:val="single" w:sz="8" w:color="2D64AF"/>
            </w:tcBorders>
          </w:tcPr>
          <w:p>
            <w:pPr>
              <w:spacing w:after="0"/>
              <w:rPr>
                <w:sz w:val="5"/>
                <w:szCs w:val="5"/>
                <w:color w:val="auto"/>
              </w:rPr>
            </w:pPr>
          </w:p>
        </w:tc>
      </w:tr>
      <w:tr>
        <w:trPr>
          <w:trHeight w:val="215"/>
        </w:trPr>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jc w:val="right"/>
              <w:ind w:right="184"/>
              <w:spacing w:after="0"/>
              <w:rPr>
                <w:sz w:val="20"/>
                <w:szCs w:val="20"/>
                <w:color w:val="auto"/>
              </w:rPr>
            </w:pPr>
            <w:r>
              <w:rPr>
                <w:rFonts w:ascii="Arial" w:cs="Arial" w:eastAsia="Arial" w:hAnsi="Arial"/>
                <w:sz w:val="15"/>
                <w:szCs w:val="15"/>
                <w:b w:val="1"/>
                <w:bCs w:val="1"/>
                <w:color w:val="2D64AF"/>
              </w:rPr>
              <w:t>Annual Cash</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2D64AF"/>
              </w:rPr>
              <w:t>Time-Based</w:t>
            </w:r>
          </w:p>
        </w:tc>
        <w:tc>
          <w:tcPr>
            <w:tcW w:w="1440" w:type="dxa"/>
            <w:vAlign w:val="bottom"/>
          </w:tcPr>
          <w:p>
            <w:pPr>
              <w:jc w:val="right"/>
              <w:ind w:right="204"/>
              <w:spacing w:after="0"/>
              <w:rPr>
                <w:sz w:val="20"/>
                <w:szCs w:val="20"/>
                <w:color w:val="auto"/>
              </w:rPr>
            </w:pPr>
            <w:r>
              <w:rPr>
                <w:rFonts w:ascii="Arial" w:cs="Arial" w:eastAsia="Arial" w:hAnsi="Arial"/>
                <w:sz w:val="15"/>
                <w:szCs w:val="15"/>
                <w:b w:val="1"/>
                <w:bCs w:val="1"/>
                <w:color w:val="2D64AF"/>
              </w:rPr>
              <w:t>Performance</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2D64AF"/>
              </w:rPr>
              <w:t>Long Term</w:t>
            </w:r>
          </w:p>
        </w:tc>
      </w:tr>
      <w:tr>
        <w:trPr>
          <w:trHeight w:val="202"/>
        </w:trPr>
        <w:tc>
          <w:tcPr>
            <w:tcW w:w="2000" w:type="dxa"/>
            <w:vAlign w:val="bottom"/>
          </w:tcPr>
          <w:p>
            <w:pPr>
              <w:ind w:left="40"/>
              <w:spacing w:after="0"/>
              <w:rPr>
                <w:sz w:val="20"/>
                <w:szCs w:val="20"/>
                <w:color w:val="auto"/>
              </w:rPr>
            </w:pPr>
            <w:r>
              <w:rPr>
                <w:rFonts w:ascii="Arial" w:cs="Arial" w:eastAsia="Arial" w:hAnsi="Arial"/>
                <w:sz w:val="15"/>
                <w:szCs w:val="15"/>
                <w:b w:val="1"/>
                <w:bCs w:val="1"/>
                <w:color w:val="2D64AF"/>
              </w:rPr>
              <w:t>Name</w:t>
            </w:r>
          </w:p>
        </w:tc>
        <w:tc>
          <w:tcPr>
            <w:tcW w:w="1620" w:type="dxa"/>
            <w:vAlign w:val="bottom"/>
          </w:tcPr>
          <w:p>
            <w:pPr>
              <w:jc w:val="right"/>
              <w:ind w:right="64"/>
              <w:spacing w:after="0"/>
              <w:rPr>
                <w:sz w:val="20"/>
                <w:szCs w:val="20"/>
                <w:color w:val="auto"/>
              </w:rPr>
            </w:pPr>
            <w:r>
              <w:rPr>
                <w:rFonts w:ascii="Arial" w:cs="Arial" w:eastAsia="Arial" w:hAnsi="Arial"/>
                <w:sz w:val="15"/>
                <w:szCs w:val="15"/>
                <w:b w:val="1"/>
                <w:bCs w:val="1"/>
                <w:color w:val="2D64AF"/>
              </w:rPr>
              <w:t>Base Salary</w:t>
            </w:r>
          </w:p>
        </w:tc>
        <w:tc>
          <w:tcPr>
            <w:tcW w:w="1440" w:type="dxa"/>
            <w:vAlign w:val="bottom"/>
          </w:tcPr>
          <w:p>
            <w:pPr>
              <w:jc w:val="right"/>
              <w:ind w:right="144"/>
              <w:spacing w:after="0"/>
              <w:rPr>
                <w:sz w:val="20"/>
                <w:szCs w:val="20"/>
                <w:color w:val="auto"/>
              </w:rPr>
            </w:pPr>
            <w:r>
              <w:rPr>
                <w:rFonts w:ascii="Arial" w:cs="Arial" w:eastAsia="Arial" w:hAnsi="Arial"/>
                <w:sz w:val="15"/>
                <w:szCs w:val="15"/>
                <w:b w:val="1"/>
                <w:bCs w:val="1"/>
                <w:color w:val="2D64AF"/>
              </w:rPr>
              <w:t>Incentive</w:t>
            </w:r>
          </w:p>
        </w:tc>
        <w:tc>
          <w:tcPr>
            <w:tcW w:w="1320" w:type="dxa"/>
            <w:vAlign w:val="bottom"/>
          </w:tcPr>
          <w:p>
            <w:pPr>
              <w:jc w:val="right"/>
              <w:ind w:right="124"/>
              <w:spacing w:after="0"/>
              <w:rPr>
                <w:sz w:val="20"/>
                <w:szCs w:val="20"/>
                <w:color w:val="auto"/>
              </w:rPr>
            </w:pPr>
            <w:r>
              <w:rPr>
                <w:rFonts w:ascii="Arial" w:cs="Arial" w:eastAsia="Arial" w:hAnsi="Arial"/>
                <w:sz w:val="15"/>
                <w:szCs w:val="15"/>
                <w:b w:val="1"/>
                <w:bCs w:val="1"/>
                <w:color w:val="2D64AF"/>
              </w:rPr>
              <w:t>Award</w:t>
            </w:r>
          </w:p>
        </w:tc>
        <w:tc>
          <w:tcPr>
            <w:tcW w:w="1440" w:type="dxa"/>
            <w:vAlign w:val="bottom"/>
          </w:tcPr>
          <w:p>
            <w:pPr>
              <w:jc w:val="right"/>
              <w:ind w:right="164"/>
              <w:spacing w:after="0"/>
              <w:rPr>
                <w:sz w:val="20"/>
                <w:szCs w:val="20"/>
                <w:color w:val="auto"/>
              </w:rPr>
            </w:pPr>
            <w:r>
              <w:rPr>
                <w:rFonts w:ascii="Arial" w:cs="Arial" w:eastAsia="Arial" w:hAnsi="Arial"/>
                <w:sz w:val="15"/>
                <w:szCs w:val="15"/>
                <w:b w:val="1"/>
                <w:bCs w:val="1"/>
                <w:color w:val="2D64AF"/>
              </w:rPr>
              <w:t>Share Plan</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2D64AF"/>
              </w:rPr>
              <w:t>Incentive Plan</w:t>
            </w:r>
          </w:p>
        </w:tc>
      </w:tr>
      <w:tr>
        <w:trPr>
          <w:trHeight w:val="62"/>
        </w:trPr>
        <w:tc>
          <w:tcPr>
            <w:tcW w:w="2000" w:type="dxa"/>
            <w:vAlign w:val="bottom"/>
            <w:tcBorders>
              <w:bottom w:val="single" w:sz="8" w:color="2D64AF"/>
            </w:tcBorders>
          </w:tcPr>
          <w:p>
            <w:pPr>
              <w:spacing w:after="0"/>
              <w:rPr>
                <w:sz w:val="5"/>
                <w:szCs w:val="5"/>
                <w:color w:val="auto"/>
              </w:rPr>
            </w:pPr>
          </w:p>
        </w:tc>
        <w:tc>
          <w:tcPr>
            <w:tcW w:w="1620" w:type="dxa"/>
            <w:vAlign w:val="bottom"/>
            <w:tcBorders>
              <w:bottom w:val="single" w:sz="8" w:color="2D64AF"/>
            </w:tcBorders>
          </w:tcPr>
          <w:p>
            <w:pPr>
              <w:spacing w:after="0"/>
              <w:rPr>
                <w:sz w:val="5"/>
                <w:szCs w:val="5"/>
                <w:color w:val="auto"/>
              </w:rPr>
            </w:pPr>
          </w:p>
        </w:tc>
        <w:tc>
          <w:tcPr>
            <w:tcW w:w="1440" w:type="dxa"/>
            <w:vAlign w:val="bottom"/>
            <w:tcBorders>
              <w:bottom w:val="single" w:sz="8" w:color="2D64AF"/>
            </w:tcBorders>
          </w:tcPr>
          <w:p>
            <w:pPr>
              <w:spacing w:after="0"/>
              <w:rPr>
                <w:sz w:val="5"/>
                <w:szCs w:val="5"/>
                <w:color w:val="auto"/>
              </w:rPr>
            </w:pPr>
          </w:p>
        </w:tc>
        <w:tc>
          <w:tcPr>
            <w:tcW w:w="1320" w:type="dxa"/>
            <w:vAlign w:val="bottom"/>
            <w:tcBorders>
              <w:bottom w:val="single" w:sz="8" w:color="2D64AF"/>
            </w:tcBorders>
          </w:tcPr>
          <w:p>
            <w:pPr>
              <w:spacing w:after="0"/>
              <w:rPr>
                <w:sz w:val="5"/>
                <w:szCs w:val="5"/>
                <w:color w:val="auto"/>
              </w:rPr>
            </w:pPr>
          </w:p>
        </w:tc>
        <w:tc>
          <w:tcPr>
            <w:tcW w:w="1440" w:type="dxa"/>
            <w:vAlign w:val="bottom"/>
            <w:tcBorders>
              <w:bottom w:val="single" w:sz="8" w:color="2D64AF"/>
            </w:tcBorders>
          </w:tcPr>
          <w:p>
            <w:pPr>
              <w:spacing w:after="0"/>
              <w:rPr>
                <w:sz w:val="5"/>
                <w:szCs w:val="5"/>
                <w:color w:val="auto"/>
              </w:rPr>
            </w:pPr>
          </w:p>
        </w:tc>
        <w:tc>
          <w:tcPr>
            <w:tcW w:w="1280" w:type="dxa"/>
            <w:vAlign w:val="bottom"/>
            <w:tcBorders>
              <w:bottom w:val="single" w:sz="8" w:color="2D64AF"/>
            </w:tcBorders>
          </w:tcPr>
          <w:p>
            <w:pPr>
              <w:spacing w:after="0"/>
              <w:rPr>
                <w:sz w:val="5"/>
                <w:szCs w:val="5"/>
                <w:color w:val="auto"/>
              </w:rPr>
            </w:pPr>
          </w:p>
        </w:tc>
      </w:tr>
      <w:tr>
        <w:trPr>
          <w:trHeight w:val="255"/>
        </w:trPr>
        <w:tc>
          <w:tcPr>
            <w:tcW w:w="200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$650,000</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125%</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75%</w:t>
            </w:r>
          </w:p>
        </w:tc>
        <w:tc>
          <w:tcPr>
            <w:tcW w:w="128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62"/>
        </w:trPr>
        <w:tc>
          <w:tcPr>
            <w:tcW w:w="2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2000" w:type="dxa"/>
            <w:vAlign w:val="bottom"/>
          </w:tcPr>
          <w:p>
            <w:pPr>
              <w:ind w:left="40"/>
              <w:spacing w:after="0"/>
              <w:rPr>
                <w:sz w:val="20"/>
                <w:szCs w:val="20"/>
                <w:color w:val="auto"/>
              </w:rPr>
            </w:pPr>
            <w:r>
              <w:rPr>
                <w:rFonts w:ascii="Arial" w:cs="Arial" w:eastAsia="Arial" w:hAnsi="Arial"/>
                <w:sz w:val="15"/>
                <w:szCs w:val="15"/>
                <w:color w:val="auto"/>
              </w:rPr>
              <w:t>Michael R. Leach</w:t>
            </w: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$365,000</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50%</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22.5%</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22.5%</w:t>
            </w:r>
          </w:p>
        </w:tc>
        <w:tc>
          <w:tcPr>
            <w:tcW w:w="128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62"/>
        </w:trPr>
        <w:tc>
          <w:tcPr>
            <w:tcW w:w="2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2000" w:type="dxa"/>
            <w:vAlign w:val="bottom"/>
          </w:tcPr>
          <w:p>
            <w:pPr>
              <w:ind w:left="40"/>
              <w:spacing w:after="0"/>
              <w:rPr>
                <w:sz w:val="20"/>
                <w:szCs w:val="20"/>
                <w:color w:val="auto"/>
              </w:rPr>
            </w:pPr>
            <w:r>
              <w:rPr>
                <w:rFonts w:ascii="Arial" w:cs="Arial" w:eastAsia="Arial" w:hAnsi="Arial"/>
                <w:sz w:val="15"/>
                <w:szCs w:val="15"/>
                <w:color w:val="auto"/>
              </w:rPr>
              <w:t>Robert P. Maida</w:t>
            </w: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$335,000</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50%</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22.5%</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22.5%</w:t>
            </w:r>
          </w:p>
        </w:tc>
        <w:tc>
          <w:tcPr>
            <w:tcW w:w="128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62"/>
        </w:trPr>
        <w:tc>
          <w:tcPr>
            <w:tcW w:w="2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200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$378,000</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20%</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7.5%</w:t>
            </w:r>
          </w:p>
        </w:tc>
        <w:tc>
          <w:tcPr>
            <w:tcW w:w="12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62"/>
        </w:trPr>
        <w:tc>
          <w:tcPr>
            <w:tcW w:w="2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0"/>
        </w:trPr>
        <w:tc>
          <w:tcPr>
            <w:tcW w:w="200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Helmut D. Pirthauer</w:t>
            </w:r>
          </w:p>
        </w:tc>
        <w:tc>
          <w:tcPr>
            <w:tcW w:w="162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color w:val="auto"/>
              </w:rPr>
              <w:t>€305,000</w:t>
            </w:r>
          </w:p>
        </w:tc>
        <w:tc>
          <w:tcPr>
            <w:tcW w:w="144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35%</w:t>
            </w:r>
          </w:p>
        </w:tc>
        <w:tc>
          <w:tcPr>
            <w:tcW w:w="132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20%</w:t>
            </w:r>
          </w:p>
        </w:tc>
        <w:tc>
          <w:tcPr>
            <w:tcW w:w="1440" w:type="dxa"/>
            <w:vAlign w:val="bottom"/>
            <w:tcBorders>
              <w:bottom w:val="single" w:sz="8" w:color="2D64AF"/>
            </w:tcBorders>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w:t>
            </w:r>
          </w:p>
        </w:tc>
      </w:tr>
    </w:tbl>
    <w:p>
      <w:pPr>
        <w:spacing w:after="0" w:line="110" w:lineRule="exact"/>
        <w:rPr>
          <w:sz w:val="20"/>
          <w:szCs w:val="20"/>
          <w:color w:val="auto"/>
        </w:rPr>
      </w:pPr>
    </w:p>
    <w:p>
      <w:pPr>
        <w:sectPr>
          <w:pgSz w:w="11900" w:h="16838" w:orient="portrait"/>
          <w:cols w:equalWidth="0" w:num="1">
            <w:col w:w="9320"/>
          </w:cols>
          <w:pgMar w:left="1280" w:top="265" w:right="1299" w:bottom="1440" w:gutter="0" w:footer="0" w:header="0"/>
          <w:type w:val="continuous"/>
        </w:sectPr>
      </w:pPr>
    </w:p>
    <w:p>
      <w:pPr>
        <w:jc w:val="both"/>
        <w:ind w:left="220"/>
        <w:spacing w:after="0" w:line="253" w:lineRule="auto"/>
        <w:rPr>
          <w:sz w:val="20"/>
          <w:szCs w:val="20"/>
          <w:color w:val="auto"/>
        </w:rPr>
      </w:pPr>
      <w:r>
        <w:rPr>
          <w:rFonts w:ascii="Arial" w:cs="Arial" w:eastAsia="Arial" w:hAnsi="Arial"/>
          <w:sz w:val="16"/>
          <w:szCs w:val="16"/>
          <w:u w:val="single" w:color="auto"/>
          <w:color w:val="auto"/>
        </w:rPr>
        <w:t>LTIP</w:t>
      </w:r>
      <w:r>
        <w:rPr>
          <w:rFonts w:ascii="Arial" w:cs="Arial" w:eastAsia="Arial" w:hAnsi="Arial"/>
          <w:sz w:val="16"/>
          <w:szCs w:val="16"/>
          <w:color w:val="auto"/>
        </w:rPr>
        <w:t>. The LTIP is a multi-year pay-for-performance incentive program. The Company has had an LTIP since 2013 and has been amended from time to time as performance goals were</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16"/>
          <w:szCs w:val="16"/>
          <w:color w:val="auto"/>
        </w:rPr>
        <w:t>achieved. This original LTIP (the “Original LTIP”) is discussed above under the heading “Elements of Compensation – Equity Incentive Compensation – LTIP.”</w:t>
      </w:r>
    </w:p>
    <w:p>
      <w:pPr>
        <w:spacing w:after="0" w:line="9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Beginning in 2022, the Committee established a new LTIP that expanded the list of eligible participants thereunder (the</w:t>
      </w:r>
    </w:p>
    <w:p>
      <w:pPr>
        <w:spacing w:after="0" w:line="200" w:lineRule="exact"/>
        <w:rPr>
          <w:sz w:val="20"/>
          <w:szCs w:val="20"/>
          <w:color w:val="auto"/>
        </w:rPr>
      </w:pPr>
    </w:p>
    <w:p>
      <w:pPr>
        <w:sectPr>
          <w:pgSz w:w="11900" w:h="16838" w:orient="portrait"/>
          <w:cols w:equalWidth="0" w:num="2">
            <w:col w:w="4600" w:space="280"/>
            <w:col w:w="4440"/>
          </w:cols>
          <w:pgMar w:left="1280" w:top="265" w:right="1299" w:bottom="1440" w:gutter="0" w:footer="0" w:header="0"/>
          <w:type w:val="continuous"/>
        </w:sectPr>
      </w:pPr>
    </w:p>
    <w:p>
      <w:pPr>
        <w:spacing w:after="0" w:line="41" w:lineRule="exact"/>
        <w:rPr>
          <w:sz w:val="20"/>
          <w:szCs w:val="20"/>
          <w:color w:val="auto"/>
        </w:rPr>
      </w:pPr>
    </w:p>
    <w:p>
      <w:pPr>
        <w:ind w:left="220" w:hanging="214"/>
        <w:spacing w:after="0"/>
        <w:tabs>
          <w:tab w:leader="none" w:pos="22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265" w:right="1299" w:bottom="1440" w:gutter="0" w:footer="0" w:header="0"/>
        </w:sectPr>
      </w:pP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“New LTIP”) to improve retention and better align the interests of a larger group of key executives with shareholders. The annual target LTIP award, reflected as a percentage of base salary, for each of the Company’s named executive officers is shown above under “Target Compensation Mix.” Awards under the New LTIP continue to be based upon the achievement of total Company revenue growth, however, the awards for certain participants will be based, in whole or in part, on revenue growth at a specific unit level.</w:t>
      </w:r>
    </w:p>
    <w:p>
      <w:pPr>
        <w:spacing w:after="0" w:line="9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Committee established revenue targets under the New LTIP for both the Company, on a consolidated basis, and for specific units. Awards for the Company’s Chief Executive Officer and Chief Financial Officer and a portion of the award for the President, Allied Innovum Group, will be paid at target if the Company’s revenue, on a consolidated basis, increase by 33.3% over the three-year period ending December 31, 2024. The target for the Allied Innovum Group and Allied Orion Group have been set at a cumulative revenue increase of 22.5% over the same period.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The New LTIP performance criteria will be measured after the end of each year of the performance period and the number of shares that will be granted with respect to a performance period will be calculated based on the Company stock price (closing price) as measured at the beginning of the applicable performance period. When calculating the increase in revenue, the Company will make appropriate adjustments to account for any acquired revenue for which an LTIP award has previously been made. The restricted stock awards will vest over a two-year period after the year of the performance period. If the recipient’s employment with the Company is terminated due to cause or voluntary resignation, any unvested LTIP shares will be forfeited.</w:t>
      </w:r>
    </w:p>
    <w:p>
      <w:pPr>
        <w:spacing w:after="0" w:line="103"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All U.S. based named Executive Officers participate in the New LTIP.</w:t>
      </w:r>
    </w:p>
    <w:p>
      <w:pPr>
        <w:spacing w:after="0" w:line="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Company made no material changes to its compensation program for Named Executive Officers for 2023.</w:t>
      </w:r>
    </w:p>
    <w:p>
      <w:pPr>
        <w:spacing w:after="0" w:line="346"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Peer Group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2022, the Compensation Committee relied on a Peer Group Analysis prepared by the Burke Group to evaluate compensation levels for Named Executive Officers. The Peer Group recommended by the Burke Group and used by the Compensation Committee is based on similarly sized manufacturing companies. The Burke Group analyzed competitive total direct compensation at the Peer Companies,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40"/>
        <w:spacing w:after="0" w:line="248" w:lineRule="auto"/>
        <w:rPr>
          <w:sz w:val="20"/>
          <w:szCs w:val="20"/>
          <w:color w:val="auto"/>
        </w:rPr>
      </w:pPr>
      <w:r>
        <w:rPr>
          <w:rFonts w:ascii="Arial" w:cs="Arial" w:eastAsia="Arial" w:hAnsi="Arial"/>
          <w:sz w:val="16"/>
          <w:szCs w:val="16"/>
          <w:color w:val="auto"/>
        </w:rPr>
        <w:t>as disclosed in their proxy statements for prior years. The Compensation Committee periodically evaluates the appropriateness of the Peer Group (based on merger and acquisition activity, growth, business focus, etc.). The peer group used for benchmarking 2022 compensation was unchanged from 2020 and 2021. The members of the Peer Group for 2022 are as follows:</w:t>
      </w:r>
    </w:p>
    <w:p>
      <w:pPr>
        <w:spacing w:after="0" w:line="114"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tbl>
      <w:tblPr>
        <w:tblLayout w:type="fixed"/>
        <w:tblInd w:w="1140" w:type="dxa"/>
        <w:tblCellMar>
          <w:top w:w="0" w:type="dxa"/>
          <w:left w:w="0" w:type="dxa"/>
          <w:bottom w:w="0" w:type="dxa"/>
          <w:right w:w="0" w:type="dxa"/>
        </w:tblCellMar>
      </w:tblPr>
      <w:tr>
        <w:trPr>
          <w:trHeight w:val="189"/>
        </w:trPr>
        <w:tc>
          <w:tcPr>
            <w:tcW w:w="3400" w:type="dxa"/>
            <w:vAlign w:val="bottom"/>
          </w:tcPr>
          <w:p>
            <w:pPr>
              <w:jc w:val="center"/>
              <w:ind w:right="1119"/>
              <w:spacing w:after="0"/>
              <w:rPr>
                <w:sz w:val="20"/>
                <w:szCs w:val="20"/>
                <w:color w:val="auto"/>
              </w:rPr>
            </w:pPr>
            <w:r>
              <w:rPr>
                <w:rFonts w:ascii="Arial" w:cs="Arial" w:eastAsia="Arial" w:hAnsi="Arial"/>
                <w:sz w:val="16"/>
                <w:szCs w:val="16"/>
                <w:color w:val="auto"/>
              </w:rPr>
              <w:t>AeroVironment Inc.</w:t>
            </w:r>
          </w:p>
        </w:tc>
        <w:tc>
          <w:tcPr>
            <w:tcW w:w="3380" w:type="dxa"/>
            <w:vAlign w:val="bottom"/>
          </w:tcPr>
          <w:p>
            <w:pPr>
              <w:jc w:val="center"/>
              <w:ind w:left="1139"/>
              <w:spacing w:after="0"/>
              <w:rPr>
                <w:sz w:val="20"/>
                <w:szCs w:val="20"/>
                <w:color w:val="auto"/>
              </w:rPr>
            </w:pPr>
            <w:r>
              <w:rPr>
                <w:rFonts w:ascii="Arial" w:cs="Arial" w:eastAsia="Arial" w:hAnsi="Arial"/>
                <w:sz w:val="16"/>
                <w:szCs w:val="16"/>
                <w:color w:val="auto"/>
              </w:rPr>
              <w:t>Preformed Line Products Co.</w:t>
            </w:r>
          </w:p>
        </w:tc>
      </w:tr>
      <w:tr>
        <w:trPr>
          <w:trHeight w:val="189"/>
        </w:trPr>
        <w:tc>
          <w:tcPr>
            <w:tcW w:w="3400" w:type="dxa"/>
            <w:vAlign w:val="bottom"/>
          </w:tcPr>
          <w:p>
            <w:pPr>
              <w:jc w:val="center"/>
              <w:ind w:right="1119"/>
              <w:spacing w:after="0"/>
              <w:rPr>
                <w:sz w:val="20"/>
                <w:szCs w:val="20"/>
                <w:color w:val="auto"/>
              </w:rPr>
            </w:pPr>
            <w:r>
              <w:rPr>
                <w:rFonts w:ascii="Arial" w:cs="Arial" w:eastAsia="Arial" w:hAnsi="Arial"/>
                <w:sz w:val="16"/>
                <w:szCs w:val="16"/>
                <w:color w:val="auto"/>
              </w:rPr>
              <w:t>Astronics Corporation</w:t>
            </w:r>
          </w:p>
        </w:tc>
        <w:tc>
          <w:tcPr>
            <w:tcW w:w="3380" w:type="dxa"/>
            <w:vAlign w:val="bottom"/>
          </w:tcPr>
          <w:p>
            <w:pPr>
              <w:jc w:val="center"/>
              <w:ind w:left="1119"/>
              <w:spacing w:after="0"/>
              <w:rPr>
                <w:sz w:val="20"/>
                <w:szCs w:val="20"/>
                <w:color w:val="auto"/>
              </w:rPr>
            </w:pPr>
            <w:r>
              <w:rPr>
                <w:rFonts w:ascii="Arial" w:cs="Arial" w:eastAsia="Arial" w:hAnsi="Arial"/>
                <w:sz w:val="16"/>
                <w:szCs w:val="16"/>
                <w:color w:val="auto"/>
              </w:rPr>
              <w:t>Proto Labs, Inc.</w:t>
            </w:r>
          </w:p>
        </w:tc>
      </w:tr>
      <w:tr>
        <w:trPr>
          <w:trHeight w:val="189"/>
        </w:trPr>
        <w:tc>
          <w:tcPr>
            <w:tcW w:w="3400" w:type="dxa"/>
            <w:vAlign w:val="bottom"/>
          </w:tcPr>
          <w:p>
            <w:pPr>
              <w:jc w:val="center"/>
              <w:ind w:right="1119"/>
              <w:spacing w:after="0"/>
              <w:rPr>
                <w:sz w:val="20"/>
                <w:szCs w:val="20"/>
                <w:color w:val="auto"/>
              </w:rPr>
            </w:pPr>
            <w:r>
              <w:rPr>
                <w:rFonts w:ascii="Arial" w:cs="Arial" w:eastAsia="Arial" w:hAnsi="Arial"/>
                <w:sz w:val="16"/>
                <w:szCs w:val="16"/>
                <w:color w:val="auto"/>
                <w:w w:val="99"/>
              </w:rPr>
              <w:t>Enphase Energy, Inc.</w:t>
            </w:r>
          </w:p>
        </w:tc>
        <w:tc>
          <w:tcPr>
            <w:tcW w:w="3380" w:type="dxa"/>
            <w:vAlign w:val="bottom"/>
          </w:tcPr>
          <w:p>
            <w:pPr>
              <w:jc w:val="center"/>
              <w:ind w:left="1139"/>
              <w:spacing w:after="0"/>
              <w:rPr>
                <w:sz w:val="20"/>
                <w:szCs w:val="20"/>
                <w:color w:val="auto"/>
              </w:rPr>
            </w:pPr>
            <w:r>
              <w:rPr>
                <w:rFonts w:ascii="Arial" w:cs="Arial" w:eastAsia="Arial" w:hAnsi="Arial"/>
                <w:sz w:val="16"/>
                <w:szCs w:val="16"/>
                <w:color w:val="auto"/>
              </w:rPr>
              <w:t>The Gorman-Rupp Co.</w:t>
            </w:r>
          </w:p>
        </w:tc>
      </w:tr>
      <w:tr>
        <w:trPr>
          <w:trHeight w:val="189"/>
        </w:trPr>
        <w:tc>
          <w:tcPr>
            <w:tcW w:w="3400" w:type="dxa"/>
            <w:vAlign w:val="bottom"/>
          </w:tcPr>
          <w:p>
            <w:pPr>
              <w:jc w:val="center"/>
              <w:ind w:right="1119"/>
              <w:spacing w:after="0"/>
              <w:rPr>
                <w:sz w:val="20"/>
                <w:szCs w:val="20"/>
                <w:color w:val="auto"/>
              </w:rPr>
            </w:pPr>
            <w:r>
              <w:rPr>
                <w:rFonts w:ascii="Arial" w:cs="Arial" w:eastAsia="Arial" w:hAnsi="Arial"/>
                <w:sz w:val="16"/>
                <w:szCs w:val="16"/>
                <w:color w:val="auto"/>
              </w:rPr>
              <w:t>Helios Technologies Inc.</w:t>
            </w:r>
          </w:p>
        </w:tc>
        <w:tc>
          <w:tcPr>
            <w:tcW w:w="3380" w:type="dxa"/>
            <w:vAlign w:val="bottom"/>
          </w:tcPr>
          <w:p>
            <w:pPr>
              <w:jc w:val="center"/>
              <w:ind w:left="1139"/>
              <w:spacing w:after="0"/>
              <w:rPr>
                <w:sz w:val="20"/>
                <w:szCs w:val="20"/>
                <w:color w:val="auto"/>
              </w:rPr>
            </w:pPr>
            <w:r>
              <w:rPr>
                <w:rFonts w:ascii="Arial" w:cs="Arial" w:eastAsia="Arial" w:hAnsi="Arial"/>
                <w:sz w:val="16"/>
                <w:szCs w:val="16"/>
                <w:color w:val="auto"/>
              </w:rPr>
              <w:t>Thermon Group Holdings, Inc.</w:t>
            </w:r>
          </w:p>
        </w:tc>
      </w:tr>
      <w:tr>
        <w:trPr>
          <w:trHeight w:val="189"/>
        </w:trPr>
        <w:tc>
          <w:tcPr>
            <w:tcW w:w="3400" w:type="dxa"/>
            <w:vAlign w:val="bottom"/>
          </w:tcPr>
          <w:p>
            <w:pPr>
              <w:jc w:val="center"/>
              <w:ind w:right="1139"/>
              <w:spacing w:after="0"/>
              <w:rPr>
                <w:sz w:val="20"/>
                <w:szCs w:val="20"/>
                <w:color w:val="auto"/>
              </w:rPr>
            </w:pPr>
            <w:r>
              <w:rPr>
                <w:rFonts w:ascii="Arial" w:cs="Arial" w:eastAsia="Arial" w:hAnsi="Arial"/>
                <w:sz w:val="16"/>
                <w:szCs w:val="16"/>
                <w:color w:val="auto"/>
              </w:rPr>
              <w:t>LSI Industries, Inc.</w:t>
            </w:r>
          </w:p>
        </w:tc>
        <w:tc>
          <w:tcPr>
            <w:tcW w:w="3380" w:type="dxa"/>
            <w:vAlign w:val="bottom"/>
          </w:tcPr>
          <w:p>
            <w:pPr>
              <w:jc w:val="center"/>
              <w:ind w:left="1139"/>
              <w:spacing w:after="0"/>
              <w:rPr>
                <w:sz w:val="20"/>
                <w:szCs w:val="20"/>
                <w:color w:val="auto"/>
              </w:rPr>
            </w:pPr>
            <w:r>
              <w:rPr>
                <w:rFonts w:ascii="Arial" w:cs="Arial" w:eastAsia="Arial" w:hAnsi="Arial"/>
                <w:sz w:val="16"/>
                <w:szCs w:val="16"/>
                <w:color w:val="auto"/>
              </w:rPr>
              <w:t>Twin Disc Incorporated</w:t>
            </w:r>
          </w:p>
        </w:tc>
      </w:tr>
      <w:tr>
        <w:trPr>
          <w:trHeight w:val="189"/>
        </w:trPr>
        <w:tc>
          <w:tcPr>
            <w:tcW w:w="3400" w:type="dxa"/>
            <w:vAlign w:val="bottom"/>
          </w:tcPr>
          <w:p>
            <w:pPr>
              <w:jc w:val="center"/>
              <w:ind w:right="1119"/>
              <w:spacing w:after="0"/>
              <w:rPr>
                <w:sz w:val="20"/>
                <w:szCs w:val="20"/>
                <w:color w:val="auto"/>
              </w:rPr>
            </w:pPr>
            <w:r>
              <w:rPr>
                <w:rFonts w:ascii="Arial" w:cs="Arial" w:eastAsia="Arial" w:hAnsi="Arial"/>
                <w:sz w:val="16"/>
                <w:szCs w:val="16"/>
                <w:color w:val="auto"/>
              </w:rPr>
              <w:t>National Presto Industries, Inc.</w:t>
            </w:r>
          </w:p>
        </w:tc>
        <w:tc>
          <w:tcPr>
            <w:tcW w:w="3380" w:type="dxa"/>
            <w:vAlign w:val="bottom"/>
          </w:tcPr>
          <w:p>
            <w:pPr>
              <w:jc w:val="center"/>
              <w:ind w:left="1159"/>
              <w:spacing w:after="0"/>
              <w:rPr>
                <w:sz w:val="20"/>
                <w:szCs w:val="20"/>
                <w:color w:val="auto"/>
              </w:rPr>
            </w:pPr>
            <w:r>
              <w:rPr>
                <w:rFonts w:ascii="Arial" w:cs="Arial" w:eastAsia="Arial" w:hAnsi="Arial"/>
                <w:sz w:val="16"/>
                <w:szCs w:val="16"/>
                <w:color w:val="auto"/>
              </w:rPr>
              <w:t>Vicor Corporation</w:t>
            </w:r>
          </w:p>
        </w:tc>
      </w:tr>
      <w:tr>
        <w:trPr>
          <w:trHeight w:val="195"/>
        </w:trPr>
        <w:tc>
          <w:tcPr>
            <w:tcW w:w="3400" w:type="dxa"/>
            <w:vAlign w:val="bottom"/>
          </w:tcPr>
          <w:p>
            <w:pPr>
              <w:jc w:val="center"/>
              <w:ind w:right="1079"/>
              <w:spacing w:after="0"/>
              <w:rPr>
                <w:sz w:val="20"/>
                <w:szCs w:val="20"/>
                <w:color w:val="auto"/>
              </w:rPr>
            </w:pPr>
            <w:r>
              <w:rPr>
                <w:rFonts w:ascii="Arial" w:cs="Arial" w:eastAsia="Arial" w:hAnsi="Arial"/>
                <w:sz w:val="16"/>
                <w:szCs w:val="16"/>
                <w:color w:val="auto"/>
              </w:rPr>
              <w:t>Onto Innovation Inc.</w:t>
            </w:r>
          </w:p>
        </w:tc>
        <w:tc>
          <w:tcPr>
            <w:tcW w:w="3380" w:type="dxa"/>
            <w:vAlign w:val="bottom"/>
          </w:tcPr>
          <w:p>
            <w:pPr>
              <w:spacing w:after="0"/>
              <w:rPr>
                <w:sz w:val="16"/>
                <w:szCs w:val="1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and targets of executive compensation are:</w:t>
      </w:r>
    </w:p>
    <w:p>
      <w:pPr>
        <w:spacing w:after="0" w:line="46" w:lineRule="exact"/>
        <w:rPr>
          <w:sz w:val="20"/>
          <w:szCs w:val="20"/>
          <w:color w:val="auto"/>
        </w:rPr>
      </w:pPr>
    </w:p>
    <w:p>
      <w:pPr>
        <w:ind w:left="180" w:hanging="178"/>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 Compensation</w:t>
      </w:r>
    </w:p>
    <w:p>
      <w:pPr>
        <w:spacing w:after="0" w:line="45" w:lineRule="exact"/>
        <w:rPr>
          <w:rFonts w:ascii="Arial" w:cs="Arial" w:eastAsia="Arial" w:hAnsi="Arial"/>
          <w:sz w:val="16"/>
          <w:szCs w:val="16"/>
          <w:color w:val="auto"/>
        </w:rPr>
      </w:pPr>
    </w:p>
    <w:p>
      <w:pPr>
        <w:ind w:left="540" w:hanging="178"/>
        <w:spacing w:after="0"/>
        <w:tabs>
          <w:tab w:leader="none" w:pos="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At market as defined as the 50th percentile</w:t>
      </w:r>
    </w:p>
    <w:p>
      <w:pPr>
        <w:spacing w:after="0" w:line="32" w:lineRule="exact"/>
        <w:rPr>
          <w:rFonts w:ascii="Arial" w:cs="Arial" w:eastAsia="Arial" w:hAnsi="Arial"/>
          <w:sz w:val="16"/>
          <w:szCs w:val="16"/>
          <w:color w:val="auto"/>
        </w:rPr>
      </w:pPr>
    </w:p>
    <w:p>
      <w:pPr>
        <w:ind w:left="180" w:hanging="178"/>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 Cash Incentive Compensation</w:t>
      </w:r>
    </w:p>
    <w:p>
      <w:pPr>
        <w:spacing w:after="0" w:line="45" w:lineRule="exact"/>
        <w:rPr>
          <w:rFonts w:ascii="Arial" w:cs="Arial" w:eastAsia="Arial" w:hAnsi="Arial"/>
          <w:sz w:val="16"/>
          <w:szCs w:val="16"/>
          <w:color w:val="auto"/>
        </w:rPr>
      </w:pPr>
    </w:p>
    <w:p>
      <w:pPr>
        <w:ind w:left="540" w:right="60" w:hanging="178"/>
        <w:spacing w:after="0" w:line="253" w:lineRule="auto"/>
        <w:tabs>
          <w:tab w:leader="none" w:pos="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At market as defined as the 50th percentile for the achievement of Target and above market once Target is achieved</w:t>
      </w:r>
    </w:p>
    <w:p>
      <w:pPr>
        <w:spacing w:after="0" w:line="25" w:lineRule="exact"/>
        <w:rPr>
          <w:rFonts w:ascii="Arial" w:cs="Arial" w:eastAsia="Arial" w:hAnsi="Arial"/>
          <w:sz w:val="16"/>
          <w:szCs w:val="16"/>
          <w:color w:val="auto"/>
        </w:rPr>
      </w:pPr>
    </w:p>
    <w:p>
      <w:pPr>
        <w:ind w:left="180" w:hanging="178"/>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32" w:lineRule="exact"/>
        <w:rPr>
          <w:rFonts w:ascii="Arial" w:cs="Arial" w:eastAsia="Arial" w:hAnsi="Arial"/>
          <w:sz w:val="16"/>
          <w:szCs w:val="16"/>
          <w:color w:val="auto"/>
        </w:rPr>
      </w:pPr>
    </w:p>
    <w:p>
      <w:pPr>
        <w:ind w:left="540" w:hanging="178"/>
        <w:spacing w:after="0"/>
        <w:tabs>
          <w:tab w:leader="none" w:pos="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Above market when performance is achieved</w:t>
      </w:r>
    </w:p>
    <w:p>
      <w:pPr>
        <w:spacing w:after="0" w:line="11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xml:space="preserve"> . Base compensation is comprised of the annual salary and is set at levels sufficient to attract and retain executives. In determining Mr. Warzala’s base compensation, the Compensation Committee considers market data, Mr. Warzala’s performance and the Company’s performance during the previous year as well as goals and objectives for the current year. In determining other base compensation levels, the Compensation Committee reviews and considers the evaluation and recommendation by</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Warzala of each Named Executive Officer’s and certain key manager’s performance during the prior year as well as responsibilities for the current year. During the review of base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97"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u w:val="single" w:color="auto"/>
          <w:color w:val="auto"/>
        </w:rPr>
        <w:t>Annual Cash Incentive Plan</w:t>
      </w:r>
      <w:r>
        <w:rPr>
          <w:rFonts w:ascii="Arial" w:cs="Arial" w:eastAsia="Arial" w:hAnsi="Arial"/>
          <w:sz w:val="16"/>
          <w:szCs w:val="16"/>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w:t>
      </w:r>
    </w:p>
    <w:p>
      <w:pPr>
        <w:spacing w:after="0" w:line="200"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p>
      <w:pPr>
        <w:spacing w:after="0" w:line="4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149225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2D64AF"/>
        </w:rPr>
        <w:t>Compensation of Named Executive Officers</w:t>
      </w:r>
    </w:p>
    <w:p>
      <w:pPr>
        <w:sectPr>
          <w:pgSz w:w="11900" w:h="16838" w:orient="portrait"/>
          <w:cols w:equalWidth="0" w:num="1">
            <w:col w:w="9320"/>
          </w:cols>
          <w:pgMar w:left="1280" w:top="265" w:right="129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bonus amount). If the actual EVA achieved is greater than the target EVA performance goal, then the annual cash incentive plan award will be greater than 100% of the target amount with the total award being a prorata percent of the incremental EVA achieved above the target EVA. For 2022, the target incentives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154305</wp:posOffset>
            </wp:positionV>
            <wp:extent cx="2820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55"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420" w:type="dxa"/>
            <w:vAlign w:val="bottom"/>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ChiefExecutive Officer</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ind w:left="360"/>
              <w:spacing w:after="0"/>
              <w:rPr>
                <w:sz w:val="20"/>
                <w:szCs w:val="20"/>
                <w:color w:val="auto"/>
              </w:rPr>
            </w:pPr>
            <w:r>
              <w:rPr>
                <w:rFonts w:ascii="Arial" w:cs="Arial" w:eastAsia="Arial" w:hAnsi="Arial"/>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125%</w:t>
            </w:r>
            <w:r>
              <w:rPr>
                <w:rFonts w:ascii="Arial" w:cs="Arial" w:eastAsia="Arial" w:hAnsi="Arial"/>
                <w:sz w:val="3"/>
                <w:szCs w:val="3"/>
                <w:color w:val="auto"/>
              </w:rPr>
              <w:t>​</w:t>
            </w:r>
          </w:p>
        </w:tc>
      </w:tr>
      <w:tr>
        <w:trPr>
          <w:trHeight w:val="62"/>
        </w:trPr>
        <w:tc>
          <w:tcPr>
            <w:tcW w:w="2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6"/>
        </w:trPr>
        <w:tc>
          <w:tcPr>
            <w:tcW w:w="2420" w:type="dxa"/>
            <w:vAlign w:val="bottom"/>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ChiefFinancial Officer</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ind w:left="360"/>
              <w:spacing w:after="0"/>
              <w:rPr>
                <w:sz w:val="20"/>
                <w:szCs w:val="20"/>
                <w:color w:val="auto"/>
              </w:rPr>
            </w:pPr>
            <w:r>
              <w:rPr>
                <w:rFonts w:ascii="Arial" w:cs="Arial" w:eastAsia="Arial" w:hAnsi="Arial"/>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50%</w:t>
            </w:r>
            <w:r>
              <w:rPr>
                <w:rFonts w:ascii="Arial" w:cs="Arial" w:eastAsia="Arial" w:hAnsi="Arial"/>
                <w:sz w:val="3"/>
                <w:szCs w:val="3"/>
                <w:color w:val="auto"/>
              </w:rPr>
              <w:t>​</w:t>
            </w:r>
          </w:p>
        </w:tc>
      </w:tr>
      <w:tr>
        <w:trPr>
          <w:trHeight w:val="62"/>
        </w:trPr>
        <w:tc>
          <w:tcPr>
            <w:tcW w:w="2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6"/>
        </w:trPr>
        <w:tc>
          <w:tcPr>
            <w:tcW w:w="2420" w:type="dxa"/>
            <w:vAlign w:val="bottom"/>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President,Allied Innovum Group</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ind w:left="360"/>
              <w:spacing w:after="0"/>
              <w:rPr>
                <w:sz w:val="20"/>
                <w:szCs w:val="20"/>
                <w:color w:val="auto"/>
              </w:rPr>
            </w:pPr>
            <w:r>
              <w:rPr>
                <w:rFonts w:ascii="Arial" w:cs="Arial" w:eastAsia="Arial" w:hAnsi="Arial"/>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50%</w:t>
            </w:r>
            <w:r>
              <w:rPr>
                <w:rFonts w:ascii="Arial" w:cs="Arial" w:eastAsia="Arial" w:hAnsi="Arial"/>
                <w:sz w:val="3"/>
                <w:szCs w:val="3"/>
                <w:color w:val="auto"/>
              </w:rPr>
              <w:t>​</w:t>
            </w:r>
          </w:p>
        </w:tc>
      </w:tr>
      <w:tr>
        <w:trPr>
          <w:trHeight w:val="62"/>
        </w:trPr>
        <w:tc>
          <w:tcPr>
            <w:tcW w:w="2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6"/>
        </w:trPr>
        <w:tc>
          <w:tcPr>
            <w:tcW w:w="2420" w:type="dxa"/>
            <w:vAlign w:val="bottom"/>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President,Allied Dynamos Group</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ind w:left="360"/>
              <w:spacing w:after="0"/>
              <w:rPr>
                <w:sz w:val="20"/>
                <w:szCs w:val="20"/>
                <w:color w:val="auto"/>
              </w:rPr>
            </w:pPr>
            <w:r>
              <w:rPr>
                <w:rFonts w:ascii="Arial" w:cs="Arial" w:eastAsia="Arial" w:hAnsi="Arial"/>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w:t>
            </w:r>
            <w:r>
              <w:rPr>
                <w:rFonts w:ascii="Arial" w:cs="Arial" w:eastAsia="Arial" w:hAnsi="Arial"/>
                <w:sz w:val="3"/>
                <w:szCs w:val="3"/>
                <w:color w:val="auto"/>
              </w:rPr>
              <w:t>​</w:t>
            </w:r>
          </w:p>
        </w:tc>
      </w:tr>
      <w:tr>
        <w:trPr>
          <w:trHeight w:val="62"/>
        </w:trPr>
        <w:tc>
          <w:tcPr>
            <w:tcW w:w="2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71"/>
        </w:trPr>
        <w:tc>
          <w:tcPr>
            <w:tcW w:w="2420" w:type="dxa"/>
            <w:vAlign w:val="bottom"/>
            <w:tcBorders>
              <w:bottom w:val="single" w:sz="8" w:color="2D64AF"/>
            </w:tcBorders>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President,Allied Orion Group</w:t>
            </w:r>
          </w:p>
        </w:tc>
        <w:tc>
          <w:tcPr>
            <w:tcW w:w="500" w:type="dxa"/>
            <w:vAlign w:val="bottom"/>
            <w:tcBorders>
              <w:bottom w:val="single" w:sz="8" w:color="2D64AF"/>
            </w:tcBorders>
          </w:tcPr>
          <w:p>
            <w:pPr>
              <w:ind w:left="120"/>
              <w:spacing w:after="0"/>
              <w:rPr>
                <w:sz w:val="20"/>
                <w:szCs w:val="20"/>
                <w:color w:val="auto"/>
              </w:rPr>
            </w:pPr>
            <w:r>
              <w:rPr>
                <w:rFonts w:ascii="Arial" w:cs="Arial" w:eastAsia="Arial" w:hAnsi="Arial"/>
                <w:sz w:val="4"/>
                <w:szCs w:val="4"/>
                <w:color w:val="auto"/>
              </w:rPr>
              <w:t>​</w:t>
            </w:r>
          </w:p>
        </w:tc>
        <w:tc>
          <w:tcPr>
            <w:tcW w:w="740" w:type="dxa"/>
            <w:vAlign w:val="bottom"/>
            <w:tcBorders>
              <w:bottom w:val="single" w:sz="8" w:color="2D64AF"/>
            </w:tcBorders>
          </w:tcPr>
          <w:p>
            <w:pPr>
              <w:ind w:left="3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20%</w:t>
            </w:r>
            <w:r>
              <w:rPr>
                <w:rFonts w:ascii="Arial" w:cs="Arial" w:eastAsia="Arial" w:hAnsi="Arial"/>
                <w:sz w:val="3"/>
                <w:szCs w:val="3"/>
                <w:color w:val="auto"/>
              </w:rPr>
              <w:t>​</w:t>
            </w:r>
          </w:p>
        </w:tc>
      </w:tr>
    </w:tbl>
    <w:p>
      <w:pPr>
        <w:spacing w:after="0" w:line="110"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w:t>
      </w:r>
    </w:p>
    <w:p>
      <w:pPr>
        <w:spacing w:after="0" w:line="100"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In making a determination that the cash incentive compensation paid to the Company’s Named Executive Officers was appropriate, the Compensation Committee considered, among other things, the following key 2022 financial metrics for the Company compared to 2021 (all per share amounts reflect the 2021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43180</wp:posOffset>
            </wp:positionV>
            <wp:extent cx="2820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1"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08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42"/>
              <w:spacing w:after="0"/>
              <w:rPr>
                <w:sz w:val="20"/>
                <w:szCs w:val="20"/>
                <w:color w:val="auto"/>
              </w:rPr>
            </w:pPr>
            <w:r>
              <w:rPr>
                <w:rFonts w:ascii="Arial" w:cs="Arial" w:eastAsia="Arial" w:hAnsi="Arial"/>
                <w:sz w:val="15"/>
                <w:szCs w:val="15"/>
                <w:b w:val="1"/>
                <w:bCs w:val="1"/>
                <w:color w:val="2D64AF"/>
              </w:rPr>
              <w:t>2021</w:t>
            </w:r>
            <w:r>
              <w:rPr>
                <w:rFonts w:ascii="Arial" w:cs="Arial" w:eastAsia="Arial" w:hAnsi="Arial"/>
                <w:sz w:val="3"/>
                <w:szCs w:val="3"/>
                <w:color w:val="000000"/>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5"/>
                <w:szCs w:val="15"/>
                <w:b w:val="1"/>
                <w:bCs w:val="1"/>
                <w:color w:val="2D64AF"/>
              </w:rPr>
              <w:t>2022</w:t>
            </w:r>
            <w:r>
              <w:rPr>
                <w:rFonts w:ascii="Arial" w:cs="Arial" w:eastAsia="Arial" w:hAnsi="Arial"/>
                <w:sz w:val="3"/>
                <w:szCs w:val="3"/>
                <w:color w:val="000000"/>
              </w:rPr>
              <w:t>​</w:t>
            </w:r>
          </w:p>
        </w:tc>
      </w:tr>
      <w:tr>
        <w:trPr>
          <w:trHeight w:val="62"/>
        </w:trPr>
        <w:tc>
          <w:tcPr>
            <w:tcW w:w="20" w:type="dxa"/>
            <w:vAlign w:val="bottom"/>
            <w:tcBorders>
              <w:bottom w:val="single" w:sz="8" w:color="2D64AF"/>
            </w:tcBorders>
          </w:tcPr>
          <w:p>
            <w:pPr>
              <w:spacing w:after="0"/>
              <w:rPr>
                <w:sz w:val="5"/>
                <w:szCs w:val="5"/>
                <w:color w:val="auto"/>
              </w:rPr>
            </w:pPr>
          </w:p>
        </w:tc>
        <w:tc>
          <w:tcPr>
            <w:tcW w:w="2080" w:type="dxa"/>
            <w:vAlign w:val="bottom"/>
            <w:tcBorders>
              <w:bottom w:val="single" w:sz="8" w:color="2D64AF"/>
            </w:tcBorders>
          </w:tcPr>
          <w:p>
            <w:pPr>
              <w:spacing w:after="0"/>
              <w:rPr>
                <w:sz w:val="5"/>
                <w:szCs w:val="5"/>
                <w:color w:val="auto"/>
              </w:rPr>
            </w:pPr>
          </w:p>
        </w:tc>
        <w:tc>
          <w:tcPr>
            <w:tcW w:w="14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140" w:type="dxa"/>
            <w:vAlign w:val="bottom"/>
            <w:tcBorders>
              <w:bottom w:val="single" w:sz="8" w:color="2D64AF"/>
            </w:tcBorders>
          </w:tcPr>
          <w:p>
            <w:pPr>
              <w:spacing w:after="0"/>
              <w:rPr>
                <w:sz w:val="5"/>
                <w:szCs w:val="5"/>
                <w:color w:val="auto"/>
              </w:rPr>
            </w:pPr>
          </w:p>
        </w:tc>
        <w:tc>
          <w:tcPr>
            <w:tcW w:w="780" w:type="dxa"/>
            <w:vAlign w:val="bottom"/>
            <w:tcBorders>
              <w:bottom w:val="single" w:sz="8" w:color="2D64AF"/>
            </w:tcBorders>
          </w:tcPr>
          <w:p>
            <w:pPr>
              <w:spacing w:after="0"/>
              <w:rPr>
                <w:sz w:val="5"/>
                <w:szCs w:val="5"/>
                <w:color w:val="auto"/>
              </w:rPr>
            </w:pPr>
          </w:p>
        </w:tc>
        <w:tc>
          <w:tcPr>
            <w:tcW w:w="6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140" w:type="dxa"/>
            <w:vAlign w:val="bottom"/>
            <w:tcBorders>
              <w:bottom w:val="single" w:sz="8" w:color="2D64AF"/>
            </w:tcBorders>
          </w:tcPr>
          <w:p>
            <w:pPr>
              <w:spacing w:after="0"/>
              <w:rPr>
                <w:sz w:val="5"/>
                <w:szCs w:val="5"/>
                <w:color w:val="auto"/>
              </w:rPr>
            </w:pPr>
          </w:p>
        </w:tc>
        <w:tc>
          <w:tcPr>
            <w:tcW w:w="780" w:type="dxa"/>
            <w:vAlign w:val="bottom"/>
            <w:tcBorders>
              <w:bottom w:val="single" w:sz="8" w:color="2D64AF"/>
            </w:tcBorders>
          </w:tcPr>
          <w:p>
            <w:pPr>
              <w:spacing w:after="0"/>
              <w:rPr>
                <w:sz w:val="5"/>
                <w:szCs w:val="5"/>
                <w:color w:val="auto"/>
              </w:rPr>
            </w:pPr>
          </w:p>
        </w:tc>
        <w:tc>
          <w:tcPr>
            <w:tcW w:w="60" w:type="dxa"/>
            <w:vAlign w:val="bottom"/>
            <w:tcBorders>
              <w:bottom w:val="single" w:sz="8" w:color="2D64AF"/>
            </w:tcBorders>
          </w:tcPr>
          <w:p>
            <w:pPr>
              <w:spacing w:after="0"/>
              <w:rPr>
                <w:sz w:val="5"/>
                <w:szCs w:val="5"/>
                <w:color w:val="auto"/>
              </w:rPr>
            </w:pPr>
          </w:p>
        </w:tc>
      </w:tr>
      <w:tr>
        <w:trPr>
          <w:trHeight w:val="255"/>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8"/>
              </w:rPr>
              <w:t>24,094,000</w:t>
            </w:r>
          </w:p>
        </w:tc>
        <w:tc>
          <w:tcPr>
            <w:tcW w:w="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17,389,000</w:t>
            </w:r>
          </w:p>
        </w:tc>
        <w:tc>
          <w:tcPr>
            <w:tcW w:w="60" w:type="dxa"/>
            <w:vAlign w:val="bottom"/>
          </w:tcPr>
          <w:p>
            <w:pPr>
              <w:jc w:val="right"/>
              <w:ind w:right="2"/>
              <w:spacing w:after="0"/>
              <w:rPr>
                <w:sz w:val="20"/>
                <w:szCs w:val="20"/>
                <w:color w:val="auto"/>
              </w:rPr>
            </w:pPr>
            <w:r>
              <w:rPr>
                <w:rFonts w:ascii="Arial" w:cs="Arial" w:eastAsia="Arial" w:hAnsi="Arial"/>
                <w:sz w:val="4"/>
                <w:szCs w:val="4"/>
                <w:color w:val="auto"/>
              </w:rPr>
              <w:t>​</w:t>
            </w:r>
          </w:p>
        </w:tc>
      </w:tr>
      <w:tr>
        <w:trPr>
          <w:trHeight w:val="62"/>
        </w:trPr>
        <w:tc>
          <w:tcPr>
            <w:tcW w:w="210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55"/>
        </w:trPr>
        <w:tc>
          <w:tcPr>
            <w:tcW w:w="2100" w:type="dxa"/>
            <w:vAlign w:val="bottom"/>
            <w:gridSpan w:val="2"/>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Dilutedearnings per share</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1.67</w:t>
            </w:r>
          </w:p>
        </w:tc>
        <w:tc>
          <w:tcPr>
            <w:tcW w:w="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1.09</w:t>
            </w:r>
          </w:p>
        </w:tc>
        <w:tc>
          <w:tcPr>
            <w:tcW w:w="60" w:type="dxa"/>
            <w:vAlign w:val="bottom"/>
          </w:tcPr>
          <w:p>
            <w:pPr>
              <w:jc w:val="right"/>
              <w:ind w:right="2"/>
              <w:spacing w:after="0"/>
              <w:rPr>
                <w:sz w:val="20"/>
                <w:szCs w:val="20"/>
                <w:color w:val="auto"/>
              </w:rPr>
            </w:pPr>
            <w:r>
              <w:rPr>
                <w:rFonts w:ascii="Arial" w:cs="Arial" w:eastAsia="Arial" w:hAnsi="Arial"/>
                <w:sz w:val="4"/>
                <w:szCs w:val="4"/>
                <w:color w:val="auto"/>
              </w:rPr>
              <w:t>​</w:t>
            </w:r>
          </w:p>
        </w:tc>
      </w:tr>
      <w:tr>
        <w:trPr>
          <w:trHeight w:val="62"/>
        </w:trPr>
        <w:tc>
          <w:tcPr>
            <w:tcW w:w="210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417"/>
        </w:trPr>
        <w:tc>
          <w:tcPr>
            <w:tcW w:w="2100" w:type="dxa"/>
            <w:vAlign w:val="bottom"/>
            <w:gridSpan w:val="2"/>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30"/>
                <w:szCs w:val="30"/>
                <w:color w:val="auto"/>
                <w:vertAlign w:val="subscript"/>
              </w:rPr>
              <w:t>share</w:t>
            </w:r>
            <w:r>
              <w:rPr>
                <w:rFonts w:ascii="Arial" w:cs="Arial" w:eastAsia="Arial" w:hAnsi="Arial"/>
                <w:sz w:val="15"/>
                <w:szCs w:val="15"/>
                <w:color w:val="auto"/>
              </w:rPr>
              <w:t>Adjusteddiluted earnings per</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1.60</w:t>
            </w:r>
          </w:p>
        </w:tc>
        <w:tc>
          <w:tcPr>
            <w:tcW w:w="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1.88</w:t>
            </w:r>
          </w:p>
        </w:tc>
        <w:tc>
          <w:tcPr>
            <w:tcW w:w="60" w:type="dxa"/>
            <w:vAlign w:val="bottom"/>
          </w:tcPr>
          <w:p>
            <w:pPr>
              <w:jc w:val="right"/>
              <w:ind w:right="2"/>
              <w:spacing w:after="0"/>
              <w:rPr>
                <w:sz w:val="20"/>
                <w:szCs w:val="20"/>
                <w:color w:val="auto"/>
              </w:rPr>
            </w:pPr>
            <w:r>
              <w:rPr>
                <w:rFonts w:ascii="Arial" w:cs="Arial" w:eastAsia="Arial" w:hAnsi="Arial"/>
                <w:sz w:val="4"/>
                <w:szCs w:val="4"/>
                <w:color w:val="auto"/>
              </w:rPr>
              <w:t>​</w:t>
            </w:r>
          </w:p>
        </w:tc>
      </w:tr>
      <w:tr>
        <w:trPr>
          <w:trHeight w:val="62"/>
        </w:trPr>
        <w:tc>
          <w:tcPr>
            <w:tcW w:w="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71"/>
        </w:trPr>
        <w:tc>
          <w:tcPr>
            <w:tcW w:w="20" w:type="dxa"/>
            <w:vAlign w:val="bottom"/>
            <w:tcBorders>
              <w:bottom w:val="single" w:sz="8" w:color="2D64AF"/>
            </w:tcBorders>
          </w:tcPr>
          <w:p>
            <w:pPr>
              <w:spacing w:after="0"/>
              <w:rPr>
                <w:sz w:val="20"/>
                <w:szCs w:val="20"/>
                <w:color w:val="auto"/>
              </w:rPr>
            </w:pPr>
            <w:r>
              <w:rPr>
                <w:rFonts w:ascii="Arial" w:cs="Arial" w:eastAsia="Arial" w:hAnsi="Arial"/>
                <w:sz w:val="2"/>
                <w:szCs w:val="2"/>
                <w:color w:val="auto"/>
                <w:w w:val="4294942296"/>
              </w:rPr>
              <w:t>​</w:t>
            </w:r>
          </w:p>
        </w:tc>
        <w:tc>
          <w:tcPr>
            <w:tcW w:w="2080" w:type="dxa"/>
            <w:vAlign w:val="bottom"/>
            <w:tcBorders>
              <w:bottom w:val="single" w:sz="8" w:color="2D64AF"/>
            </w:tcBorders>
          </w:tcPr>
          <w:p>
            <w:pPr>
              <w:ind w:left="20"/>
              <w:spacing w:after="0"/>
              <w:rPr>
                <w:sz w:val="20"/>
                <w:szCs w:val="20"/>
                <w:color w:val="auto"/>
              </w:rPr>
            </w:pPr>
            <w:r>
              <w:rPr>
                <w:rFonts w:ascii="Arial" w:cs="Arial" w:eastAsia="Arial" w:hAnsi="Arial"/>
                <w:sz w:val="15"/>
                <w:szCs w:val="15"/>
                <w:color w:val="auto"/>
              </w:rPr>
              <w:t>EBITDA</w:t>
            </w:r>
          </w:p>
        </w:tc>
        <w:tc>
          <w:tcPr>
            <w:tcW w:w="140" w:type="dxa"/>
            <w:vAlign w:val="bottom"/>
            <w:tcBorders>
              <w:bottom w:val="single" w:sz="8" w:color="2D64AF"/>
            </w:tcBorders>
          </w:tcPr>
          <w:p>
            <w:pPr>
              <w:ind w:left="8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2D64AF"/>
            </w:tcBorders>
          </w:tcPr>
          <w:p>
            <w:pPr>
              <w:ind w:left="6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44,456,000</w:t>
            </w:r>
          </w:p>
        </w:tc>
        <w:tc>
          <w:tcPr>
            <w:tcW w:w="60" w:type="dxa"/>
            <w:vAlign w:val="bottom"/>
            <w:tcBorders>
              <w:bottom w:val="single" w:sz="8" w:color="2D64AF"/>
            </w:tcBorders>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2D64AF"/>
            </w:tcBorders>
          </w:tcPr>
          <w:p>
            <w:pPr>
              <w:ind w:left="6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56,859,000</w:t>
            </w:r>
          </w:p>
        </w:tc>
        <w:tc>
          <w:tcPr>
            <w:tcW w:w="60" w:type="dxa"/>
            <w:vAlign w:val="bottom"/>
            <w:tcBorders>
              <w:bottom w:val="single" w:sz="8" w:color="2D64AF"/>
            </w:tcBorders>
          </w:tcPr>
          <w:p>
            <w:pPr>
              <w:jc w:val="right"/>
              <w:ind w:right="2"/>
              <w:spacing w:after="0"/>
              <w:rPr>
                <w:sz w:val="20"/>
                <w:szCs w:val="20"/>
                <w:color w:val="auto"/>
              </w:rPr>
            </w:pPr>
            <w:r>
              <w:rPr>
                <w:rFonts w:ascii="Arial" w:cs="Arial" w:eastAsia="Arial" w:hAnsi="Arial"/>
                <w:sz w:val="4"/>
                <w:szCs w:val="4"/>
                <w:color w:val="auto"/>
              </w:rPr>
              <w:t>​</w:t>
            </w:r>
          </w:p>
        </w:tc>
      </w:tr>
    </w:tbl>
    <w:p>
      <w:pPr>
        <w:spacing w:after="0" w:line="110" w:lineRule="exact"/>
        <w:rPr>
          <w:sz w:val="20"/>
          <w:szCs w:val="20"/>
          <w:color w:val="auto"/>
        </w:rPr>
      </w:pPr>
    </w:p>
    <w:p>
      <w:pPr>
        <w:ind w:left="220" w:right="100"/>
        <w:spacing w:after="0" w:line="246" w:lineRule="auto"/>
        <w:rPr>
          <w:sz w:val="20"/>
          <w:szCs w:val="20"/>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equity incentive compensation program is comprised of restricted stock awards that are (i) time-based and vest, assuming continued employment, over a three-year period from the date of grant,</w:t>
      </w:r>
    </w:p>
    <w:p>
      <w:pPr>
        <w:spacing w:after="0" w:line="2" w:lineRule="exact"/>
        <w:rPr>
          <w:sz w:val="20"/>
          <w:szCs w:val="20"/>
          <w:color w:val="auto"/>
        </w:rPr>
      </w:pPr>
    </w:p>
    <w:p>
      <w:pPr>
        <w:ind w:left="220" w:right="40" w:hanging="2"/>
        <w:spacing w:after="0" w:line="253" w:lineRule="auto"/>
        <w:tabs>
          <w:tab w:leader="none" w:pos="4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earned upon achievement of certain annually determined performance criteria (PSP) and (iii) earned upon achievement of longer-term performance goals.</w:t>
      </w:r>
    </w:p>
    <w:p>
      <w:pPr>
        <w:spacing w:after="0" w:line="93" w:lineRule="exact"/>
        <w:rPr>
          <w:sz w:val="20"/>
          <w:szCs w:val="20"/>
          <w:color w:val="auto"/>
        </w:rPr>
      </w:pPr>
    </w:p>
    <w:p>
      <w:pPr>
        <w:ind w:left="580"/>
        <w:spacing w:after="0" w:line="246" w:lineRule="auto"/>
        <w:rPr>
          <w:sz w:val="20"/>
          <w:szCs w:val="20"/>
          <w:color w:val="auto"/>
        </w:rPr>
      </w:pPr>
      <w:r>
        <w:rPr>
          <w:rFonts w:ascii="Arial" w:cs="Arial" w:eastAsia="Arial" w:hAnsi="Arial"/>
          <w:sz w:val="16"/>
          <w:szCs w:val="16"/>
          <w:color w:val="auto"/>
        </w:rPr>
        <w:t>(i)  Time-Based Awards. The annual time-based restricted stock awards for the Named Executive Officers are equal to a percentage of the officer’s then annual salary divided by the fair market value (closing Company stock price) on the grant date. In 2022, the Compensation Committee granted Mr. Warzala 14,176 shares of time-based restricted stock (75% of annual salary), Mr. Leach 2,389 shares (22.5% of annual salary), Mr. Maida 2,192 shares (22.5% of annual salary), Mr. Bendre 825 shares (7.5% of salary) and Mr. Pirthauer 2,016 shares (20% of salary). The time-</w:t>
      </w:r>
    </w:p>
    <w:p>
      <w:pPr>
        <w:spacing w:after="0" w:line="2" w:lineRule="exact"/>
        <w:rPr>
          <w:sz w:val="20"/>
          <w:szCs w:val="20"/>
          <w:color w:val="auto"/>
        </w:rPr>
      </w:pPr>
    </w:p>
    <w:p>
      <w:pPr>
        <w:ind w:left="580" w:right="100"/>
        <w:spacing w:after="0" w:line="212" w:lineRule="auto"/>
        <w:rPr>
          <w:sz w:val="20"/>
          <w:szCs w:val="20"/>
          <w:color w:val="auto"/>
        </w:rPr>
      </w:pPr>
      <w:r>
        <w:rPr>
          <w:rFonts w:ascii="Arial" w:cs="Arial" w:eastAsia="Arial" w:hAnsi="Arial"/>
          <w:sz w:val="16"/>
          <w:szCs w:val="16"/>
          <w:color w:val="auto"/>
        </w:rPr>
        <w:t>based awards will vest 1/3 on each on April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2023, 2024 and 2025.</w:t>
      </w:r>
    </w:p>
    <w:p>
      <w:pPr>
        <w:spacing w:after="0" w:line="102" w:lineRule="exact"/>
        <w:rPr>
          <w:sz w:val="20"/>
          <w:szCs w:val="20"/>
          <w:color w:val="auto"/>
        </w:rPr>
      </w:pPr>
    </w:p>
    <w:p>
      <w:pPr>
        <w:ind w:left="580" w:right="60"/>
        <w:spacing w:after="0" w:line="250" w:lineRule="auto"/>
        <w:rPr>
          <w:sz w:val="20"/>
          <w:szCs w:val="20"/>
          <w:color w:val="auto"/>
        </w:rPr>
      </w:pPr>
      <w:r>
        <w:rPr>
          <w:rFonts w:ascii="Arial" w:cs="Arial" w:eastAsia="Arial" w:hAnsi="Arial"/>
          <w:sz w:val="16"/>
          <w:szCs w:val="16"/>
          <w:color w:val="auto"/>
        </w:rPr>
        <w:t>(ii)  The Performance Share Plan (PSP). The Performance Share Plan is a pay-for-performance incentive program under which restricted stock is awarded annually and is earned upon the achievement of certain annually determined performance criteria.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360"/>
        <w:spacing w:after="0" w:line="247" w:lineRule="auto"/>
        <w:rPr>
          <w:sz w:val="20"/>
          <w:szCs w:val="20"/>
          <w:color w:val="auto"/>
        </w:rPr>
      </w:pPr>
      <w:r>
        <w:rPr>
          <w:rFonts w:ascii="Arial" w:cs="Arial" w:eastAsia="Arial" w:hAnsi="Arial"/>
          <w:sz w:val="16"/>
          <w:szCs w:val="16"/>
          <w:color w:val="auto"/>
        </w:rPr>
        <w:t>Compensation Committee uses adjusted EBITDA as the performance criteria under the program. The EBITDA target is equal to the average of the EBITDA of the Company, adjusted to account for business development costs relating to acquisitions, for the immediately preceding three-year period. The EBITDA threshold is 95% of target and the high performance measure is 105% of target. If the high performance measure is achieved or exceeded, then 100% of the PSP shares will be earned. If the Company’s actual results are less than the high performance measure but greater than the threshold, then the PSP shares will be earned on a prorata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101" w:lineRule="exact"/>
        <w:rPr>
          <w:sz w:val="20"/>
          <w:szCs w:val="20"/>
          <w:color w:val="auto"/>
        </w:rPr>
      </w:pPr>
    </w:p>
    <w:p>
      <w:pPr>
        <w:ind w:left="360" w:right="80"/>
        <w:spacing w:after="0" w:line="246" w:lineRule="auto"/>
        <w:rPr>
          <w:sz w:val="20"/>
          <w:szCs w:val="20"/>
          <w:color w:val="auto"/>
        </w:rPr>
      </w:pPr>
      <w:r>
        <w:rPr>
          <w:rFonts w:ascii="Arial" w:cs="Arial" w:eastAsia="Arial" w:hAnsi="Arial"/>
          <w:sz w:val="16"/>
          <w:szCs w:val="16"/>
          <w:color w:val="auto"/>
        </w:rPr>
        <w:t>The annual PSP awards for the Chief Executive Officer, Chief Financial Officer, President, Allied Innovum Group and President, Allied Orion Group are equal to a percentage of the officer’s then annual salary divided by the fair market value (closing Company stock price) on the grant date. In 2022, the Compensation Committee approved the award of 14,176 shares for Mr. Warzala (75% of annual salary), 2,389 shares for Mr. Leach (22.5% of annual salary), 2,192 shares for Mr. Maida</w:t>
      </w:r>
    </w:p>
    <w:p>
      <w:pPr>
        <w:spacing w:after="0" w:line="4" w:lineRule="exact"/>
        <w:rPr>
          <w:sz w:val="20"/>
          <w:szCs w:val="20"/>
          <w:color w:val="auto"/>
        </w:rPr>
      </w:pPr>
    </w:p>
    <w:p>
      <w:pPr>
        <w:ind w:left="360" w:right="40"/>
        <w:spacing w:after="0" w:line="250" w:lineRule="auto"/>
        <w:rPr>
          <w:sz w:val="20"/>
          <w:szCs w:val="20"/>
          <w:color w:val="auto"/>
        </w:rPr>
      </w:pPr>
      <w:r>
        <w:rPr>
          <w:rFonts w:ascii="Arial" w:cs="Arial" w:eastAsia="Arial" w:hAnsi="Arial"/>
          <w:sz w:val="16"/>
          <w:szCs w:val="16"/>
          <w:color w:val="auto"/>
        </w:rPr>
        <w:t>(22.5% of annual salary) and 825 shares for Mr. Bendre (7.5% of annual salary). Mr. Pirthauer did not participate in the PSP in 2022. The PSP awards are each in the form of restricted stock. All shares granted under the PSP to Named Executive Officers for 2022 were earned.</w:t>
      </w:r>
    </w:p>
    <w:p>
      <w:pPr>
        <w:spacing w:after="0" w:line="95" w:lineRule="exact"/>
        <w:rPr>
          <w:sz w:val="20"/>
          <w:szCs w:val="20"/>
          <w:color w:val="auto"/>
        </w:rPr>
      </w:pPr>
    </w:p>
    <w:p>
      <w:pPr>
        <w:ind w:left="360" w:right="80"/>
        <w:spacing w:after="0" w:line="247" w:lineRule="auto"/>
        <w:rPr>
          <w:sz w:val="20"/>
          <w:szCs w:val="20"/>
          <w:color w:val="auto"/>
        </w:rPr>
      </w:pPr>
      <w:r>
        <w:rPr>
          <w:rFonts w:ascii="Arial" w:cs="Arial" w:eastAsia="Arial" w:hAnsi="Arial"/>
          <w:sz w:val="16"/>
          <w:szCs w:val="16"/>
          <w:color w:val="auto"/>
        </w:rPr>
        <w:t>(iii)  LTIP. The LTIP is a multi-year pay-for-performance incentive program under which the Chief Executive Officer, Chief Financial Officer and President, Allied Innovum Group will earn restricted stock awards based upon the achievement of an increase in revenue during various annual or five-year performance periods. The Original LTIP was first implemented in 2013 and has been revised and extended as performance goals were achieved. The Original LTIP currently extended through December 31, 2022, and the revenue target to be achieved to earn all restricted share awards available is $450 million (the “Original LTIP Revenue Target”). The Original LTIP Revenue Target could be achieved in two ways—organic revenue growth and acquired revenue (defined as the actual revenue achieved by any company or business unit acquired by Allied Motion for the trailing twelve months immediately preceding the closing date of such acquisition).</w:t>
      </w:r>
    </w:p>
    <w:p>
      <w:pPr>
        <w:spacing w:after="0" w:line="102"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As noted above, the Company has maintained the Original LTIP since 2013. Under the terms of the Original LTIP, for each $30 million increase in revenue up to the Original LTIP Revenue Target, each executive earned restricted stock awards equal to a percentage of his annual salary at the beginning of the performance period as follows: 100% for Mr. Warzala, 25% for Mr. Leach and 25% for Mr. Maida. The LTIP performance criteria for organic revenue growth was measured after the end of each year of the performance period and the number of shares that can be earned with respect to a performance period is calculated based on the</w:t>
      </w:r>
    </w:p>
    <w:p>
      <w:pPr>
        <w:spacing w:after="0" w:line="587" w:lineRule="exact"/>
        <w:rPr>
          <w:sz w:val="20"/>
          <w:szCs w:val="20"/>
          <w:color w:val="auto"/>
        </w:rPr>
      </w:pPr>
    </w:p>
    <w:p>
      <w:pPr>
        <w:sectPr>
          <w:pgSz w:w="11900" w:h="16838" w:orient="portrait"/>
          <w:cols w:equalWidth="0" w:num="2">
            <w:col w:w="4660" w:space="220"/>
            <w:col w:w="4440"/>
          </w:cols>
          <w:pgMar w:left="1280" w:top="265" w:right="1299" w:bottom="1440" w:gutter="0" w:footer="0" w:header="0"/>
          <w:type w:val="continuous"/>
        </w:sectPr>
      </w:pPr>
    </w:p>
    <w:p>
      <w:pPr>
        <w:spacing w:after="0" w:line="49" w:lineRule="exact"/>
        <w:rPr>
          <w:sz w:val="20"/>
          <w:szCs w:val="20"/>
          <w:color w:val="auto"/>
        </w:rPr>
      </w:pPr>
    </w:p>
    <w:p>
      <w:pPr>
        <w:ind w:left="220" w:hanging="214"/>
        <w:spacing w:after="0"/>
        <w:tabs>
          <w:tab w:leader="none" w:pos="220"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ectPr>
          <w:pgSz w:w="11900" w:h="16838" w:orient="portrait"/>
          <w:cols w:equalWidth="0" w:num="1">
            <w:col w:w="9320"/>
          </w:cols>
          <w:pgMar w:left="1280" w:top="265" w:right="1299" w:bottom="1440" w:gutter="0" w:footer="0" w:header="0"/>
        </w:sectPr>
      </w:pP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Company stock price (average of bid and ask) as measured at the beginning of the applicable performance period. The restricted stock awards that was earned based on actual organic revenue growth vested over a three-year period. The measurement of performance criteria for acquired sales is done as of the closing date for an acquisition during a performance period and the number of shares of restricted stock earned was calculated based on the Company stock price (average of bid and ask) as measured at the beginning of the applicable performance period. Restricted stock award shares that are earned under the Original LTIP that are based on acquired revenue will vest annually (1/5 each year) over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the following five years. When calculating the increase in revenue, the Company made appropriate adjustments to account for any acquired revenue for which an LTIP award had previously been made. If the recipient’s employment with the Company is terminated due to cause or voluntary resignation, any unvested LTIP shares will be forfeited.</w:t>
      </w:r>
    </w:p>
    <w:p>
      <w:pPr>
        <w:spacing w:after="0" w:line="9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As of December 31, 2022, the entire $450 million of the cumulative Original LTIP Revenue Target has been achieved. The following table shows the Original LTIP awards earned during the 2022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204470</wp:posOffset>
            </wp:positionV>
            <wp:extent cx="57778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4420" w:space="240"/>
            <w:col w:w="4660"/>
          </w:cols>
          <w:pgMar w:left="1280" w:top="265" w:right="12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600" w:type="dxa"/>
            <w:vAlign w:val="bottom"/>
          </w:tcPr>
          <w:p>
            <w:pPr>
              <w:ind w:left="60"/>
              <w:spacing w:after="0"/>
              <w:rPr>
                <w:sz w:val="20"/>
                <w:szCs w:val="20"/>
                <w:color w:val="auto"/>
              </w:rPr>
            </w:pPr>
            <w:r>
              <w:rPr>
                <w:rFonts w:ascii="Arial" w:cs="Arial" w:eastAsia="Arial" w:hAnsi="Arial"/>
                <w:sz w:val="15"/>
                <w:szCs w:val="15"/>
                <w:b w:val="1"/>
                <w:bCs w:val="1"/>
                <w:color w:val="2D64AF"/>
              </w:rPr>
              <w:t>Name and Principal Position</w:t>
            </w:r>
          </w:p>
        </w:tc>
        <w:tc>
          <w:tcPr>
            <w:tcW w:w="4500" w:type="dxa"/>
            <w:vAlign w:val="bottom"/>
          </w:tcPr>
          <w:p>
            <w:pPr>
              <w:jc w:val="right"/>
              <w:spacing w:after="0"/>
              <w:rPr>
                <w:sz w:val="20"/>
                <w:szCs w:val="20"/>
                <w:color w:val="auto"/>
              </w:rPr>
            </w:pPr>
            <w:r>
              <w:rPr>
                <w:rFonts w:ascii="Arial" w:cs="Arial" w:eastAsia="Arial" w:hAnsi="Arial"/>
                <w:sz w:val="15"/>
                <w:szCs w:val="15"/>
                <w:b w:val="1"/>
                <w:bCs w:val="1"/>
                <w:color w:val="2D64AF"/>
              </w:rPr>
              <w:t>Shares Earned during 2022 under Original LTIP</w:t>
            </w:r>
          </w:p>
        </w:tc>
      </w:tr>
      <w:tr>
        <w:trPr>
          <w:trHeight w:val="62"/>
        </w:trPr>
        <w:tc>
          <w:tcPr>
            <w:tcW w:w="4600" w:type="dxa"/>
            <w:vAlign w:val="bottom"/>
            <w:tcBorders>
              <w:bottom w:val="single" w:sz="8" w:color="2D64AF"/>
            </w:tcBorders>
          </w:tcPr>
          <w:p>
            <w:pPr>
              <w:spacing w:after="0"/>
              <w:rPr>
                <w:sz w:val="5"/>
                <w:szCs w:val="5"/>
                <w:color w:val="auto"/>
              </w:rPr>
            </w:pPr>
          </w:p>
        </w:tc>
        <w:tc>
          <w:tcPr>
            <w:tcW w:w="4500" w:type="dxa"/>
            <w:vAlign w:val="bottom"/>
            <w:tcBorders>
              <w:bottom w:val="single" w:sz="8" w:color="2D64AF"/>
            </w:tcBorders>
          </w:tcPr>
          <w:p>
            <w:pPr>
              <w:spacing w:after="0"/>
              <w:rPr>
                <w:sz w:val="5"/>
                <w:szCs w:val="5"/>
                <w:color w:val="auto"/>
              </w:rPr>
            </w:pPr>
          </w:p>
        </w:tc>
      </w:tr>
      <w:tr>
        <w:trPr>
          <w:trHeight w:val="233"/>
        </w:trPr>
        <w:tc>
          <w:tcPr>
            <w:tcW w:w="460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4500" w:type="dxa"/>
            <w:vAlign w:val="bottom"/>
          </w:tcPr>
          <w:p>
            <w:pPr>
              <w:spacing w:after="0"/>
              <w:rPr>
                <w:sz w:val="20"/>
                <w:szCs w:val="20"/>
                <w:color w:val="auto"/>
              </w:rPr>
            </w:pPr>
          </w:p>
        </w:tc>
      </w:tr>
      <w:tr>
        <w:trPr>
          <w:trHeight w:val="184"/>
        </w:trPr>
        <w:tc>
          <w:tcPr>
            <w:tcW w:w="4600" w:type="dxa"/>
            <w:vAlign w:val="bottom"/>
          </w:tcPr>
          <w:p>
            <w:pPr>
              <w:ind w:left="60"/>
              <w:spacing w:after="0"/>
              <w:rPr>
                <w:sz w:val="20"/>
                <w:szCs w:val="20"/>
                <w:color w:val="auto"/>
              </w:rPr>
            </w:pPr>
            <w:r>
              <w:rPr>
                <w:rFonts w:ascii="Arial" w:cs="Arial" w:eastAsia="Arial" w:hAnsi="Arial"/>
                <w:sz w:val="15"/>
                <w:szCs w:val="15"/>
                <w:color w:val="auto"/>
              </w:rPr>
              <w:t>   President and Chief Executive Officer</w:t>
            </w:r>
          </w:p>
        </w:tc>
        <w:tc>
          <w:tcPr>
            <w:tcW w:w="4500" w:type="dxa"/>
            <w:vAlign w:val="bottom"/>
          </w:tcPr>
          <w:p>
            <w:pPr>
              <w:jc w:val="right"/>
              <w:spacing w:after="0"/>
              <w:rPr>
                <w:sz w:val="20"/>
                <w:szCs w:val="20"/>
                <w:color w:val="auto"/>
              </w:rPr>
            </w:pPr>
            <w:r>
              <w:rPr>
                <w:rFonts w:ascii="Arial" w:cs="Arial" w:eastAsia="Arial" w:hAnsi="Arial"/>
                <w:sz w:val="15"/>
                <w:szCs w:val="15"/>
                <w:color w:val="auto"/>
              </w:rPr>
              <w:t>5,353</w:t>
            </w:r>
          </w:p>
        </w:tc>
      </w:tr>
      <w:tr>
        <w:trPr>
          <w:trHeight w:val="62"/>
        </w:trPr>
        <w:tc>
          <w:tcPr>
            <w:tcW w:w="460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r>
      <w:tr>
        <w:trPr>
          <w:trHeight w:val="233"/>
        </w:trPr>
        <w:tc>
          <w:tcPr>
            <w:tcW w:w="460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4500" w:type="dxa"/>
            <w:vAlign w:val="bottom"/>
          </w:tcPr>
          <w:p>
            <w:pPr>
              <w:spacing w:after="0"/>
              <w:rPr>
                <w:sz w:val="20"/>
                <w:szCs w:val="20"/>
                <w:color w:val="auto"/>
              </w:rPr>
            </w:pPr>
          </w:p>
        </w:tc>
      </w:tr>
      <w:tr>
        <w:trPr>
          <w:trHeight w:val="184"/>
        </w:trPr>
        <w:tc>
          <w:tcPr>
            <w:tcW w:w="4600" w:type="dxa"/>
            <w:vAlign w:val="bottom"/>
          </w:tcPr>
          <w:p>
            <w:pPr>
              <w:ind w:left="60"/>
              <w:spacing w:after="0"/>
              <w:rPr>
                <w:sz w:val="20"/>
                <w:szCs w:val="20"/>
                <w:color w:val="auto"/>
              </w:rPr>
            </w:pPr>
            <w:r>
              <w:rPr>
                <w:rFonts w:ascii="Arial" w:cs="Arial" w:eastAsia="Arial" w:hAnsi="Arial"/>
                <w:sz w:val="15"/>
                <w:szCs w:val="15"/>
                <w:color w:val="auto"/>
              </w:rPr>
              <w:t>   Senior Vice President and Chief Financial Officer</w:t>
            </w:r>
          </w:p>
        </w:tc>
        <w:tc>
          <w:tcPr>
            <w:tcW w:w="4500" w:type="dxa"/>
            <w:vAlign w:val="bottom"/>
          </w:tcPr>
          <w:p>
            <w:pPr>
              <w:jc w:val="right"/>
              <w:spacing w:after="0"/>
              <w:rPr>
                <w:sz w:val="20"/>
                <w:szCs w:val="20"/>
                <w:color w:val="auto"/>
              </w:rPr>
            </w:pPr>
            <w:r>
              <w:rPr>
                <w:rFonts w:ascii="Arial" w:cs="Arial" w:eastAsia="Arial" w:hAnsi="Arial"/>
                <w:sz w:val="15"/>
                <w:szCs w:val="15"/>
                <w:color w:val="auto"/>
              </w:rPr>
              <w:t>737</w:t>
            </w:r>
          </w:p>
        </w:tc>
      </w:tr>
      <w:tr>
        <w:trPr>
          <w:trHeight w:val="62"/>
        </w:trPr>
        <w:tc>
          <w:tcPr>
            <w:tcW w:w="460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r>
      <w:tr>
        <w:trPr>
          <w:trHeight w:val="233"/>
        </w:trPr>
        <w:tc>
          <w:tcPr>
            <w:tcW w:w="460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4500" w:type="dxa"/>
            <w:vAlign w:val="bottom"/>
          </w:tcPr>
          <w:p>
            <w:pPr>
              <w:spacing w:after="0"/>
              <w:rPr>
                <w:sz w:val="20"/>
                <w:szCs w:val="20"/>
                <w:color w:val="auto"/>
              </w:rPr>
            </w:pPr>
          </w:p>
        </w:tc>
      </w:tr>
      <w:tr>
        <w:trPr>
          <w:trHeight w:val="199"/>
        </w:trPr>
        <w:tc>
          <w:tcPr>
            <w:tcW w:w="460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   President, Allied Innovum Group</w:t>
            </w:r>
          </w:p>
        </w:tc>
        <w:tc>
          <w:tcPr>
            <w:tcW w:w="45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633</w:t>
            </w:r>
          </w:p>
        </w:tc>
      </w:tr>
    </w:tbl>
    <w:p>
      <w:pPr>
        <w:spacing w:after="0" w:line="110" w:lineRule="exact"/>
        <w:rPr>
          <w:sz w:val="20"/>
          <w:szCs w:val="20"/>
          <w:color w:val="auto"/>
        </w:rPr>
      </w:pPr>
    </w:p>
    <w:p>
      <w:pPr>
        <w:sectPr>
          <w:pgSz w:w="11900" w:h="16838" w:orient="portrait"/>
          <w:cols w:equalWidth="0" w:num="1">
            <w:col w:w="9320"/>
          </w:cols>
          <w:pgMar w:left="1280" w:top="265" w:right="1299" w:bottom="1440" w:gutter="0" w:footer="0" w:header="0"/>
          <w:type w:val="continuous"/>
        </w:sectPr>
      </w:pPr>
    </w:p>
    <w:p>
      <w:pPr>
        <w:jc w:val="both"/>
        <w:spacing w:after="0" w:line="253" w:lineRule="auto"/>
        <w:rPr>
          <w:sz w:val="20"/>
          <w:szCs w:val="20"/>
          <w:color w:val="auto"/>
        </w:rPr>
      </w:pPr>
      <w:r>
        <w:rPr>
          <w:rFonts w:ascii="Arial" w:cs="Arial" w:eastAsia="Arial" w:hAnsi="Arial"/>
          <w:sz w:val="16"/>
          <w:szCs w:val="16"/>
          <w:color w:val="auto"/>
        </w:rPr>
        <w:t>As noted above, the Company implemented the New LTIP for 2022. The terms of the New LTIP are described above under “Compensation Changes for 2022”.</w:t>
      </w:r>
    </w:p>
    <w:p>
      <w:pPr>
        <w:spacing w:after="0" w:line="20" w:lineRule="exact"/>
        <w:rPr>
          <w:sz w:val="20"/>
          <w:szCs w:val="20"/>
          <w:color w:val="auto"/>
        </w:rPr>
      </w:pPr>
      <w:r>
        <w:rPr>
          <w:sz w:val="20"/>
          <w:szCs w:val="20"/>
          <w:color w:val="auto"/>
        </w:rPr>
        <w:br w:type="column"/>
      </w:r>
    </w:p>
    <w:p>
      <w:pPr>
        <w:ind w:right="320"/>
        <w:spacing w:after="0" w:line="253" w:lineRule="auto"/>
        <w:rPr>
          <w:sz w:val="20"/>
          <w:szCs w:val="20"/>
          <w:color w:val="auto"/>
        </w:rPr>
      </w:pPr>
      <w:r>
        <w:rPr>
          <w:rFonts w:ascii="Arial" w:cs="Arial" w:eastAsia="Arial" w:hAnsi="Arial"/>
          <w:sz w:val="16"/>
          <w:szCs w:val="16"/>
          <w:color w:val="auto"/>
        </w:rPr>
        <w:t>The following are the awards covered under the New LTIP during 2022 as a result of partial attainment of 2024 revenue goals set forth in the New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40640</wp:posOffset>
            </wp:positionV>
            <wp:extent cx="5777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400" w:space="260"/>
            <w:col w:w="4660"/>
          </w:cols>
          <w:pgMar w:left="1280" w:top="265" w:right="12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80" w:type="dxa"/>
            <w:vAlign w:val="bottom"/>
          </w:tcPr>
          <w:p>
            <w:pPr>
              <w:ind w:left="60"/>
              <w:spacing w:after="0"/>
              <w:rPr>
                <w:sz w:val="20"/>
                <w:szCs w:val="20"/>
                <w:color w:val="auto"/>
              </w:rPr>
            </w:pPr>
            <w:r>
              <w:rPr>
                <w:rFonts w:ascii="Arial" w:cs="Arial" w:eastAsia="Arial" w:hAnsi="Arial"/>
                <w:sz w:val="15"/>
                <w:szCs w:val="15"/>
                <w:b w:val="1"/>
                <w:bCs w:val="1"/>
                <w:color w:val="2D64AF"/>
              </w:rPr>
              <w:t>Name</w:t>
            </w:r>
          </w:p>
        </w:tc>
        <w:tc>
          <w:tcPr>
            <w:tcW w:w="3620" w:type="dxa"/>
            <w:vAlign w:val="bottom"/>
          </w:tcPr>
          <w:p>
            <w:pPr>
              <w:jc w:val="right"/>
              <w:spacing w:after="0"/>
              <w:rPr>
                <w:sz w:val="20"/>
                <w:szCs w:val="20"/>
                <w:color w:val="auto"/>
              </w:rPr>
            </w:pPr>
            <w:r>
              <w:rPr>
                <w:rFonts w:ascii="Arial" w:cs="Arial" w:eastAsia="Arial" w:hAnsi="Arial"/>
                <w:sz w:val="15"/>
                <w:szCs w:val="15"/>
                <w:b w:val="1"/>
                <w:bCs w:val="1"/>
                <w:color w:val="2D64AF"/>
              </w:rPr>
              <w:t>Shares Earned in 2022</w:t>
            </w:r>
          </w:p>
        </w:tc>
      </w:tr>
      <w:tr>
        <w:trPr>
          <w:trHeight w:val="62"/>
        </w:trPr>
        <w:tc>
          <w:tcPr>
            <w:tcW w:w="5480" w:type="dxa"/>
            <w:vAlign w:val="bottom"/>
            <w:tcBorders>
              <w:bottom w:val="single" w:sz="8" w:color="2D64AF"/>
            </w:tcBorders>
          </w:tcPr>
          <w:p>
            <w:pPr>
              <w:spacing w:after="0"/>
              <w:rPr>
                <w:sz w:val="5"/>
                <w:szCs w:val="5"/>
                <w:color w:val="auto"/>
              </w:rPr>
            </w:pPr>
          </w:p>
        </w:tc>
        <w:tc>
          <w:tcPr>
            <w:tcW w:w="3620" w:type="dxa"/>
            <w:vAlign w:val="bottom"/>
            <w:tcBorders>
              <w:bottom w:val="single" w:sz="8" w:color="2D64AF"/>
            </w:tcBorders>
          </w:tcPr>
          <w:p>
            <w:pPr>
              <w:spacing w:after="0"/>
              <w:rPr>
                <w:sz w:val="5"/>
                <w:szCs w:val="5"/>
                <w:color w:val="auto"/>
              </w:rPr>
            </w:pPr>
          </w:p>
        </w:tc>
      </w:tr>
      <w:tr>
        <w:trPr>
          <w:trHeight w:val="233"/>
        </w:trPr>
        <w:tc>
          <w:tcPr>
            <w:tcW w:w="54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3620" w:type="dxa"/>
            <w:vAlign w:val="bottom"/>
          </w:tcPr>
          <w:p>
            <w:pPr>
              <w:spacing w:after="0"/>
              <w:rPr>
                <w:sz w:val="20"/>
                <w:szCs w:val="20"/>
                <w:color w:val="auto"/>
              </w:rPr>
            </w:pPr>
          </w:p>
        </w:tc>
      </w:tr>
      <w:tr>
        <w:trPr>
          <w:trHeight w:val="184"/>
        </w:trPr>
        <w:tc>
          <w:tcPr>
            <w:tcW w:w="5480" w:type="dxa"/>
            <w:vAlign w:val="bottom"/>
          </w:tcPr>
          <w:p>
            <w:pPr>
              <w:ind w:left="60"/>
              <w:spacing w:after="0"/>
              <w:rPr>
                <w:sz w:val="20"/>
                <w:szCs w:val="20"/>
                <w:color w:val="auto"/>
              </w:rPr>
            </w:pPr>
            <w:r>
              <w:rPr>
                <w:rFonts w:ascii="Arial" w:cs="Arial" w:eastAsia="Arial" w:hAnsi="Arial"/>
                <w:sz w:val="15"/>
                <w:szCs w:val="15"/>
                <w:color w:val="auto"/>
              </w:rPr>
              <w:t>   President and Chief Executive Officer</w:t>
            </w:r>
          </w:p>
        </w:tc>
        <w:tc>
          <w:tcPr>
            <w:tcW w:w="3620" w:type="dxa"/>
            <w:vAlign w:val="bottom"/>
          </w:tcPr>
          <w:p>
            <w:pPr>
              <w:jc w:val="right"/>
              <w:spacing w:after="0"/>
              <w:rPr>
                <w:sz w:val="20"/>
                <w:szCs w:val="20"/>
                <w:color w:val="auto"/>
              </w:rPr>
            </w:pPr>
            <w:r>
              <w:rPr>
                <w:rFonts w:ascii="Arial" w:cs="Arial" w:eastAsia="Arial" w:hAnsi="Arial"/>
                <w:sz w:val="15"/>
                <w:szCs w:val="15"/>
                <w:color w:val="auto"/>
              </w:rPr>
              <w:t>23,589</w:t>
            </w:r>
          </w:p>
        </w:tc>
      </w:tr>
      <w:tr>
        <w:trPr>
          <w:trHeight w:val="62"/>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33"/>
        </w:trPr>
        <w:tc>
          <w:tcPr>
            <w:tcW w:w="54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3620" w:type="dxa"/>
            <w:vAlign w:val="bottom"/>
          </w:tcPr>
          <w:p>
            <w:pPr>
              <w:spacing w:after="0"/>
              <w:rPr>
                <w:sz w:val="20"/>
                <w:szCs w:val="20"/>
                <w:color w:val="auto"/>
              </w:rPr>
            </w:pPr>
          </w:p>
        </w:tc>
      </w:tr>
      <w:tr>
        <w:trPr>
          <w:trHeight w:val="184"/>
        </w:trPr>
        <w:tc>
          <w:tcPr>
            <w:tcW w:w="5480" w:type="dxa"/>
            <w:vAlign w:val="bottom"/>
          </w:tcPr>
          <w:p>
            <w:pPr>
              <w:ind w:left="60"/>
              <w:spacing w:after="0"/>
              <w:rPr>
                <w:sz w:val="20"/>
                <w:szCs w:val="20"/>
                <w:color w:val="auto"/>
              </w:rPr>
            </w:pPr>
            <w:r>
              <w:rPr>
                <w:rFonts w:ascii="Arial" w:cs="Arial" w:eastAsia="Arial" w:hAnsi="Arial"/>
                <w:sz w:val="15"/>
                <w:szCs w:val="15"/>
                <w:color w:val="auto"/>
              </w:rPr>
              <w:t>   Senior Vice President and Chief Financial Officer</w:t>
            </w:r>
          </w:p>
        </w:tc>
        <w:tc>
          <w:tcPr>
            <w:tcW w:w="3620" w:type="dxa"/>
            <w:vAlign w:val="bottom"/>
          </w:tcPr>
          <w:p>
            <w:pPr>
              <w:jc w:val="right"/>
              <w:spacing w:after="0"/>
              <w:rPr>
                <w:sz w:val="20"/>
                <w:szCs w:val="20"/>
                <w:color w:val="auto"/>
              </w:rPr>
            </w:pPr>
            <w:r>
              <w:rPr>
                <w:rFonts w:ascii="Arial" w:cs="Arial" w:eastAsia="Arial" w:hAnsi="Arial"/>
                <w:sz w:val="15"/>
                <w:szCs w:val="15"/>
                <w:color w:val="auto"/>
              </w:rPr>
              <w:t>4,456</w:t>
            </w:r>
          </w:p>
        </w:tc>
      </w:tr>
      <w:tr>
        <w:trPr>
          <w:trHeight w:val="62"/>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33"/>
        </w:trPr>
        <w:tc>
          <w:tcPr>
            <w:tcW w:w="548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3620" w:type="dxa"/>
            <w:vAlign w:val="bottom"/>
          </w:tcPr>
          <w:p>
            <w:pPr>
              <w:spacing w:after="0"/>
              <w:rPr>
                <w:sz w:val="20"/>
                <w:szCs w:val="20"/>
                <w:color w:val="auto"/>
              </w:rPr>
            </w:pPr>
          </w:p>
        </w:tc>
      </w:tr>
      <w:tr>
        <w:trPr>
          <w:trHeight w:val="184"/>
        </w:trPr>
        <w:tc>
          <w:tcPr>
            <w:tcW w:w="5480" w:type="dxa"/>
            <w:vAlign w:val="bottom"/>
          </w:tcPr>
          <w:p>
            <w:pPr>
              <w:ind w:left="60"/>
              <w:spacing w:after="0"/>
              <w:rPr>
                <w:sz w:val="20"/>
                <w:szCs w:val="20"/>
                <w:color w:val="auto"/>
              </w:rPr>
            </w:pPr>
            <w:r>
              <w:rPr>
                <w:rFonts w:ascii="Arial" w:cs="Arial" w:eastAsia="Arial" w:hAnsi="Arial"/>
                <w:sz w:val="15"/>
                <w:szCs w:val="15"/>
                <w:color w:val="auto"/>
              </w:rPr>
              <w:t>   President, Allied Innovum Group</w:t>
            </w:r>
          </w:p>
        </w:tc>
        <w:tc>
          <w:tcPr>
            <w:tcW w:w="3620" w:type="dxa"/>
            <w:vAlign w:val="bottom"/>
          </w:tcPr>
          <w:p>
            <w:pPr>
              <w:jc w:val="right"/>
              <w:spacing w:after="0"/>
              <w:rPr>
                <w:sz w:val="20"/>
                <w:szCs w:val="20"/>
                <w:color w:val="auto"/>
              </w:rPr>
            </w:pPr>
            <w:r>
              <w:rPr>
                <w:rFonts w:ascii="Arial" w:cs="Arial" w:eastAsia="Arial" w:hAnsi="Arial"/>
                <w:sz w:val="15"/>
                <w:szCs w:val="15"/>
                <w:color w:val="auto"/>
              </w:rPr>
              <w:t>3,104</w:t>
            </w:r>
          </w:p>
        </w:tc>
      </w:tr>
      <w:tr>
        <w:trPr>
          <w:trHeight w:val="62"/>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33"/>
        </w:trPr>
        <w:tc>
          <w:tcPr>
            <w:tcW w:w="548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3620" w:type="dxa"/>
            <w:vAlign w:val="bottom"/>
          </w:tcPr>
          <w:p>
            <w:pPr>
              <w:spacing w:after="0"/>
              <w:rPr>
                <w:sz w:val="20"/>
                <w:szCs w:val="20"/>
                <w:color w:val="auto"/>
              </w:rPr>
            </w:pPr>
          </w:p>
        </w:tc>
      </w:tr>
      <w:tr>
        <w:trPr>
          <w:trHeight w:val="199"/>
        </w:trPr>
        <w:tc>
          <w:tcPr>
            <w:tcW w:w="548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   President, Allied Orion Group</w:t>
            </w:r>
          </w:p>
        </w:tc>
        <w:tc>
          <w:tcPr>
            <w:tcW w:w="36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298</w:t>
            </w:r>
          </w:p>
        </w:tc>
      </w:tr>
    </w:tbl>
    <w:p>
      <w:pPr>
        <w:spacing w:after="0" w:line="110" w:lineRule="exact"/>
        <w:rPr>
          <w:sz w:val="20"/>
          <w:szCs w:val="20"/>
          <w:color w:val="auto"/>
        </w:rPr>
      </w:pPr>
    </w:p>
    <w:p>
      <w:pPr>
        <w:sectPr>
          <w:pgSz w:w="11900" w:h="16838" w:orient="portrait"/>
          <w:cols w:equalWidth="0" w:num="1">
            <w:col w:w="9320"/>
          </w:cols>
          <w:pgMar w:left="1280" w:top="265" w:right="1299" w:bottom="1440" w:gutter="0" w:footer="0" w:header="0"/>
          <w:type w:val="continuous"/>
        </w:sectPr>
      </w:pPr>
    </w:p>
    <w:p>
      <w:pPr>
        <w:spacing w:after="0" w:line="250" w:lineRule="auto"/>
        <w:rPr>
          <w:sz w:val="20"/>
          <w:szCs w:val="20"/>
          <w:color w:val="auto"/>
        </w:rPr>
      </w:pPr>
      <w:r>
        <w:rPr>
          <w:rFonts w:ascii="Arial" w:cs="Arial" w:eastAsia="Arial" w:hAnsi="Arial"/>
          <w:sz w:val="16"/>
          <w:szCs w:val="16"/>
          <w:color w:val="auto"/>
        </w:rPr>
        <w:t>The Compensation Committee believes that the LTIP has contributed to the Company’s growth since its inception in 2013, and that the Company’s shareholders have received significant benefits as a result of such growth. The growth in revenue encouraged by the LTIP has driven an increase in</w:t>
      </w:r>
    </w:p>
    <w:p>
      <w:pPr>
        <w:spacing w:after="0" w:line="20" w:lineRule="exact"/>
        <w:rPr>
          <w:sz w:val="20"/>
          <w:szCs w:val="20"/>
          <w:color w:val="auto"/>
        </w:rPr>
      </w:pPr>
      <w:r>
        <w:rPr>
          <w:sz w:val="20"/>
          <w:szCs w:val="20"/>
          <w:color w:val="auto"/>
        </w:rPr>
        <w:br w:type="column"/>
      </w:r>
    </w:p>
    <w:p>
      <w:pPr>
        <w:ind w:right="280"/>
        <w:spacing w:after="0" w:line="250" w:lineRule="auto"/>
        <w:rPr>
          <w:sz w:val="20"/>
          <w:szCs w:val="20"/>
          <w:color w:val="auto"/>
        </w:rPr>
      </w:pPr>
      <w:r>
        <w:rPr>
          <w:rFonts w:ascii="Arial" w:cs="Arial" w:eastAsia="Arial" w:hAnsi="Arial"/>
          <w:sz w:val="16"/>
          <w:szCs w:val="16"/>
          <w:color w:val="auto"/>
        </w:rPr>
        <w:t>the enterprise value and market capitalization of the Company over the period that the LTIP has been in effect. The Compensation Committee reviewed those Company financial metrics for 2022 compared to 2012 in evaluating the effectiveness of the LTIP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33020</wp:posOffset>
            </wp:positionV>
            <wp:extent cx="5777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300" w:space="360"/>
            <w:col w:w="4660"/>
          </w:cols>
          <w:pgMar w:left="1280" w:top="265" w:right="12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jc w:val="right"/>
              <w:ind w:right="284"/>
              <w:spacing w:after="0"/>
              <w:rPr>
                <w:sz w:val="20"/>
                <w:szCs w:val="20"/>
                <w:color w:val="auto"/>
              </w:rPr>
            </w:pPr>
            <w:r>
              <w:rPr>
                <w:rFonts w:ascii="Arial" w:cs="Arial" w:eastAsia="Arial" w:hAnsi="Arial"/>
                <w:sz w:val="15"/>
                <w:szCs w:val="15"/>
                <w:b w:val="1"/>
                <w:bCs w:val="1"/>
                <w:color w:val="2D64AF"/>
              </w:rPr>
              <w:t>2012</w:t>
            </w:r>
          </w:p>
        </w:tc>
        <w:tc>
          <w:tcPr>
            <w:tcW w:w="1760" w:type="dxa"/>
            <w:vAlign w:val="bottom"/>
          </w:tcPr>
          <w:p>
            <w:pPr>
              <w:jc w:val="right"/>
              <w:ind w:right="364"/>
              <w:spacing w:after="0"/>
              <w:rPr>
                <w:sz w:val="20"/>
                <w:szCs w:val="20"/>
                <w:color w:val="auto"/>
              </w:rPr>
            </w:pPr>
            <w:r>
              <w:rPr>
                <w:rFonts w:ascii="Arial" w:cs="Arial" w:eastAsia="Arial" w:hAnsi="Arial"/>
                <w:sz w:val="15"/>
                <w:szCs w:val="15"/>
                <w:b w:val="1"/>
                <w:bCs w:val="1"/>
                <w:color w:val="2D64AF"/>
              </w:rPr>
              <w:t>2022</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2D64AF"/>
              </w:rPr>
              <w:t>Percentage Increase</w:t>
            </w:r>
          </w:p>
        </w:tc>
      </w:tr>
      <w:tr>
        <w:trPr>
          <w:trHeight w:val="62"/>
        </w:trPr>
        <w:tc>
          <w:tcPr>
            <w:tcW w:w="3080" w:type="dxa"/>
            <w:vAlign w:val="bottom"/>
            <w:tcBorders>
              <w:bottom w:val="single" w:sz="8" w:color="2D64AF"/>
            </w:tcBorders>
          </w:tcPr>
          <w:p>
            <w:pPr>
              <w:spacing w:after="0"/>
              <w:rPr>
                <w:sz w:val="5"/>
                <w:szCs w:val="5"/>
                <w:color w:val="auto"/>
              </w:rPr>
            </w:pPr>
          </w:p>
        </w:tc>
        <w:tc>
          <w:tcPr>
            <w:tcW w:w="1100" w:type="dxa"/>
            <w:vAlign w:val="bottom"/>
            <w:tcBorders>
              <w:bottom w:val="single" w:sz="8" w:color="2D64AF"/>
            </w:tcBorders>
          </w:tcPr>
          <w:p>
            <w:pPr>
              <w:spacing w:after="0"/>
              <w:rPr>
                <w:sz w:val="5"/>
                <w:szCs w:val="5"/>
                <w:color w:val="auto"/>
              </w:rPr>
            </w:pPr>
          </w:p>
        </w:tc>
        <w:tc>
          <w:tcPr>
            <w:tcW w:w="1220" w:type="dxa"/>
            <w:vAlign w:val="bottom"/>
            <w:tcBorders>
              <w:bottom w:val="single" w:sz="8" w:color="2D64AF"/>
            </w:tcBorders>
          </w:tcPr>
          <w:p>
            <w:pPr>
              <w:spacing w:after="0"/>
              <w:rPr>
                <w:sz w:val="5"/>
                <w:szCs w:val="5"/>
                <w:color w:val="auto"/>
              </w:rPr>
            </w:pPr>
          </w:p>
        </w:tc>
        <w:tc>
          <w:tcPr>
            <w:tcW w:w="1760" w:type="dxa"/>
            <w:vAlign w:val="bottom"/>
            <w:tcBorders>
              <w:bottom w:val="single" w:sz="8" w:color="2D64AF"/>
            </w:tcBorders>
          </w:tcPr>
          <w:p>
            <w:pPr>
              <w:spacing w:after="0"/>
              <w:rPr>
                <w:sz w:val="5"/>
                <w:szCs w:val="5"/>
                <w:color w:val="auto"/>
              </w:rPr>
            </w:pPr>
          </w:p>
        </w:tc>
        <w:tc>
          <w:tcPr>
            <w:tcW w:w="1940" w:type="dxa"/>
            <w:vAlign w:val="bottom"/>
            <w:tcBorders>
              <w:bottom w:val="single" w:sz="8" w:color="2D64AF"/>
            </w:tcBorders>
          </w:tcPr>
          <w:p>
            <w:pPr>
              <w:spacing w:after="0"/>
              <w:rPr>
                <w:sz w:val="5"/>
                <w:szCs w:val="5"/>
                <w:color w:val="auto"/>
              </w:rPr>
            </w:pPr>
          </w:p>
        </w:tc>
      </w:tr>
      <w:tr>
        <w:trPr>
          <w:trHeight w:val="255"/>
        </w:trPr>
        <w:tc>
          <w:tcPr>
            <w:tcW w:w="3080" w:type="dxa"/>
            <w:vAlign w:val="bottom"/>
          </w:tcPr>
          <w:p>
            <w:pPr>
              <w:ind w:left="40"/>
              <w:spacing w:after="0"/>
              <w:rPr>
                <w:sz w:val="20"/>
                <w:szCs w:val="20"/>
                <w:color w:val="auto"/>
              </w:rPr>
            </w:pPr>
            <w:r>
              <w:rPr>
                <w:rFonts w:ascii="Arial" w:cs="Arial" w:eastAsia="Arial" w:hAnsi="Arial"/>
                <w:sz w:val="15"/>
                <w:szCs w:val="15"/>
                <w:color w:val="auto"/>
              </w:rPr>
              <w:t>Revenues</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4"/>
              <w:spacing w:after="0"/>
              <w:rPr>
                <w:sz w:val="20"/>
                <w:szCs w:val="20"/>
                <w:color w:val="auto"/>
              </w:rPr>
            </w:pPr>
            <w:r>
              <w:rPr>
                <w:rFonts w:ascii="Arial" w:cs="Arial" w:eastAsia="Arial" w:hAnsi="Arial"/>
                <w:sz w:val="15"/>
                <w:szCs w:val="15"/>
                <w:color w:val="auto"/>
              </w:rPr>
              <w:t>101,968,000</w:t>
            </w:r>
          </w:p>
        </w:tc>
        <w:tc>
          <w:tcPr>
            <w:tcW w:w="1760" w:type="dxa"/>
            <w:vAlign w:val="bottom"/>
          </w:tcPr>
          <w:p>
            <w:pPr>
              <w:jc w:val="right"/>
              <w:ind w:right="384"/>
              <w:spacing w:after="0"/>
              <w:rPr>
                <w:sz w:val="20"/>
                <w:szCs w:val="20"/>
                <w:color w:val="auto"/>
              </w:rPr>
            </w:pPr>
            <w:r>
              <w:rPr>
                <w:rFonts w:ascii="Arial" w:cs="Arial" w:eastAsia="Arial" w:hAnsi="Arial"/>
                <w:sz w:val="15"/>
                <w:szCs w:val="15"/>
                <w:color w:val="auto"/>
              </w:rPr>
              <w:t>$502,988,000</w:t>
            </w:r>
          </w:p>
        </w:tc>
        <w:tc>
          <w:tcPr>
            <w:tcW w:w="1940" w:type="dxa"/>
            <w:vAlign w:val="bottom"/>
          </w:tcPr>
          <w:p>
            <w:pPr>
              <w:jc w:val="right"/>
              <w:spacing w:after="0"/>
              <w:rPr>
                <w:sz w:val="20"/>
                <w:szCs w:val="20"/>
                <w:color w:val="auto"/>
              </w:rPr>
            </w:pPr>
            <w:r>
              <w:rPr>
                <w:rFonts w:ascii="Arial" w:cs="Arial" w:eastAsia="Arial" w:hAnsi="Arial"/>
                <w:sz w:val="15"/>
                <w:szCs w:val="15"/>
                <w:color w:val="auto"/>
              </w:rPr>
              <w:t>393%</w:t>
            </w:r>
          </w:p>
        </w:tc>
      </w:tr>
      <w:tr>
        <w:trPr>
          <w:trHeight w:val="62"/>
        </w:trPr>
        <w:tc>
          <w:tcPr>
            <w:tcW w:w="3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255"/>
        </w:trPr>
        <w:tc>
          <w:tcPr>
            <w:tcW w:w="3080" w:type="dxa"/>
            <w:vAlign w:val="bottom"/>
          </w:tcPr>
          <w:p>
            <w:pPr>
              <w:ind w:left="40"/>
              <w:spacing w:after="0"/>
              <w:rPr>
                <w:sz w:val="20"/>
                <w:szCs w:val="20"/>
                <w:color w:val="auto"/>
              </w:rPr>
            </w:pPr>
            <w:r>
              <w:rPr>
                <w:rFonts w:ascii="Arial" w:cs="Arial" w:eastAsia="Arial" w:hAnsi="Arial"/>
                <w:sz w:val="15"/>
                <w:szCs w:val="15"/>
                <w:color w:val="auto"/>
              </w:rPr>
              <w:t>Market Capitalization at 12/31</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54,505,000</w:t>
            </w:r>
          </w:p>
        </w:tc>
        <w:tc>
          <w:tcPr>
            <w:tcW w:w="1760" w:type="dxa"/>
            <w:vAlign w:val="bottom"/>
          </w:tcPr>
          <w:p>
            <w:pPr>
              <w:jc w:val="right"/>
              <w:ind w:right="384"/>
              <w:spacing w:after="0"/>
              <w:rPr>
                <w:sz w:val="20"/>
                <w:szCs w:val="20"/>
                <w:color w:val="auto"/>
              </w:rPr>
            </w:pPr>
            <w:r>
              <w:rPr>
                <w:rFonts w:ascii="Arial" w:cs="Arial" w:eastAsia="Arial" w:hAnsi="Arial"/>
                <w:sz w:val="15"/>
                <w:szCs w:val="15"/>
                <w:color w:val="auto"/>
              </w:rPr>
              <w:t>$556,194,000</w:t>
            </w:r>
          </w:p>
        </w:tc>
        <w:tc>
          <w:tcPr>
            <w:tcW w:w="1940" w:type="dxa"/>
            <w:vAlign w:val="bottom"/>
          </w:tcPr>
          <w:p>
            <w:pPr>
              <w:jc w:val="right"/>
              <w:spacing w:after="0"/>
              <w:rPr>
                <w:sz w:val="20"/>
                <w:szCs w:val="20"/>
                <w:color w:val="auto"/>
              </w:rPr>
            </w:pPr>
            <w:r>
              <w:rPr>
                <w:rFonts w:ascii="Arial" w:cs="Arial" w:eastAsia="Arial" w:hAnsi="Arial"/>
                <w:sz w:val="15"/>
                <w:szCs w:val="15"/>
                <w:color w:val="auto"/>
              </w:rPr>
              <w:t>920%</w:t>
            </w:r>
          </w:p>
        </w:tc>
      </w:tr>
      <w:tr>
        <w:trPr>
          <w:trHeight w:val="62"/>
        </w:trPr>
        <w:tc>
          <w:tcPr>
            <w:tcW w:w="3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271"/>
        </w:trPr>
        <w:tc>
          <w:tcPr>
            <w:tcW w:w="30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Enterprise Value at 12/31</w:t>
            </w:r>
          </w:p>
        </w:tc>
        <w:tc>
          <w:tcPr>
            <w:tcW w:w="11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2D64AF"/>
            </w:tcBorders>
          </w:tcPr>
          <w:p>
            <w:pPr>
              <w:jc w:val="right"/>
              <w:ind w:right="304"/>
              <w:spacing w:after="0"/>
              <w:rPr>
                <w:sz w:val="20"/>
                <w:szCs w:val="20"/>
                <w:color w:val="auto"/>
              </w:rPr>
            </w:pPr>
            <w:r>
              <w:rPr>
                <w:rFonts w:ascii="Arial" w:cs="Arial" w:eastAsia="Arial" w:hAnsi="Arial"/>
                <w:sz w:val="15"/>
                <w:szCs w:val="15"/>
                <w:color w:val="auto"/>
              </w:rPr>
              <w:t>45,174,000</w:t>
            </w:r>
          </w:p>
        </w:tc>
        <w:tc>
          <w:tcPr>
            <w:tcW w:w="1760" w:type="dxa"/>
            <w:vAlign w:val="bottom"/>
            <w:tcBorders>
              <w:bottom w:val="single" w:sz="8" w:color="2D64AF"/>
            </w:tcBorders>
          </w:tcPr>
          <w:p>
            <w:pPr>
              <w:jc w:val="right"/>
              <w:ind w:right="384"/>
              <w:spacing w:after="0"/>
              <w:rPr>
                <w:sz w:val="20"/>
                <w:szCs w:val="20"/>
                <w:color w:val="auto"/>
              </w:rPr>
            </w:pPr>
            <w:r>
              <w:rPr>
                <w:rFonts w:ascii="Arial" w:cs="Arial" w:eastAsia="Arial" w:hAnsi="Arial"/>
                <w:sz w:val="15"/>
                <w:szCs w:val="15"/>
                <w:color w:val="auto"/>
              </w:rPr>
              <w:t>$762,036,000</w:t>
            </w:r>
          </w:p>
        </w:tc>
        <w:tc>
          <w:tcPr>
            <w:tcW w:w="19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1,578%</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Warzala is provided with exclusive use of a company automobile, an annual physical and $500,000 of life insurance plus a $24,500 annual payment to be used to purchase additional life insurance for which he may designate the beneficiaries.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auto"/>
        </w:rPr>
        <w:t>The Company generally provides employees with medical, life and disability insurance benefits. All employees in the United States are eligible to participate in the Company’s 401(k) Plan to which employees are allowed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w:t>
      </w:r>
    </w:p>
    <w:p>
      <w:pPr>
        <w:spacing w:after="0" w:line="200" w:lineRule="exact"/>
        <w:rPr>
          <w:sz w:val="20"/>
          <w:szCs w:val="20"/>
          <w:color w:val="auto"/>
        </w:rPr>
      </w:pPr>
    </w:p>
    <w:p>
      <w:pPr>
        <w:sectPr>
          <w:pgSz w:w="11900" w:h="16838" w:orient="portrait"/>
          <w:cols w:equalWidth="0" w:num="2">
            <w:col w:w="4440" w:space="220"/>
            <w:col w:w="4660"/>
          </w:cols>
          <w:pgMar w:left="1280" w:top="265" w:right="1299" w:bottom="1440" w:gutter="0" w:footer="0" w:header="0"/>
          <w:type w:val="continuous"/>
        </w:sectPr>
      </w:pPr>
    </w:p>
    <w:p>
      <w:pPr>
        <w:spacing w:after="0" w:line="42"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140335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2D64AF"/>
        </w:rPr>
        <w:t>Compensation of Named Executive Officers</w:t>
      </w:r>
    </w:p>
    <w:p>
      <w:pPr>
        <w:spacing w:after="0" w:line="200" w:lineRule="exact"/>
        <w:rPr>
          <w:sz w:val="20"/>
          <w:szCs w:val="20"/>
          <w:color w:val="auto"/>
        </w:rPr>
      </w:pPr>
    </w:p>
    <w:p>
      <w:pPr>
        <w:spacing w:after="0" w:line="346" w:lineRule="exact"/>
        <w:rPr>
          <w:sz w:val="20"/>
          <w:szCs w:val="20"/>
          <w:color w:val="auto"/>
        </w:rPr>
      </w:pPr>
    </w:p>
    <w:p>
      <w:pPr>
        <w:ind w:left="220" w:right="140"/>
        <w:spacing w:after="0" w:line="251" w:lineRule="auto"/>
        <w:rPr>
          <w:sz w:val="20"/>
          <w:szCs w:val="20"/>
          <w:color w:val="auto"/>
        </w:rPr>
      </w:pPr>
      <w:r>
        <w:rPr>
          <w:rFonts w:ascii="Arial" w:cs="Arial" w:eastAsia="Arial" w:hAnsi="Arial"/>
          <w:sz w:val="16"/>
          <w:szCs w:val="16"/>
          <w:color w:val="auto"/>
        </w:rPr>
        <w:t>bargaining agreements are eligible to participate in the Employee Stock Ownership Plan (“ESOP Plan”) subject to the ESOP Plan provisions. Contributions to the ESOP Plan are based on a percentage of the Company’s income,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determined and defined by the Board of Directors, and are made in newly issued shares of the Company’s common stock.</w:t>
      </w:r>
    </w:p>
    <w:p>
      <w:pPr>
        <w:spacing w:after="0" w:line="270" w:lineRule="exact"/>
        <w:rPr>
          <w:sz w:val="20"/>
          <w:szCs w:val="20"/>
          <w:color w:val="auto"/>
        </w:rPr>
      </w:pPr>
    </w:p>
    <w:p>
      <w:pPr>
        <w:sectPr>
          <w:pgSz w:w="11900" w:h="16838" w:orient="portrait"/>
          <w:cols w:equalWidth="0" w:num="2">
            <w:col w:w="4580" w:space="300"/>
            <w:col w:w="4440"/>
          </w:cols>
          <w:pgMar w:left="1280" w:top="265" w:right="1299" w:bottom="1440" w:gutter="0" w:footer="0" w:header="0"/>
        </w:sectPr>
      </w:pPr>
    </w:p>
    <w:p>
      <w:pPr>
        <w:ind w:left="220"/>
        <w:spacing w:after="0"/>
        <w:rPr>
          <w:sz w:val="20"/>
          <w:szCs w:val="20"/>
          <w:color w:val="auto"/>
        </w:rPr>
      </w:pPr>
      <w:r>
        <w:rPr>
          <w:rFonts w:ascii="Arial" w:cs="Arial" w:eastAsia="Arial" w:hAnsi="Arial"/>
          <w:sz w:val="17"/>
          <w:szCs w:val="17"/>
          <w:b w:val="1"/>
          <w:bCs w:val="1"/>
          <w:color w:val="auto"/>
        </w:rPr>
        <w:t>Deductibility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260"/>
        <w:spacing w:after="0" w:line="251" w:lineRule="auto"/>
        <w:rPr>
          <w:sz w:val="20"/>
          <w:szCs w:val="20"/>
          <w:color w:val="auto"/>
        </w:rPr>
      </w:pPr>
      <w:r>
        <w:rPr>
          <w:rFonts w:ascii="Arial" w:cs="Arial" w:eastAsia="Arial" w:hAnsi="Arial"/>
          <w:sz w:val="16"/>
          <w:szCs w:val="16"/>
          <w:color w:val="auto"/>
        </w:rPr>
        <w:t>performance-based remuneration provided pursuant to a written binding contract that was in effect on November 2, 2017 provided that such contract is not materially modified after that date.</w:t>
      </w:r>
    </w:p>
    <w:p>
      <w:pPr>
        <w:spacing w:after="0" w:line="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68" w:lineRule="exact"/>
        <w:rPr>
          <w:sz w:val="20"/>
          <w:szCs w:val="20"/>
          <w:color w:val="auto"/>
        </w:rPr>
      </w:pPr>
    </w:p>
    <w:p>
      <w:pPr>
        <w:sectPr>
          <w:pgSz w:w="11900" w:h="16838" w:orient="portrait"/>
          <w:cols w:equalWidth="0" w:num="2">
            <w:col w:w="4660" w:space="22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Potential Recoupment of Compensation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In February 2019, the Company’s Board adopted a Clawback Policy. All equity and non-equity incentive plan compensation granted by the Company in 2019 and thereafter is subject to this Clawback Policy. The policy provides that if an accounting restatement is required due to the Company’s material non-compliance with any accounting requirements, then all of the Company’s executive officers, regardless of whether they were at fault or not in the circumstances leading to the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restatement, will be subject to forfeiting any excess in the incentive compensation they earned over the prior three years over what they would have earned if there had not been a material non-compliance in the financial statements. The Compensation Committee is reviewing the newly enacted rules regarding Clawback Policies adopted by the SEC and NASDAQ and will modify the Clawback Policy to comply with such rules.</w:t>
      </w:r>
    </w:p>
    <w:p>
      <w:pPr>
        <w:spacing w:after="0" w:line="88" w:lineRule="exact"/>
        <w:rPr>
          <w:sz w:val="20"/>
          <w:szCs w:val="20"/>
          <w:color w:val="auto"/>
        </w:rPr>
      </w:pPr>
    </w:p>
    <w:p>
      <w:pPr>
        <w:sectPr>
          <w:pgSz w:w="11900" w:h="16838" w:orient="portrait"/>
          <w:cols w:equalWidth="0" w:num="2">
            <w:col w:w="4660" w:space="22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ind w:left="220" w:right="60"/>
        <w:spacing w:after="0" w:line="246" w:lineRule="auto"/>
        <w:rPr>
          <w:sz w:val="20"/>
          <w:szCs w:val="20"/>
          <w:color w:val="auto"/>
        </w:rPr>
      </w:pPr>
      <w:r>
        <w:rPr>
          <w:rFonts w:ascii="Arial" w:cs="Arial" w:eastAsia="Arial" w:hAnsi="Arial"/>
          <w:sz w:val="16"/>
          <w:szCs w:val="16"/>
          <w:color w:val="auto"/>
        </w:rPr>
        <w:t>The Company’s Insider Trading Policy prohibits Company directors, officers and certain designated employees from</w:t>
      </w:r>
    </w:p>
    <w:p>
      <w:pPr>
        <w:spacing w:after="0" w:line="1" w:lineRule="exact"/>
        <w:rPr>
          <w:sz w:val="20"/>
          <w:szCs w:val="20"/>
          <w:color w:val="auto"/>
        </w:rPr>
      </w:pPr>
    </w:p>
    <w:p>
      <w:pPr>
        <w:ind w:left="220" w:hanging="2"/>
        <w:spacing w:after="0" w:line="260" w:lineRule="auto"/>
        <w:tabs>
          <w:tab w:leader="none" w:pos="4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engaging in any hedging or monetization transactions involving Company securities or from purchasing or selling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any put or call option contract or similar instrument with respect to Company securities and (ii) pledging Company securities as collateral for a loan or holding such shares in a margin account.</w:t>
      </w:r>
    </w:p>
    <w:p>
      <w:pPr>
        <w:spacing w:after="0" w:line="82" w:lineRule="exact"/>
        <w:rPr>
          <w:sz w:val="20"/>
          <w:szCs w:val="20"/>
          <w:color w:val="auto"/>
        </w:rPr>
      </w:pPr>
    </w:p>
    <w:p>
      <w:pPr>
        <w:sectPr>
          <w:pgSz w:w="11900" w:h="16838" w:orient="portrait"/>
          <w:cols w:equalWidth="0" w:num="2">
            <w:col w:w="4400" w:space="48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Consideration of Most Recent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36195</wp:posOffset>
            </wp:positionV>
            <wp:extent cx="5777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At the annual meeting of shareholders on May 5, 2022, 96.3% of the shares voted were voted in support of the compensation of our Named Executive Officers, as discussed and disclosed in the 2022 proxy statement. Irrespective of the strong support, the Compensation Committee continues 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review the Company’s compensation strategy to ensure that it provides appropriate compensation to the Company’s Named Executive Officers and to further align the interests of management and shareholders.</w:t>
      </w:r>
    </w:p>
    <w:p>
      <w:pPr>
        <w:spacing w:after="0" w:line="388" w:lineRule="exact"/>
        <w:rPr>
          <w:sz w:val="20"/>
          <w:szCs w:val="20"/>
          <w:color w:val="auto"/>
        </w:rPr>
      </w:pPr>
    </w:p>
    <w:p>
      <w:pPr>
        <w:sectPr>
          <w:pgSz w:w="11900" w:h="16838" w:orient="portrait"/>
          <w:cols w:equalWidth="0" w:num="2">
            <w:col w:w="4640" w:space="240"/>
            <w:col w:w="4440"/>
          </w:cols>
          <w:pgMar w:left="1280" w:top="265" w:right="1299" w:bottom="1440" w:gutter="0" w:footer="0" w:header="0"/>
          <w:type w:val="continuous"/>
        </w:sectPr>
      </w:pPr>
    </w:p>
    <w:p>
      <w:pPr>
        <w:spacing w:after="0" w:line="49" w:lineRule="exact"/>
        <w:rPr>
          <w:sz w:val="20"/>
          <w:szCs w:val="20"/>
          <w:color w:val="auto"/>
        </w:rPr>
      </w:pPr>
    </w:p>
    <w:p>
      <w:pPr>
        <w:ind w:left="220" w:hanging="214"/>
        <w:spacing w:after="0"/>
        <w:tabs>
          <w:tab w:leader="none" w:pos="220" w:val="left"/>
        </w:tabs>
        <w:numPr>
          <w:ilvl w:val="0"/>
          <w:numId w:val="37"/>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Director Compensation in 2022</w:t>
      </w:r>
    </w:p>
    <w:p>
      <w:pPr>
        <w:sectPr>
          <w:pgSz w:w="11900" w:h="16838" w:orient="portrait"/>
          <w:cols w:equalWidth="0" w:num="1">
            <w:col w:w="9320"/>
          </w:cols>
          <w:pgMar w:left="1280" w:top="265" w:right="129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Under the Company’s director compensation program,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amended and restated on May 4, 2022, each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 receives an annual cash retainer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$62,400. The chairperson of the Audit Committee receives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$15,800 annual cash retainer and other members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Audit Committee receive an additional annual cash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retainer in the amount of $8,400. The chairperson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and the Governance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Nominating Committee each receive an additional $12,600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and other members of those committees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 receive an additional annual cash retainer in the amount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$6,300. The Lead Director receives an additional $32,400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All cash retainers are payable ratably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quarterly basis in arrears. Additionally, each non-employee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is reimbursed for his or her expenses in connection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attendance at each meeting.</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Non-employee directors also receive an annual award of restricted stock under the 2017 Omnibus Incentive Plan. The annual award consists of shares of the Company’s common stock with a value of $69,100 as of the date of election.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98"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following table shows the compensation paid by the Company to each non-employee director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560070</wp:posOffset>
            </wp:positionV>
            <wp:extent cx="5777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985" w:lineRule="exact"/>
        <w:rPr>
          <w:sz w:val="20"/>
          <w:szCs w:val="20"/>
          <w:color w:val="auto"/>
        </w:rPr>
      </w:pPr>
    </w:p>
    <w:p>
      <w:pPr>
        <w:sectPr>
          <w:pgSz w:w="11900" w:h="16838" w:orient="portrait"/>
          <w:cols w:equalWidth="0" w:num="2">
            <w:col w:w="4440" w:space="220"/>
            <w:col w:w="4660"/>
          </w:cols>
          <w:pgMar w:left="1280" w:top="265" w:right="12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32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2D64AF"/>
              </w:rPr>
              <w:t>Fees Earned</w:t>
            </w:r>
          </w:p>
        </w:tc>
        <w:tc>
          <w:tcPr>
            <w:tcW w:w="142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2D64AF"/>
              </w:rPr>
              <w:t>Stock</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0" w:type="dxa"/>
            <w:vAlign w:val="bottom"/>
          </w:tcPr>
          <w:p>
            <w:pPr>
              <w:jc w:val="right"/>
              <w:ind w:right="404"/>
              <w:spacing w:after="0" w:line="156" w:lineRule="exact"/>
              <w:rPr>
                <w:sz w:val="20"/>
                <w:szCs w:val="20"/>
                <w:color w:val="auto"/>
              </w:rPr>
            </w:pPr>
            <w:r>
              <w:rPr>
                <w:rFonts w:ascii="Arial" w:cs="Arial" w:eastAsia="Arial" w:hAnsi="Arial"/>
                <w:sz w:val="15"/>
                <w:szCs w:val="15"/>
                <w:b w:val="1"/>
                <w:bCs w:val="1"/>
                <w:color w:val="2D64AF"/>
                <w:w w:val="98"/>
              </w:rPr>
              <w:t>or Paid</w:t>
            </w:r>
          </w:p>
        </w:tc>
        <w:tc>
          <w:tcPr>
            <w:tcW w:w="14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240" w:type="dxa"/>
            <w:vAlign w:val="bottom"/>
            <w:gridSpan w:val="2"/>
          </w:tcPr>
          <w:p>
            <w:pPr>
              <w:jc w:val="right"/>
              <w:ind w:right="404"/>
              <w:spacing w:after="0" w:line="162" w:lineRule="exact"/>
              <w:rPr>
                <w:sz w:val="20"/>
                <w:szCs w:val="20"/>
                <w:color w:val="auto"/>
              </w:rPr>
            </w:pPr>
            <w:r>
              <w:rPr>
                <w:rFonts w:ascii="Arial" w:cs="Arial" w:eastAsia="Arial" w:hAnsi="Arial"/>
                <w:sz w:val="15"/>
                <w:szCs w:val="15"/>
                <w:b w:val="1"/>
                <w:bCs w:val="1"/>
                <w:color w:val="2D64AF"/>
              </w:rPr>
              <w:t>in Cash</w:t>
            </w:r>
          </w:p>
        </w:tc>
        <w:tc>
          <w:tcPr>
            <w:tcW w:w="1420" w:type="dxa"/>
            <w:vAlign w:val="bottom"/>
          </w:tcPr>
          <w:p>
            <w:pPr>
              <w:jc w:val="right"/>
              <w:ind w:right="344"/>
              <w:spacing w:after="0" w:line="162" w:lineRule="exact"/>
              <w:rPr>
                <w:sz w:val="20"/>
                <w:szCs w:val="20"/>
                <w:color w:val="auto"/>
              </w:rPr>
            </w:pPr>
            <w:r>
              <w:rPr>
                <w:rFonts w:ascii="Arial" w:cs="Arial" w:eastAsia="Arial" w:hAnsi="Arial"/>
                <w:sz w:val="15"/>
                <w:szCs w:val="15"/>
                <w:b w:val="1"/>
                <w:bCs w:val="1"/>
                <w:color w:val="2D64AF"/>
              </w:rPr>
              <w:t>Awards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Current Directors</w:t>
            </w:r>
          </w:p>
        </w:tc>
        <w:tc>
          <w:tcPr>
            <w:tcW w:w="2240" w:type="dxa"/>
            <w:vAlign w:val="bottom"/>
            <w:tcBorders>
              <w:bottom w:val="single" w:sz="8" w:color="2D64AF"/>
            </w:tcBorders>
          </w:tcPr>
          <w:p>
            <w:pPr>
              <w:spacing w:after="0"/>
              <w:rPr>
                <w:sz w:val="23"/>
                <w:szCs w:val="23"/>
                <w:color w:val="auto"/>
              </w:rPr>
            </w:pPr>
          </w:p>
        </w:tc>
        <w:tc>
          <w:tcPr>
            <w:tcW w:w="100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w:t>
            </w:r>
          </w:p>
        </w:tc>
        <w:tc>
          <w:tcPr>
            <w:tcW w:w="1420" w:type="dxa"/>
            <w:vAlign w:val="bottom"/>
            <w:tcBorders>
              <w:bottom w:val="single" w:sz="8" w:color="2D64AF"/>
            </w:tcBorders>
          </w:tcPr>
          <w:p>
            <w:pPr>
              <w:jc w:val="right"/>
              <w:ind w:right="344"/>
              <w:spacing w:after="0" w:line="270"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1120" w:type="dxa"/>
            <w:vAlign w:val="bottom"/>
            <w:tcBorders>
              <w:bottom w:val="single" w:sz="8" w:color="2D64AF"/>
            </w:tcBorders>
          </w:tcPr>
          <w:p>
            <w:pPr>
              <w:jc w:val="right"/>
              <w:spacing w:after="0"/>
              <w:rPr>
                <w:sz w:val="20"/>
                <w:szCs w:val="20"/>
                <w:color w:val="auto"/>
              </w:rPr>
            </w:pPr>
            <w:r>
              <w:rPr>
                <w:rFonts w:ascii="Arial" w:cs="Arial" w:eastAsia="Arial" w:hAnsi="Arial"/>
                <w:sz w:val="15"/>
                <w:szCs w:val="15"/>
                <w:b w:val="1"/>
                <w:bCs w:val="1"/>
                <w:color w:val="2D64AF"/>
              </w:rPr>
              <w:t>Total ($)</w:t>
            </w:r>
          </w:p>
        </w:tc>
        <w:tc>
          <w:tcPr>
            <w:tcW w:w="0" w:type="dxa"/>
            <w:vAlign w:val="bottom"/>
          </w:tcPr>
          <w:p>
            <w:pPr>
              <w:spacing w:after="0"/>
              <w:rPr>
                <w:sz w:val="1"/>
                <w:szCs w:val="1"/>
                <w:color w:val="auto"/>
              </w:rPr>
            </w:pPr>
          </w:p>
        </w:tc>
      </w:tr>
      <w:tr>
        <w:trPr>
          <w:trHeight w:val="256"/>
        </w:trPr>
        <w:tc>
          <w:tcPr>
            <w:tcW w:w="3320" w:type="dxa"/>
            <w:vAlign w:val="bottom"/>
          </w:tcPr>
          <w:p>
            <w:pPr>
              <w:ind w:left="60"/>
              <w:spacing w:after="0"/>
              <w:rPr>
                <w:sz w:val="20"/>
                <w:szCs w:val="20"/>
                <w:color w:val="auto"/>
              </w:rPr>
            </w:pPr>
            <w:r>
              <w:rPr>
                <w:rFonts w:ascii="Arial" w:cs="Arial" w:eastAsia="Arial" w:hAnsi="Arial"/>
                <w:sz w:val="15"/>
                <w:szCs w:val="15"/>
                <w:color w:val="auto"/>
              </w:rPr>
              <w:t>Robert B. Engel</w:t>
            </w:r>
          </w:p>
        </w:tc>
        <w:tc>
          <w:tcPr>
            <w:tcW w:w="2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84"/>
              <w:spacing w:after="0"/>
              <w:rPr>
                <w:sz w:val="20"/>
                <w:szCs w:val="20"/>
                <w:color w:val="auto"/>
              </w:rPr>
            </w:pPr>
            <w:r>
              <w:rPr>
                <w:rFonts w:ascii="Arial" w:cs="Arial" w:eastAsia="Arial" w:hAnsi="Arial"/>
                <w:sz w:val="15"/>
                <w:szCs w:val="15"/>
                <w:color w:val="auto"/>
              </w:rPr>
              <w:t>72,700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Pr>
          <w:p>
            <w:pPr>
              <w:jc w:val="right"/>
              <w:spacing w:after="0"/>
              <w:rPr>
                <w:sz w:val="20"/>
                <w:szCs w:val="20"/>
                <w:color w:val="auto"/>
              </w:rPr>
            </w:pPr>
            <w:r>
              <w:rPr>
                <w:rFonts w:ascii="Arial" w:cs="Arial" w:eastAsia="Arial" w:hAnsi="Arial"/>
                <w:sz w:val="15"/>
                <w:szCs w:val="15"/>
                <w:color w:val="auto"/>
              </w:rPr>
              <w:t>$144,810</w:t>
            </w:r>
          </w:p>
        </w:tc>
        <w:tc>
          <w:tcPr>
            <w:tcW w:w="0" w:type="dxa"/>
            <w:vAlign w:val="bottom"/>
          </w:tcPr>
          <w:p>
            <w:pPr>
              <w:spacing w:after="0"/>
              <w:rPr>
                <w:sz w:val="1"/>
                <w:szCs w:val="1"/>
                <w:color w:val="auto"/>
              </w:rPr>
            </w:pPr>
          </w:p>
        </w:tc>
      </w:tr>
      <w:tr>
        <w:trPr>
          <w:trHeight w:val="48"/>
        </w:trPr>
        <w:tc>
          <w:tcPr>
            <w:tcW w:w="33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320" w:type="dxa"/>
            <w:vAlign w:val="bottom"/>
          </w:tcPr>
          <w:p>
            <w:pPr>
              <w:ind w:left="60"/>
              <w:spacing w:after="0"/>
              <w:rPr>
                <w:sz w:val="20"/>
                <w:szCs w:val="20"/>
                <w:color w:val="auto"/>
              </w:rPr>
            </w:pPr>
            <w:r>
              <w:rPr>
                <w:rFonts w:ascii="Arial" w:cs="Arial" w:eastAsia="Arial" w:hAnsi="Arial"/>
                <w:sz w:val="15"/>
                <w:szCs w:val="15"/>
                <w:color w:val="auto"/>
              </w:rPr>
              <w:t>Richard D. Federico</w:t>
            </w:r>
          </w:p>
        </w:tc>
        <w:tc>
          <w:tcPr>
            <w:tcW w:w="2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64"/>
              <w:spacing w:after="0"/>
              <w:rPr>
                <w:sz w:val="20"/>
                <w:szCs w:val="20"/>
                <w:color w:val="auto"/>
              </w:rPr>
            </w:pPr>
            <w:r>
              <w:rPr>
                <w:rFonts w:ascii="Arial" w:cs="Arial" w:eastAsia="Arial" w:hAnsi="Arial"/>
                <w:sz w:val="15"/>
                <w:szCs w:val="15"/>
                <w:color w:val="auto"/>
                <w:w w:val="99"/>
              </w:rPr>
              <w:t>109,300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Pr>
          <w:p>
            <w:pPr>
              <w:jc w:val="right"/>
              <w:spacing w:after="0"/>
              <w:rPr>
                <w:sz w:val="20"/>
                <w:szCs w:val="20"/>
                <w:color w:val="auto"/>
              </w:rPr>
            </w:pPr>
            <w:r>
              <w:rPr>
                <w:rFonts w:ascii="Arial" w:cs="Arial" w:eastAsia="Arial" w:hAnsi="Arial"/>
                <w:sz w:val="15"/>
                <w:szCs w:val="15"/>
                <w:color w:val="auto"/>
              </w:rPr>
              <w:t>$181,410</w:t>
            </w:r>
          </w:p>
        </w:tc>
        <w:tc>
          <w:tcPr>
            <w:tcW w:w="0" w:type="dxa"/>
            <w:vAlign w:val="bottom"/>
          </w:tcPr>
          <w:p>
            <w:pPr>
              <w:spacing w:after="0"/>
              <w:rPr>
                <w:sz w:val="1"/>
                <w:szCs w:val="1"/>
                <w:color w:val="auto"/>
              </w:rPr>
            </w:pPr>
          </w:p>
        </w:tc>
      </w:tr>
      <w:tr>
        <w:trPr>
          <w:trHeight w:val="49"/>
        </w:trPr>
        <w:tc>
          <w:tcPr>
            <w:tcW w:w="33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320" w:type="dxa"/>
            <w:vAlign w:val="bottom"/>
          </w:tcPr>
          <w:p>
            <w:pPr>
              <w:ind w:left="60"/>
              <w:spacing w:after="0"/>
              <w:rPr>
                <w:sz w:val="20"/>
                <w:szCs w:val="20"/>
                <w:color w:val="auto"/>
              </w:rPr>
            </w:pPr>
            <w:r>
              <w:rPr>
                <w:rFonts w:ascii="Arial" w:cs="Arial" w:eastAsia="Arial" w:hAnsi="Arial"/>
                <w:sz w:val="15"/>
                <w:szCs w:val="15"/>
                <w:color w:val="auto"/>
              </w:rPr>
              <w:t>Steven C. Finch</w:t>
            </w:r>
          </w:p>
        </w:tc>
        <w:tc>
          <w:tcPr>
            <w:tcW w:w="2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84"/>
              <w:spacing w:after="0"/>
              <w:rPr>
                <w:sz w:val="20"/>
                <w:szCs w:val="20"/>
                <w:color w:val="auto"/>
              </w:rPr>
            </w:pPr>
            <w:r>
              <w:rPr>
                <w:rFonts w:ascii="Arial" w:cs="Arial" w:eastAsia="Arial" w:hAnsi="Arial"/>
                <w:sz w:val="15"/>
                <w:szCs w:val="15"/>
                <w:color w:val="auto"/>
              </w:rPr>
              <w:t>68,500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Pr>
          <w:p>
            <w:pPr>
              <w:jc w:val="right"/>
              <w:spacing w:after="0"/>
              <w:rPr>
                <w:sz w:val="20"/>
                <w:szCs w:val="20"/>
                <w:color w:val="auto"/>
              </w:rPr>
            </w:pPr>
            <w:r>
              <w:rPr>
                <w:rFonts w:ascii="Arial" w:cs="Arial" w:eastAsia="Arial" w:hAnsi="Arial"/>
                <w:sz w:val="15"/>
                <w:szCs w:val="15"/>
                <w:color w:val="auto"/>
              </w:rPr>
              <w:t>$140,610</w:t>
            </w:r>
          </w:p>
        </w:tc>
        <w:tc>
          <w:tcPr>
            <w:tcW w:w="0" w:type="dxa"/>
            <w:vAlign w:val="bottom"/>
          </w:tcPr>
          <w:p>
            <w:pPr>
              <w:spacing w:after="0"/>
              <w:rPr>
                <w:sz w:val="1"/>
                <w:szCs w:val="1"/>
                <w:color w:val="auto"/>
              </w:rPr>
            </w:pPr>
          </w:p>
        </w:tc>
      </w:tr>
      <w:tr>
        <w:trPr>
          <w:trHeight w:val="49"/>
        </w:trPr>
        <w:tc>
          <w:tcPr>
            <w:tcW w:w="33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320" w:type="dxa"/>
            <w:vAlign w:val="bottom"/>
          </w:tcPr>
          <w:p>
            <w:pPr>
              <w:ind w:left="60"/>
              <w:spacing w:after="0"/>
              <w:rPr>
                <w:sz w:val="20"/>
                <w:szCs w:val="20"/>
                <w:color w:val="auto"/>
              </w:rPr>
            </w:pPr>
            <w:r>
              <w:rPr>
                <w:rFonts w:ascii="Arial" w:cs="Arial" w:eastAsia="Arial" w:hAnsi="Arial"/>
                <w:sz w:val="15"/>
                <w:szCs w:val="15"/>
                <w:color w:val="auto"/>
              </w:rPr>
              <w:t>James J. Tanous</w:t>
            </w:r>
          </w:p>
        </w:tc>
        <w:tc>
          <w:tcPr>
            <w:tcW w:w="2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84"/>
              <w:spacing w:after="0"/>
              <w:rPr>
                <w:sz w:val="20"/>
                <w:szCs w:val="20"/>
                <w:color w:val="auto"/>
              </w:rPr>
            </w:pPr>
            <w:r>
              <w:rPr>
                <w:rFonts w:ascii="Arial" w:cs="Arial" w:eastAsia="Arial" w:hAnsi="Arial"/>
                <w:sz w:val="15"/>
                <w:szCs w:val="15"/>
                <w:color w:val="auto"/>
              </w:rPr>
              <w:t>79,000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Pr>
          <w:p>
            <w:pPr>
              <w:jc w:val="right"/>
              <w:spacing w:after="0"/>
              <w:rPr>
                <w:sz w:val="20"/>
                <w:szCs w:val="20"/>
                <w:color w:val="auto"/>
              </w:rPr>
            </w:pPr>
            <w:r>
              <w:rPr>
                <w:rFonts w:ascii="Arial" w:cs="Arial" w:eastAsia="Arial" w:hAnsi="Arial"/>
                <w:sz w:val="15"/>
                <w:szCs w:val="15"/>
                <w:color w:val="auto"/>
              </w:rPr>
              <w:t>$151,110</w:t>
            </w:r>
          </w:p>
        </w:tc>
        <w:tc>
          <w:tcPr>
            <w:tcW w:w="0" w:type="dxa"/>
            <w:vAlign w:val="bottom"/>
          </w:tcPr>
          <w:p>
            <w:pPr>
              <w:spacing w:after="0"/>
              <w:rPr>
                <w:sz w:val="1"/>
                <w:szCs w:val="1"/>
                <w:color w:val="auto"/>
              </w:rPr>
            </w:pPr>
          </w:p>
        </w:tc>
      </w:tr>
      <w:tr>
        <w:trPr>
          <w:trHeight w:val="49"/>
        </w:trPr>
        <w:tc>
          <w:tcPr>
            <w:tcW w:w="33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320" w:type="dxa"/>
            <w:vAlign w:val="bottom"/>
          </w:tcPr>
          <w:p>
            <w:pPr>
              <w:ind w:left="60"/>
              <w:spacing w:after="0"/>
              <w:rPr>
                <w:sz w:val="20"/>
                <w:szCs w:val="20"/>
                <w:color w:val="auto"/>
              </w:rPr>
            </w:pPr>
            <w:r>
              <w:rPr>
                <w:rFonts w:ascii="Arial" w:cs="Arial" w:eastAsia="Arial" w:hAnsi="Arial"/>
                <w:sz w:val="15"/>
                <w:szCs w:val="15"/>
                <w:color w:val="auto"/>
              </w:rPr>
              <w:t>Nicole R. Tzetzo</w:t>
            </w:r>
          </w:p>
        </w:tc>
        <w:tc>
          <w:tcPr>
            <w:tcW w:w="2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84"/>
              <w:spacing w:after="0"/>
              <w:rPr>
                <w:sz w:val="20"/>
                <w:szCs w:val="20"/>
                <w:color w:val="auto"/>
              </w:rPr>
            </w:pPr>
            <w:r>
              <w:rPr>
                <w:rFonts w:ascii="Arial" w:cs="Arial" w:eastAsia="Arial" w:hAnsi="Arial"/>
                <w:sz w:val="15"/>
                <w:szCs w:val="15"/>
                <w:color w:val="auto"/>
              </w:rPr>
              <w:t>70,600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Pr>
          <w:p>
            <w:pPr>
              <w:jc w:val="right"/>
              <w:spacing w:after="0"/>
              <w:rPr>
                <w:sz w:val="20"/>
                <w:szCs w:val="20"/>
                <w:color w:val="auto"/>
              </w:rPr>
            </w:pPr>
            <w:r>
              <w:rPr>
                <w:rFonts w:ascii="Arial" w:cs="Arial" w:eastAsia="Arial" w:hAnsi="Arial"/>
                <w:sz w:val="15"/>
                <w:szCs w:val="15"/>
                <w:color w:val="auto"/>
              </w:rPr>
              <w:t>$142,710</w:t>
            </w:r>
          </w:p>
        </w:tc>
        <w:tc>
          <w:tcPr>
            <w:tcW w:w="0" w:type="dxa"/>
            <w:vAlign w:val="bottom"/>
          </w:tcPr>
          <w:p>
            <w:pPr>
              <w:spacing w:after="0"/>
              <w:rPr>
                <w:sz w:val="1"/>
                <w:szCs w:val="1"/>
                <w:color w:val="auto"/>
              </w:rPr>
            </w:pPr>
          </w:p>
        </w:tc>
      </w:tr>
      <w:tr>
        <w:trPr>
          <w:trHeight w:val="48"/>
        </w:trPr>
        <w:tc>
          <w:tcPr>
            <w:tcW w:w="33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Michael R. Winter</w:t>
            </w:r>
          </w:p>
        </w:tc>
        <w:tc>
          <w:tcPr>
            <w:tcW w:w="22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2D64AF"/>
            </w:tcBorders>
          </w:tcPr>
          <w:p>
            <w:pPr>
              <w:jc w:val="right"/>
              <w:ind w:right="384"/>
              <w:spacing w:after="0"/>
              <w:rPr>
                <w:sz w:val="20"/>
                <w:szCs w:val="20"/>
                <w:color w:val="auto"/>
              </w:rPr>
            </w:pPr>
            <w:r>
              <w:rPr>
                <w:rFonts w:ascii="Arial" w:cs="Arial" w:eastAsia="Arial" w:hAnsi="Arial"/>
                <w:sz w:val="15"/>
                <w:szCs w:val="15"/>
                <w:color w:val="auto"/>
              </w:rPr>
              <w:t>80,100</w:t>
            </w:r>
          </w:p>
        </w:tc>
        <w:tc>
          <w:tcPr>
            <w:tcW w:w="142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color w:val="auto"/>
              </w:rPr>
              <w:t>$72,110</w:t>
            </w:r>
          </w:p>
        </w:tc>
        <w:tc>
          <w:tcPr>
            <w:tcW w:w="11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$152,210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right="280" w:hanging="358"/>
        <w:spacing w:after="0" w:line="243"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total grant date fair value of the annual retainer share awards on the date of the award as reported on the Nasdaq Global Market on the date of grant, which is the first business day following the effective date of the election. The annual retainer share awards vest in four equal quarterly installments on the first business day of each of June, September, December and April that occurs during the 12-month period after the date of grant. 2,766 restricted shares were granted to each non-employee director on May 5, 2022 and 691 shares were unvested at December 31, 2022.</w:t>
      </w: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Employment Agreements and Related Arrangements</w:t>
      </w:r>
    </w:p>
    <w:p>
      <w:pPr>
        <w:sectPr>
          <w:pgSz w:w="11900" w:h="16838" w:orient="portrait"/>
          <w:cols w:equalWidth="0" w:num="1">
            <w:col w:w="9320"/>
          </w:cols>
          <w:pgMar w:left="1280" w:top="265" w:right="1299" w:bottom="1440" w:gutter="0" w:footer="0" w:header="0"/>
          <w:type w:val="continuous"/>
        </w:sectPr>
      </w:pPr>
    </w:p>
    <w:p>
      <w:pPr>
        <w:spacing w:after="0" w:line="29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are a party to the following employment agreements with our Named Executive Officers:</w:t>
      </w:r>
    </w:p>
    <w:p>
      <w:pPr>
        <w:spacing w:after="0" w:line="6" w:lineRule="exact"/>
        <w:rPr>
          <w:sz w:val="20"/>
          <w:szCs w:val="20"/>
          <w:color w:val="auto"/>
        </w:rPr>
      </w:pPr>
    </w:p>
    <w:p>
      <w:pPr>
        <w:ind w:left="180" w:right="40" w:hanging="178"/>
        <w:spacing w:after="0" w:line="250"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Richard S. Warzala. Pursuant to an employment agreement whereby Richard S. Warzala serves as President and Chief Executive Officer, Mr. Warzala is entitled to an annual base salary of not less than $680,000 effective March 1, 2023.</w:t>
      </w:r>
    </w:p>
    <w:p>
      <w:pPr>
        <w:spacing w:after="0" w:line="27" w:lineRule="exact"/>
        <w:rPr>
          <w:rFonts w:ascii="Arial" w:cs="Arial" w:eastAsia="Arial" w:hAnsi="Arial"/>
          <w:sz w:val="16"/>
          <w:szCs w:val="16"/>
          <w:color w:val="auto"/>
        </w:rPr>
      </w:pPr>
    </w:p>
    <w:p>
      <w:pPr>
        <w:ind w:left="180" w:hanging="178"/>
        <w:spacing w:after="0" w:line="250"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Michael R. Leach. Pursuant to an employment agreement whereby Michael R. Leach serves as Senior Vice President and Chief Financial Officer, Mr. Leach is entitled to an annual base salary of not less than $385,000 effective March 1, 2023.</w:t>
      </w:r>
    </w:p>
    <w:p>
      <w:pPr>
        <w:spacing w:after="0" w:line="27" w:lineRule="exact"/>
        <w:rPr>
          <w:rFonts w:ascii="Arial" w:cs="Arial" w:eastAsia="Arial" w:hAnsi="Arial"/>
          <w:sz w:val="16"/>
          <w:szCs w:val="16"/>
          <w:color w:val="auto"/>
        </w:rPr>
      </w:pPr>
    </w:p>
    <w:p>
      <w:pPr>
        <w:ind w:left="180" w:right="40" w:hanging="178"/>
        <w:spacing w:after="0" w:line="250"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Robert P. Maida. Pursuant to an employment agreement whereby Robert P. Maida serves as Senior Vice President and President of Allied Innovum Group, Mr. Maida is entitled to an annual base salary of not less than $352,500 effective March 1, 2023.</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176" w:right="220" w:hanging="176"/>
        <w:spacing w:after="0" w:line="250"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Ashish R Bendre. Pursuant to an employment agreement whereby Ashish R. Bendre serves as Vice President and President of Allied Orion Group, Mr. Bendre is entitled to an annual base salary of not less than $378,000 effective March 1, 2023.</w:t>
      </w:r>
    </w:p>
    <w:p>
      <w:pPr>
        <w:spacing w:after="0" w:line="13" w:lineRule="exact"/>
        <w:rPr>
          <w:rFonts w:ascii="Arial" w:cs="Arial" w:eastAsia="Arial" w:hAnsi="Arial"/>
          <w:sz w:val="16"/>
          <w:szCs w:val="16"/>
          <w:color w:val="auto"/>
        </w:rPr>
      </w:pPr>
    </w:p>
    <w:p>
      <w:pPr>
        <w:ind w:left="176" w:right="480" w:hanging="176"/>
        <w:spacing w:after="0" w:line="246"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Allied Dynamos Group,</w:t>
      </w:r>
    </w:p>
    <w:p>
      <w:pPr>
        <w:spacing w:after="0" w:line="1" w:lineRule="exact"/>
        <w:rPr>
          <w:rFonts w:ascii="Arial" w:cs="Arial" w:eastAsia="Arial" w:hAnsi="Arial"/>
          <w:sz w:val="16"/>
          <w:szCs w:val="16"/>
          <w:color w:val="auto"/>
        </w:rPr>
      </w:pPr>
    </w:p>
    <w:p>
      <w:pPr>
        <w:ind w:left="176" w:right="240"/>
        <w:spacing w:after="0" w:line="260" w:lineRule="auto"/>
        <w:rPr>
          <w:rFonts w:ascii="Arial" w:cs="Arial" w:eastAsia="Arial" w:hAnsi="Arial"/>
          <w:sz w:val="16"/>
          <w:szCs w:val="16"/>
          <w:color w:val="auto"/>
        </w:rPr>
      </w:pPr>
      <w:r>
        <w:rPr>
          <w:rFonts w:ascii="Arial" w:cs="Arial" w:eastAsia="Arial" w:hAnsi="Arial"/>
          <w:sz w:val="16"/>
          <w:szCs w:val="16"/>
          <w:color w:val="auto"/>
        </w:rPr>
        <w:t>Mr. Pirthauer is entitled to an annual base salary of not less than €325,000 effective March 1, 2023.</w:t>
      </w:r>
    </w:p>
    <w:p>
      <w:pPr>
        <w:spacing w:after="0" w:line="1596" w:lineRule="exact"/>
        <w:rPr>
          <w:sz w:val="20"/>
          <w:szCs w:val="20"/>
          <w:color w:val="auto"/>
        </w:rPr>
      </w:pPr>
    </w:p>
    <w:p>
      <w:pPr>
        <w:sectPr>
          <w:pgSz w:w="11900" w:h="16838" w:orient="portrait"/>
          <w:cols w:equalWidth="0" w:num="2">
            <w:col w:w="4420" w:space="244"/>
            <w:col w:w="4656"/>
          </w:cols>
          <w:pgMar w:left="1280" w:top="265" w:right="1299" w:bottom="1440" w:gutter="0" w:footer="0" w:header="0"/>
          <w:type w:val="continuous"/>
        </w:sectPr>
      </w:pPr>
    </w:p>
    <w:p>
      <w:pPr>
        <w:spacing w:after="0" w:line="3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140335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2D64AF"/>
        </w:rPr>
        <w:t>Compensation of Named Executive Officers</w:t>
      </w:r>
    </w:p>
    <w:p>
      <w:pPr>
        <w:sectPr>
          <w:pgSz w:w="11900" w:h="16838" w:orient="portrait"/>
          <w:cols w:equalWidth="0" w:num="1">
            <w:col w:w="9320"/>
          </w:cols>
          <w:pgMar w:left="1280" w:top="265" w:right="129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Unless terminated earlier in accordance with its terms, Mr. Warzala’s employment agreement will remain effective until January 2, 2024. Pursuant to the employment agreements with each of Messrs. Leach, Maida and Bendre, each executive serves for a term ending on December 31, 2023, which is automatically extended for additional one-year periods unless either party gives notice of nonrenewal 180 days in advance of the annual renewal date. Pursuant to Mr. Pirthauer’s employment agreement,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103"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Each of our Named Executive Officers is eligible to receive annual incentive bonuses as our Compensation Committee may determine based upon our results of operations and other relevant factors. Our Named Executive Officers also 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 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103"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139" w:lineRule="exact"/>
        <w:rPr>
          <w:sz w:val="20"/>
          <w:szCs w:val="20"/>
          <w:color w:val="auto"/>
        </w:rPr>
      </w:pPr>
    </w:p>
    <w:p>
      <w:pPr>
        <w:sectPr>
          <w:pgSz w:w="11900" w:h="16838" w:orient="portrait"/>
          <w:cols w:equalWidth="0" w:num="2">
            <w:col w:w="4640" w:space="240"/>
            <w:col w:w="4440"/>
          </w:cols>
          <w:pgMar w:left="1280" w:top="265"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REPORT OF THE HUMAN CAPITAL AND COMPENSATION COMMITTEE</w:t>
      </w:r>
    </w:p>
    <w:p>
      <w:pPr>
        <w:spacing w:after="0" w:line="134" w:lineRule="exact"/>
        <w:rPr>
          <w:sz w:val="20"/>
          <w:szCs w:val="20"/>
          <w:color w:val="auto"/>
        </w:rPr>
      </w:pPr>
    </w:p>
    <w:p>
      <w:pPr>
        <w:ind w:left="220" w:right="20"/>
        <w:spacing w:after="0" w:line="263" w:lineRule="auto"/>
        <w:rPr>
          <w:sz w:val="20"/>
          <w:szCs w:val="20"/>
          <w:color w:val="auto"/>
        </w:rPr>
      </w:pPr>
      <w:r>
        <w:rPr>
          <w:rFonts w:ascii="Arial" w:cs="Arial" w:eastAsia="Arial" w:hAnsi="Arial"/>
          <w:sz w:val="16"/>
          <w:szCs w:val="16"/>
          <w:i w:val="1"/>
          <w:iCs w:val="1"/>
          <w:color w:val="auto"/>
        </w:rPr>
        <w:t>The following Report of the Human Capital and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86"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The Human Capital and Compensation Committee of the Company has reviewed and discussed the Compensation Discussion and Analysis required by Item 402(b) of Regulation S-K with management and based on such review and discussions, the Human Capital and Compensation Committee recommended to the Board that the Compensation Discussion and Analysis be included in this Proxy Statement.</w:t>
      </w:r>
    </w:p>
    <w:p>
      <w:pPr>
        <w:spacing w:after="0" w:line="108"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HUMAN CAPITAL AND COMPENSATION COMMITTEE</w:t>
      </w: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Richard D. Federico, Chair</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Nicole R. Tzetzo</w:t>
      </w:r>
    </w:p>
    <w:p>
      <w:pPr>
        <w:spacing w:after="0" w:line="294" w:lineRule="exact"/>
        <w:rPr>
          <w:sz w:val="20"/>
          <w:szCs w:val="20"/>
          <w:color w:val="auto"/>
        </w:rPr>
      </w:pPr>
    </w:p>
    <w:p>
      <w:pPr>
        <w:ind w:left="220" w:hanging="214"/>
        <w:spacing w:after="0"/>
        <w:tabs>
          <w:tab w:leader="none" w:pos="220"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2D64AF"/>
        </w:rPr>
        <w:t>Compensation of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Summary Compensation Table</w:t>
      </w:r>
    </w:p>
    <w:p>
      <w:pPr>
        <w:spacing w:after="0" w:line="150"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following table presents information relating to total compensation of the Named Executive Officers for the fiscal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Non-Equity</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60" w:type="dxa"/>
            <w:vAlign w:val="bottom"/>
          </w:tcPr>
          <w:p>
            <w:pPr>
              <w:ind w:left="60"/>
              <w:spacing w:after="0"/>
              <w:rPr>
                <w:sz w:val="20"/>
                <w:szCs w:val="20"/>
                <w:color w:val="auto"/>
              </w:rPr>
            </w:pPr>
            <w:r>
              <w:rPr>
                <w:rFonts w:ascii="Arial" w:cs="Arial" w:eastAsia="Arial" w:hAnsi="Arial"/>
                <w:sz w:val="15"/>
                <w:szCs w:val="15"/>
                <w:b w:val="1"/>
                <w:bCs w:val="1"/>
                <w:color w:val="2D64AF"/>
              </w:rPr>
              <w:t>Name and Principal</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44"/>
              <w:spacing w:after="0"/>
              <w:rPr>
                <w:sz w:val="20"/>
                <w:szCs w:val="20"/>
                <w:color w:val="auto"/>
              </w:rPr>
            </w:pPr>
            <w:r>
              <w:rPr>
                <w:rFonts w:ascii="Arial" w:cs="Arial" w:eastAsia="Arial" w:hAnsi="Arial"/>
                <w:sz w:val="15"/>
                <w:szCs w:val="15"/>
                <w:b w:val="1"/>
                <w:bCs w:val="1"/>
                <w:color w:val="2D64AF"/>
              </w:rPr>
              <w:t>Stock</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Incentive Plan</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All Other</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Position</w:t>
            </w:r>
          </w:p>
        </w:tc>
        <w:tc>
          <w:tcPr>
            <w:tcW w:w="780" w:type="dxa"/>
            <w:vAlign w:val="bottom"/>
            <w:tcBorders>
              <w:bottom w:val="single" w:sz="8" w:color="2D64AF"/>
            </w:tcBorders>
          </w:tcPr>
          <w:p>
            <w:pPr>
              <w:jc w:val="center"/>
              <w:ind w:left="24"/>
              <w:spacing w:after="0"/>
              <w:rPr>
                <w:sz w:val="20"/>
                <w:szCs w:val="20"/>
                <w:color w:val="auto"/>
              </w:rPr>
            </w:pPr>
            <w:r>
              <w:rPr>
                <w:rFonts w:ascii="Arial" w:cs="Arial" w:eastAsia="Arial" w:hAnsi="Arial"/>
                <w:sz w:val="15"/>
                <w:szCs w:val="15"/>
                <w:b w:val="1"/>
                <w:bCs w:val="1"/>
                <w:color w:val="2D64AF"/>
                <w:w w:val="98"/>
              </w:rPr>
              <w:t>Year</w:t>
            </w:r>
          </w:p>
        </w:tc>
        <w:tc>
          <w:tcPr>
            <w:tcW w:w="100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b w:val="1"/>
                <w:bCs w:val="1"/>
                <w:color w:val="2D64AF"/>
              </w:rPr>
              <w:t>Salary</w:t>
            </w:r>
          </w:p>
        </w:tc>
        <w:tc>
          <w:tcPr>
            <w:tcW w:w="1140" w:type="dxa"/>
            <w:vAlign w:val="bottom"/>
            <w:tcBorders>
              <w:bottom w:val="single" w:sz="8" w:color="2D64AF"/>
            </w:tcBorders>
            <w:gridSpan w:val="2"/>
          </w:tcPr>
          <w:p>
            <w:pPr>
              <w:jc w:val="right"/>
              <w:ind w:right="104"/>
              <w:spacing w:after="0" w:line="270"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(1)</w:t>
            </w:r>
          </w:p>
        </w:tc>
        <w:tc>
          <w:tcPr>
            <w:tcW w:w="1580" w:type="dxa"/>
            <w:vAlign w:val="bottom"/>
            <w:tcBorders>
              <w:bottom w:val="single" w:sz="8" w:color="2D64AF"/>
            </w:tcBorders>
            <w:gridSpan w:val="2"/>
          </w:tcPr>
          <w:p>
            <w:pPr>
              <w:jc w:val="right"/>
              <w:ind w:right="104"/>
              <w:spacing w:after="0" w:line="270" w:lineRule="exact"/>
              <w:rPr>
                <w:sz w:val="20"/>
                <w:szCs w:val="20"/>
                <w:color w:val="auto"/>
              </w:rPr>
            </w:pPr>
            <w:r>
              <w:rPr>
                <w:rFonts w:ascii="Arial" w:cs="Arial" w:eastAsia="Arial" w:hAnsi="Arial"/>
                <w:sz w:val="15"/>
                <w:szCs w:val="15"/>
                <w:b w:val="1"/>
                <w:bCs w:val="1"/>
                <w:color w:val="2D64AF"/>
              </w:rPr>
              <w:t>Compensation</w:t>
            </w:r>
            <w:r>
              <w:rPr>
                <w:rFonts w:ascii="Arial" w:cs="Arial" w:eastAsia="Arial" w:hAnsi="Arial"/>
                <w:sz w:val="25"/>
                <w:szCs w:val="25"/>
                <w:b w:val="1"/>
                <w:bCs w:val="1"/>
                <w:color w:val="2D64AF"/>
                <w:vertAlign w:val="superscript"/>
              </w:rPr>
              <w:t>(2)</w:t>
            </w:r>
          </w:p>
        </w:tc>
        <w:tc>
          <w:tcPr>
            <w:tcW w:w="1580" w:type="dxa"/>
            <w:vAlign w:val="bottom"/>
            <w:tcBorders>
              <w:bottom w:val="single" w:sz="8" w:color="2D64AF"/>
            </w:tcBorders>
            <w:gridSpan w:val="2"/>
          </w:tcPr>
          <w:p>
            <w:pPr>
              <w:jc w:val="center"/>
              <w:spacing w:after="0" w:line="270" w:lineRule="exact"/>
              <w:rPr>
                <w:sz w:val="20"/>
                <w:szCs w:val="20"/>
                <w:color w:val="auto"/>
              </w:rPr>
            </w:pPr>
            <w:r>
              <w:rPr>
                <w:rFonts w:ascii="Arial" w:cs="Arial" w:eastAsia="Arial" w:hAnsi="Arial"/>
                <w:sz w:val="15"/>
                <w:szCs w:val="15"/>
                <w:b w:val="1"/>
                <w:bCs w:val="1"/>
                <w:color w:val="2D64AF"/>
                <w:w w:val="97"/>
              </w:rPr>
              <w:t>Compensation</w:t>
            </w:r>
            <w:r>
              <w:rPr>
                <w:rFonts w:ascii="Arial" w:cs="Arial" w:eastAsia="Arial" w:hAnsi="Arial"/>
                <w:sz w:val="25"/>
                <w:szCs w:val="25"/>
                <w:b w:val="1"/>
                <w:bCs w:val="1"/>
                <w:color w:val="2D64AF"/>
                <w:w w:val="97"/>
                <w:vertAlign w:val="superscript"/>
              </w:rPr>
              <w:t>(3)</w:t>
            </w:r>
          </w:p>
        </w:tc>
        <w:tc>
          <w:tcPr>
            <w:tcW w:w="260" w:type="dxa"/>
            <w:vAlign w:val="bottom"/>
            <w:tcBorders>
              <w:bottom w:val="single" w:sz="8" w:color="2D64AF"/>
            </w:tcBorders>
          </w:tcPr>
          <w:p>
            <w:pPr>
              <w:spacing w:after="0"/>
              <w:rPr>
                <w:sz w:val="23"/>
                <w:szCs w:val="23"/>
                <w:color w:val="auto"/>
              </w:rPr>
            </w:pP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b w:val="1"/>
                <w:bCs w:val="1"/>
                <w:color w:val="2D64AF"/>
              </w:rPr>
              <w:t>Total</w:t>
            </w:r>
          </w:p>
        </w:tc>
        <w:tc>
          <w:tcPr>
            <w:tcW w:w="0" w:type="dxa"/>
            <w:vAlign w:val="bottom"/>
          </w:tcPr>
          <w:p>
            <w:pPr>
              <w:spacing w:after="0"/>
              <w:rPr>
                <w:sz w:val="1"/>
                <w:szCs w:val="1"/>
                <w:color w:val="auto"/>
              </w:rPr>
            </w:pPr>
          </w:p>
        </w:tc>
      </w:tr>
      <w:tr>
        <w:trPr>
          <w:trHeight w:val="233"/>
        </w:trPr>
        <w:tc>
          <w:tcPr>
            <w:tcW w:w="206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$639,417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2,688,389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1,236,550</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98,785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4,663,141</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President and Chief</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60"/>
              <w:spacing w:after="0"/>
              <w:rPr>
                <w:sz w:val="20"/>
                <w:szCs w:val="20"/>
                <w:color w:val="auto"/>
              </w:rPr>
            </w:pPr>
            <w:r>
              <w:rPr>
                <w:rFonts w:ascii="Arial" w:cs="Arial" w:eastAsia="Arial" w:hAnsi="Arial"/>
                <w:sz w:val="15"/>
                <w:szCs w:val="15"/>
                <w:color w:val="auto"/>
              </w:rPr>
              <w:t>Executive Officer</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$584,583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1,648,214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1,574,104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w w:val="99"/>
              </w:rPr>
              <w:t>100,335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3,907,236</w:t>
            </w: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$570,833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2,429,647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373,269</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51,824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3,425,573</w:t>
            </w:r>
          </w:p>
        </w:tc>
        <w:tc>
          <w:tcPr>
            <w:tcW w:w="0" w:type="dxa"/>
            <w:vAlign w:val="bottom"/>
          </w:tcPr>
          <w:p>
            <w:pPr>
              <w:spacing w:after="0"/>
              <w:rPr>
                <w:sz w:val="1"/>
                <w:szCs w:val="1"/>
                <w:color w:val="auto"/>
              </w:rPr>
            </w:pPr>
          </w:p>
        </w:tc>
      </w:tr>
      <w:tr>
        <w:trPr>
          <w:trHeight w:val="62"/>
        </w:trPr>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06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$362,817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401,182</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280,656</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33,173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1,077,828</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60"/>
              <w:spacing w:after="0"/>
              <w:rPr>
                <w:sz w:val="20"/>
                <w:szCs w:val="20"/>
                <w:color w:val="auto"/>
              </w:rPr>
            </w:pPr>
            <w:r>
              <w:rPr>
                <w:rFonts w:ascii="Arial" w:cs="Arial" w:eastAsia="Arial" w:hAnsi="Arial"/>
                <w:sz w:val="15"/>
                <w:szCs w:val="15"/>
                <w:color w:val="auto"/>
              </w:rPr>
              <w:t>Chief Financial Officer</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$350,750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283,848</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377,785</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30,229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1,042,612</w:t>
            </w: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$340,000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488,624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148,218</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17,206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994,048</w:t>
            </w:r>
          </w:p>
        </w:tc>
        <w:tc>
          <w:tcPr>
            <w:tcW w:w="0" w:type="dxa"/>
            <w:vAlign w:val="bottom"/>
          </w:tcPr>
          <w:p>
            <w:pPr>
              <w:spacing w:after="0"/>
              <w:rPr>
                <w:sz w:val="1"/>
                <w:szCs w:val="1"/>
                <w:color w:val="auto"/>
              </w:rPr>
            </w:pPr>
          </w:p>
        </w:tc>
      </w:tr>
      <w:tr>
        <w:trPr>
          <w:trHeight w:val="62"/>
        </w:trPr>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06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$332,717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336,767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240,054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36,541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946,079</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60"/>
              <w:spacing w:after="0"/>
              <w:rPr>
                <w:sz w:val="20"/>
                <w:szCs w:val="20"/>
                <w:color w:val="auto"/>
              </w:rPr>
            </w:pPr>
            <w:r>
              <w:rPr>
                <w:rFonts w:ascii="Arial" w:cs="Arial" w:eastAsia="Arial" w:hAnsi="Arial"/>
                <w:sz w:val="15"/>
                <w:szCs w:val="15"/>
                <w:color w:val="auto"/>
              </w:rPr>
              <w:t>Group President</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$320,250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246,222</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303,754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29,680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899,906</w:t>
            </w: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$308,334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413,349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4"/>
              <w:spacing w:after="0"/>
              <w:rPr>
                <w:sz w:val="20"/>
                <w:szCs w:val="20"/>
                <w:color w:val="auto"/>
              </w:rPr>
            </w:pPr>
            <w:r>
              <w:rPr>
                <w:rFonts w:ascii="Arial" w:cs="Arial" w:eastAsia="Arial" w:hAnsi="Arial"/>
                <w:sz w:val="15"/>
                <w:szCs w:val="15"/>
                <w:color w:val="auto"/>
              </w:rPr>
              <w:t>111,134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17,206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850,023</w:t>
            </w:r>
          </w:p>
        </w:tc>
        <w:tc>
          <w:tcPr>
            <w:tcW w:w="0" w:type="dxa"/>
            <w:vAlign w:val="bottom"/>
          </w:tcPr>
          <w:p>
            <w:pPr>
              <w:spacing w:after="0"/>
              <w:rPr>
                <w:sz w:val="1"/>
                <w:szCs w:val="1"/>
                <w:color w:val="auto"/>
              </w:rPr>
            </w:pPr>
          </w:p>
        </w:tc>
      </w:tr>
      <w:tr>
        <w:trPr>
          <w:trHeight w:val="62"/>
        </w:trPr>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060" w:type="dxa"/>
            <w:vAlign w:val="bottom"/>
          </w:tcPr>
          <w:p>
            <w:pPr>
              <w:ind w:left="60"/>
              <w:spacing w:after="0" w:line="274" w:lineRule="exact"/>
              <w:rPr>
                <w:sz w:val="20"/>
                <w:szCs w:val="20"/>
                <w:color w:val="auto"/>
              </w:rPr>
            </w:pPr>
            <w:r>
              <w:rPr>
                <w:rFonts w:ascii="Arial" w:cs="Arial" w:eastAsia="Arial" w:hAnsi="Arial"/>
                <w:sz w:val="15"/>
                <w:szCs w:val="15"/>
                <w:color w:val="auto"/>
              </w:rPr>
              <w:t>Ashish R. Bendre</w:t>
            </w:r>
            <w:r>
              <w:rPr>
                <w:rFonts w:ascii="Arial" w:cs="Arial" w:eastAsia="Arial" w:hAnsi="Arial"/>
                <w:sz w:val="25"/>
                <w:szCs w:val="25"/>
                <w:color w:val="auto"/>
                <w:vertAlign w:val="superscript"/>
              </w:rPr>
              <w:t>(4)</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$378,004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77,240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105,036</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49,207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609,487</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Vice President and</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74,401</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44"/>
              <w:spacing w:after="0"/>
              <w:rPr>
                <w:sz w:val="20"/>
                <w:szCs w:val="20"/>
                <w:color w:val="auto"/>
              </w:rPr>
            </w:pPr>
            <w:r>
              <w:rPr>
                <w:rFonts w:ascii="Arial" w:cs="Arial" w:eastAsia="Arial" w:hAnsi="Arial"/>
                <w:sz w:val="15"/>
                <w:szCs w:val="15"/>
                <w:color w:val="auto"/>
              </w:rPr>
              <w:t>104,997</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ind w:right="124"/>
              <w:spacing w:after="0"/>
              <w:rPr>
                <w:sz w:val="20"/>
                <w:szCs w:val="20"/>
                <w:color w:val="auto"/>
              </w:rPr>
            </w:pPr>
            <w:r>
              <w:rPr>
                <w:rFonts w:ascii="Arial" w:cs="Arial" w:eastAsia="Arial" w:hAnsi="Arial"/>
                <w:sz w:val="15"/>
                <w:szCs w:val="15"/>
                <w:color w:val="auto"/>
              </w:rPr>
              <w:t>48,457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605,855</w:t>
            </w:r>
          </w:p>
        </w:tc>
        <w:tc>
          <w:tcPr>
            <w:tcW w:w="0" w:type="dxa"/>
            <w:vAlign w:val="bottom"/>
          </w:tcPr>
          <w:p>
            <w:pPr>
              <w:spacing w:after="0"/>
              <w:rPr>
                <w:sz w:val="1"/>
                <w:szCs w:val="1"/>
                <w:color w:val="auto"/>
              </w:rPr>
            </w:pPr>
          </w:p>
        </w:tc>
      </w:tr>
      <w:tr>
        <w:trPr>
          <w:trHeight w:val="184"/>
        </w:trPr>
        <w:tc>
          <w:tcPr>
            <w:tcW w:w="2060" w:type="dxa"/>
            <w:vAlign w:val="bottom"/>
          </w:tcPr>
          <w:p>
            <w:pPr>
              <w:ind w:left="60"/>
              <w:spacing w:after="0"/>
              <w:rPr>
                <w:sz w:val="20"/>
                <w:szCs w:val="20"/>
                <w:color w:val="auto"/>
              </w:rPr>
            </w:pPr>
            <w:r>
              <w:rPr>
                <w:rFonts w:ascii="Arial" w:cs="Arial" w:eastAsia="Arial" w:hAnsi="Arial"/>
                <w:sz w:val="15"/>
                <w:szCs w:val="15"/>
                <w:color w:val="auto"/>
              </w:rPr>
              <w:t>Group President</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6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$390,993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117,086</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36,057</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28,124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572,260</w:t>
            </w:r>
          </w:p>
        </w:tc>
        <w:tc>
          <w:tcPr>
            <w:tcW w:w="0" w:type="dxa"/>
            <w:vAlign w:val="bottom"/>
          </w:tcPr>
          <w:p>
            <w:pPr>
              <w:spacing w:after="0"/>
              <w:rPr>
                <w:sz w:val="1"/>
                <w:szCs w:val="1"/>
                <w:color w:val="auto"/>
              </w:rPr>
            </w:pPr>
          </w:p>
        </w:tc>
      </w:tr>
      <w:tr>
        <w:trPr>
          <w:trHeight w:val="62"/>
        </w:trPr>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060" w:type="dxa"/>
            <w:vAlign w:val="bottom"/>
          </w:tcPr>
          <w:p>
            <w:pPr>
              <w:ind w:left="60"/>
              <w:spacing w:after="0" w:line="274" w:lineRule="exact"/>
              <w:rPr>
                <w:sz w:val="20"/>
                <w:szCs w:val="20"/>
                <w:color w:val="auto"/>
              </w:rPr>
            </w:pPr>
            <w:r>
              <w:rPr>
                <w:rFonts w:ascii="Arial" w:cs="Arial" w:eastAsia="Arial" w:hAnsi="Arial"/>
                <w:sz w:val="15"/>
                <w:szCs w:val="15"/>
                <w:color w:val="auto"/>
              </w:rPr>
              <w:t>Helmut D. Pirthauer</w:t>
            </w:r>
            <w:r>
              <w:rPr>
                <w:rFonts w:ascii="Arial" w:cs="Arial" w:eastAsia="Arial" w:hAnsi="Arial"/>
                <w:sz w:val="25"/>
                <w:szCs w:val="25"/>
                <w:color w:val="auto"/>
                <w:vertAlign w:val="superscript"/>
              </w:rPr>
              <w:t>(4)(5)</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$321,433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69,330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127,737</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11,382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529,882</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Vice President and Group</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$331,388</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67,887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44"/>
              <w:spacing w:after="0"/>
              <w:rPr>
                <w:sz w:val="20"/>
                <w:szCs w:val="20"/>
                <w:color w:val="auto"/>
              </w:rPr>
            </w:pPr>
            <w:r>
              <w:rPr>
                <w:rFonts w:ascii="Arial" w:cs="Arial" w:eastAsia="Arial" w:hAnsi="Arial"/>
                <w:sz w:val="15"/>
                <w:szCs w:val="15"/>
                <w:color w:val="auto"/>
              </w:rPr>
              <w:t>156,290</w:t>
            </w:r>
          </w:p>
        </w:tc>
        <w:tc>
          <w:tcPr>
            <w:tcW w:w="820" w:type="dxa"/>
            <w:vAlign w:val="bottom"/>
            <w:vMerge w:val="restart"/>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ind w:right="124"/>
              <w:spacing w:after="0"/>
              <w:rPr>
                <w:sz w:val="20"/>
                <w:szCs w:val="20"/>
                <w:color w:val="auto"/>
              </w:rPr>
            </w:pPr>
            <w:r>
              <w:rPr>
                <w:rFonts w:ascii="Arial" w:cs="Arial" w:eastAsia="Arial" w:hAnsi="Arial"/>
                <w:sz w:val="15"/>
                <w:szCs w:val="15"/>
                <w:color w:val="auto"/>
              </w:rPr>
              <w:t>12,782</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568,347</w:t>
            </w:r>
          </w:p>
        </w:tc>
        <w:tc>
          <w:tcPr>
            <w:tcW w:w="0" w:type="dxa"/>
            <w:vAlign w:val="bottom"/>
          </w:tcPr>
          <w:p>
            <w:pPr>
              <w:spacing w:after="0"/>
              <w:rPr>
                <w:sz w:val="1"/>
                <w:szCs w:val="1"/>
                <w:color w:val="auto"/>
              </w:rPr>
            </w:pPr>
          </w:p>
        </w:tc>
      </w:tr>
      <w:tr>
        <w:trPr>
          <w:trHeight w:val="184"/>
        </w:trPr>
        <w:tc>
          <w:tcPr>
            <w:tcW w:w="2060" w:type="dxa"/>
            <w:vAlign w:val="bottom"/>
          </w:tcPr>
          <w:p>
            <w:pPr>
              <w:ind w:left="60"/>
              <w:spacing w:after="0"/>
              <w:rPr>
                <w:sz w:val="20"/>
                <w:szCs w:val="20"/>
                <w:color w:val="auto"/>
              </w:rPr>
            </w:pPr>
            <w:r>
              <w:rPr>
                <w:rFonts w:ascii="Arial" w:cs="Arial" w:eastAsia="Arial" w:hAnsi="Arial"/>
                <w:sz w:val="15"/>
                <w:szCs w:val="15"/>
                <w:color w:val="auto"/>
              </w:rPr>
              <w:t>President</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60" w:type="dxa"/>
            <w:vAlign w:val="bottom"/>
            <w:tcBorders>
              <w:bottom w:val="single" w:sz="8" w:color="2D64AF"/>
            </w:tcBorders>
          </w:tcPr>
          <w:p>
            <w:pPr>
              <w:spacing w:after="0"/>
              <w:rPr>
                <w:sz w:val="24"/>
                <w:szCs w:val="24"/>
                <w:color w:val="auto"/>
              </w:rPr>
            </w:pPr>
          </w:p>
        </w:tc>
        <w:tc>
          <w:tcPr>
            <w:tcW w:w="780" w:type="dxa"/>
            <w:vAlign w:val="bottom"/>
            <w:tcBorders>
              <w:bottom w:val="single" w:sz="8" w:color="2D64AF"/>
            </w:tcBorders>
          </w:tcPr>
          <w:p>
            <w:pPr>
              <w:jc w:val="center"/>
              <w:ind w:left="4"/>
              <w:spacing w:after="0"/>
              <w:rPr>
                <w:sz w:val="20"/>
                <w:szCs w:val="20"/>
                <w:color w:val="auto"/>
              </w:rPr>
            </w:pPr>
            <w:r>
              <w:rPr>
                <w:rFonts w:ascii="Arial" w:cs="Arial" w:eastAsia="Arial" w:hAnsi="Arial"/>
                <w:sz w:val="15"/>
                <w:szCs w:val="15"/>
                <w:color w:val="auto"/>
              </w:rPr>
              <w:t>2020</w:t>
            </w:r>
          </w:p>
        </w:tc>
        <w:tc>
          <w:tcPr>
            <w:tcW w:w="100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$285,373</w:t>
            </w:r>
          </w:p>
        </w:tc>
        <w:tc>
          <w:tcPr>
            <w:tcW w:w="2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2D64AF"/>
            </w:tcBorders>
          </w:tcPr>
          <w:p>
            <w:pPr>
              <w:jc w:val="right"/>
              <w:ind w:right="124"/>
              <w:spacing w:after="0"/>
              <w:rPr>
                <w:sz w:val="20"/>
                <w:szCs w:val="20"/>
                <w:color w:val="auto"/>
              </w:rPr>
            </w:pPr>
            <w:r>
              <w:rPr>
                <w:rFonts w:ascii="Arial" w:cs="Arial" w:eastAsia="Arial" w:hAnsi="Arial"/>
                <w:sz w:val="15"/>
                <w:szCs w:val="15"/>
                <w:color w:val="auto"/>
              </w:rPr>
              <w:t>135,825</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124,491</w:t>
            </w:r>
          </w:p>
        </w:tc>
        <w:tc>
          <w:tcPr>
            <w:tcW w:w="820" w:type="dxa"/>
            <w:vAlign w:val="bottom"/>
            <w:tcBorders>
              <w:bottom w:val="single" w:sz="8" w:color="2D64AF"/>
            </w:tcBorders>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D64AF"/>
            </w:tcBorders>
          </w:tcPr>
          <w:p>
            <w:pPr>
              <w:jc w:val="right"/>
              <w:ind w:right="124"/>
              <w:spacing w:after="0"/>
              <w:rPr>
                <w:sz w:val="20"/>
                <w:szCs w:val="20"/>
                <w:color w:val="auto"/>
              </w:rPr>
            </w:pPr>
            <w:r>
              <w:rPr>
                <w:rFonts w:ascii="Arial" w:cs="Arial" w:eastAsia="Arial" w:hAnsi="Arial"/>
                <w:sz w:val="15"/>
                <w:szCs w:val="15"/>
                <w:color w:val="auto"/>
              </w:rPr>
              <w:t>12,328</w:t>
            </w:r>
          </w:p>
        </w:tc>
        <w:tc>
          <w:tcPr>
            <w:tcW w:w="2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558,017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right="420" w:hanging="358"/>
        <w:spacing w:after="0" w:line="258" w:lineRule="auto"/>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spacing w:after="0" w:line="29" w:lineRule="exact"/>
        <w:rPr>
          <w:rFonts w:ascii="Arial" w:cs="Arial" w:eastAsia="Arial" w:hAnsi="Arial"/>
          <w:sz w:val="13"/>
          <w:szCs w:val="13"/>
          <w:color w:val="auto"/>
        </w:rPr>
      </w:pPr>
    </w:p>
    <w:p>
      <w:pPr>
        <w:ind w:left="360" w:hanging="358"/>
        <w:spacing w:after="0"/>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amounts in this column represent the awards earned under the Company’s Annual Cash Incentive Plan for the applicable fiscal year.</w:t>
      </w:r>
    </w:p>
    <w:p>
      <w:pPr>
        <w:spacing w:after="0" w:line="53" w:lineRule="exact"/>
        <w:rPr>
          <w:rFonts w:ascii="Arial" w:cs="Arial" w:eastAsia="Arial" w:hAnsi="Arial"/>
          <w:sz w:val="13"/>
          <w:szCs w:val="13"/>
          <w:color w:val="auto"/>
        </w:rPr>
      </w:pPr>
    </w:p>
    <w:p>
      <w:pPr>
        <w:ind w:left="360" w:right="700" w:hanging="358"/>
        <w:spacing w:after="0" w:line="258" w:lineRule="auto"/>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table below shows the components of this column for 2022. The amounts represent the amount paid by, or the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27940</wp:posOffset>
            </wp:positionV>
            <wp:extent cx="5554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b w:val="1"/>
                <w:bCs w:val="1"/>
                <w:color w:val="2D64AF"/>
              </w:rPr>
              <w:t>Executive</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20" w:type="dxa"/>
            <w:vAlign w:val="bottom"/>
          </w:tcPr>
          <w:p>
            <w:pPr>
              <w:spacing w:after="0"/>
              <w:rPr>
                <w:sz w:val="15"/>
                <w:szCs w:val="15"/>
                <w:color w:val="auto"/>
              </w:rPr>
            </w:pP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2D64AF"/>
              </w:rPr>
              <w:t>Group Life</w:t>
            </w:r>
            <w:r>
              <w:rPr>
                <w:rFonts w:ascii="Arial" w:cs="Arial" w:eastAsia="Arial" w:hAnsi="Arial"/>
                <w:sz w:val="7"/>
                <w:szCs w:val="7"/>
                <w:color w:val="000000"/>
                <w:vertAlign w:val="subscript"/>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2D64AF"/>
              </w:rPr>
              <w:t xml:space="preserve">Life </w:t>
            </w:r>
            <w:r>
              <w:rPr>
                <w:rFonts w:ascii="Arial" w:cs="Arial" w:eastAsia="Arial" w:hAnsi="Arial"/>
                <w:sz w:val="7"/>
                <w:szCs w:val="7"/>
                <w:color w:val="000000"/>
                <w:vertAlign w:val="subscript"/>
              </w:rPr>
              <w:t>​      ​</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D64AF"/>
              </w:rPr>
              <w:t>Executive</w:t>
            </w:r>
            <w:r>
              <w:rPr>
                <w:rFonts w:ascii="Arial" w:cs="Arial" w:eastAsia="Arial" w:hAnsi="Arial"/>
                <w:sz w:val="7"/>
                <w:szCs w:val="7"/>
                <w:color w:val="000000"/>
                <w:vertAlign w:val="subscript"/>
              </w:rPr>
              <w:t>​      ​</w:t>
            </w:r>
          </w:p>
        </w:tc>
        <w:tc>
          <w:tcPr>
            <w:tcW w:w="960" w:type="dxa"/>
            <w:vAlign w:val="bottom"/>
            <w:vMerge w:val="restart"/>
          </w:tcPr>
          <w:p>
            <w:pPr>
              <w:ind w:left="460"/>
              <w:spacing w:after="0"/>
              <w:rPr>
                <w:sz w:val="20"/>
                <w:szCs w:val="20"/>
                <w:color w:val="auto"/>
              </w:rPr>
            </w:pPr>
            <w:r>
              <w:rPr>
                <w:rFonts w:ascii="Arial" w:cs="Arial" w:eastAsia="Arial" w:hAnsi="Arial"/>
                <w:sz w:val="15"/>
                <w:szCs w:val="15"/>
                <w:b w:val="1"/>
                <w:bCs w:val="1"/>
                <w:color w:val="2D64AF"/>
              </w:rPr>
              <w:t>401(k)</w:t>
            </w:r>
          </w:p>
        </w:tc>
        <w:tc>
          <w:tcPr>
            <w:tcW w:w="100" w:type="dxa"/>
            <w:vAlign w:val="bottom"/>
          </w:tcPr>
          <w:p>
            <w:pPr>
              <w:jc w:val="right"/>
              <w:ind w:right="8"/>
              <w:spacing w:after="0"/>
              <w:rPr>
                <w:sz w:val="20"/>
                <w:szCs w:val="20"/>
                <w:color w:val="auto"/>
              </w:rPr>
            </w:pPr>
            <w:r>
              <w:rPr>
                <w:rFonts w:ascii="Arial" w:cs="Arial" w:eastAsia="Arial" w:hAnsi="Arial"/>
                <w:sz w:val="4"/>
                <w:szCs w:val="4"/>
                <w:color w:val="auto"/>
              </w:rPr>
              <w:t>​​</w:t>
            </w:r>
          </w:p>
        </w:tc>
        <w:tc>
          <w:tcPr>
            <w:tcW w:w="940" w:type="dxa"/>
            <w:vAlign w:val="bottom"/>
            <w:vMerge w:val="restart"/>
          </w:tcPr>
          <w:p>
            <w:pPr>
              <w:ind w:left="480"/>
              <w:spacing w:after="0"/>
              <w:rPr>
                <w:sz w:val="20"/>
                <w:szCs w:val="20"/>
                <w:color w:val="auto"/>
              </w:rPr>
            </w:pPr>
            <w:r>
              <w:rPr>
                <w:rFonts w:ascii="Arial" w:cs="Arial" w:eastAsia="Arial" w:hAnsi="Arial"/>
                <w:sz w:val="15"/>
                <w:szCs w:val="15"/>
                <w:b w:val="1"/>
                <w:bCs w:val="1"/>
                <w:color w:val="2D64AF"/>
              </w:rPr>
              <w:t>ESOP</w:t>
            </w:r>
          </w:p>
        </w:tc>
        <w:tc>
          <w:tcPr>
            <w:tcW w:w="120" w:type="dxa"/>
            <w:vAlign w:val="bottom"/>
          </w:tcPr>
          <w:p>
            <w:pPr>
              <w:jc w:val="right"/>
              <w:ind w:right="3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2D64AF"/>
              </w:rPr>
              <w:t>Automobile</w:t>
            </w:r>
            <w:r>
              <w:rPr>
                <w:rFonts w:ascii="Arial" w:cs="Arial" w:eastAsia="Arial" w:hAnsi="Arial"/>
                <w:sz w:val="7"/>
                <w:szCs w:val="7"/>
                <w:color w:val="000000"/>
                <w:vertAlign w:val="subscript"/>
              </w:rPr>
              <w:t>​      ​</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2D64AF"/>
              </w:rPr>
              <w:t>Cash Paid</w:t>
            </w:r>
            <w:r>
              <w:rPr>
                <w:rFonts w:ascii="Arial" w:cs="Arial" w:eastAsia="Arial" w:hAnsi="Arial"/>
                <w:sz w:val="7"/>
                <w:szCs w:val="7"/>
                <w:color w:val="000000"/>
                <w:vertAlign w:val="subscript"/>
              </w:rPr>
              <w:t>​</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5"/>
                <w:szCs w:val="15"/>
                <w:b w:val="1"/>
                <w:bCs w:val="1"/>
                <w:color w:val="2D64AF"/>
              </w:rPr>
              <w:t>Insurance</w:t>
            </w:r>
          </w:p>
        </w:tc>
        <w:tc>
          <w:tcPr>
            <w:tcW w:w="80" w:type="dxa"/>
            <w:vAlign w:val="bottom"/>
          </w:tcPr>
          <w:p>
            <w:pPr>
              <w:spacing w:after="0"/>
              <w:rPr>
                <w:sz w:val="12"/>
                <w:szCs w:val="12"/>
                <w:color w:val="auto"/>
              </w:rPr>
            </w:pPr>
          </w:p>
        </w:tc>
        <w:tc>
          <w:tcPr>
            <w:tcW w:w="900" w:type="dxa"/>
            <w:vAlign w:val="bottom"/>
          </w:tcPr>
          <w:p>
            <w:pPr>
              <w:jc w:val="right"/>
              <w:ind w:right="46"/>
              <w:spacing w:after="0" w:line="144" w:lineRule="exact"/>
              <w:rPr>
                <w:sz w:val="20"/>
                <w:szCs w:val="20"/>
                <w:color w:val="auto"/>
              </w:rPr>
            </w:pPr>
            <w:r>
              <w:rPr>
                <w:rFonts w:ascii="Arial" w:cs="Arial" w:eastAsia="Arial" w:hAnsi="Arial"/>
                <w:sz w:val="15"/>
                <w:szCs w:val="15"/>
                <w:b w:val="1"/>
                <w:bCs w:val="1"/>
                <w:color w:val="2D64AF"/>
              </w:rPr>
              <w:t>Insurance</w:t>
            </w:r>
          </w:p>
        </w:tc>
        <w:tc>
          <w:tcPr>
            <w:tcW w:w="860" w:type="dxa"/>
            <w:vAlign w:val="bottom"/>
          </w:tcPr>
          <w:p>
            <w:pPr>
              <w:jc w:val="right"/>
              <w:ind w:right="66"/>
              <w:spacing w:after="0" w:line="144" w:lineRule="exact"/>
              <w:rPr>
                <w:sz w:val="20"/>
                <w:szCs w:val="20"/>
                <w:color w:val="auto"/>
              </w:rPr>
            </w:pPr>
            <w:r>
              <w:rPr>
                <w:rFonts w:ascii="Arial" w:cs="Arial" w:eastAsia="Arial" w:hAnsi="Arial"/>
                <w:sz w:val="15"/>
                <w:szCs w:val="15"/>
                <w:b w:val="1"/>
                <w:bCs w:val="1"/>
                <w:color w:val="2D64AF"/>
              </w:rPr>
              <w:t>Disability</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86"/>
              <w:spacing w:after="0" w:line="144" w:lineRule="exact"/>
              <w:rPr>
                <w:sz w:val="20"/>
                <w:szCs w:val="20"/>
                <w:color w:val="auto"/>
              </w:rPr>
            </w:pPr>
            <w:r>
              <w:rPr>
                <w:rFonts w:ascii="Arial" w:cs="Arial" w:eastAsia="Arial" w:hAnsi="Arial"/>
                <w:sz w:val="15"/>
                <w:szCs w:val="15"/>
                <w:b w:val="1"/>
                <w:bCs w:val="1"/>
                <w:color w:val="2D64AF"/>
              </w:rPr>
              <w:t>Related</w:t>
            </w:r>
          </w:p>
        </w:tc>
        <w:tc>
          <w:tcPr>
            <w:tcW w:w="780" w:type="dxa"/>
            <w:vAlign w:val="bottom"/>
          </w:tcPr>
          <w:p>
            <w:pPr>
              <w:jc w:val="right"/>
              <w:spacing w:after="0" w:line="144" w:lineRule="exact"/>
              <w:rPr>
                <w:sz w:val="20"/>
                <w:szCs w:val="20"/>
                <w:color w:val="auto"/>
              </w:rPr>
            </w:pPr>
            <w:r>
              <w:rPr>
                <w:rFonts w:ascii="Arial" w:cs="Arial" w:eastAsia="Arial" w:hAnsi="Arial"/>
                <w:sz w:val="15"/>
                <w:szCs w:val="15"/>
                <w:b w:val="1"/>
                <w:bCs w:val="1"/>
                <w:color w:val="2D64AF"/>
              </w:rPr>
              <w:t>In-Lieu of</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5"/>
                <w:szCs w:val="15"/>
                <w:b w:val="1"/>
                <w:bCs w:val="1"/>
                <w:color w:val="2D64AF"/>
              </w:rPr>
              <w:t>Name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2D64AF"/>
              </w:rPr>
              <w:t>Premiums</w:t>
            </w:r>
          </w:p>
        </w:tc>
        <w:tc>
          <w:tcPr>
            <w:tcW w:w="8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b w:val="1"/>
                <w:bCs w:val="1"/>
                <w:color w:val="2D64AF"/>
              </w:rPr>
              <w:t>Premiums</w:t>
            </w: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2D64AF"/>
              </w:rPr>
              <w:t>Premiums</w:t>
            </w:r>
          </w:p>
        </w:tc>
        <w:tc>
          <w:tcPr>
            <w:tcW w:w="960" w:type="dxa"/>
            <w:vAlign w:val="bottom"/>
          </w:tcPr>
          <w:p>
            <w:pPr>
              <w:ind w:left="40"/>
              <w:spacing w:after="0"/>
              <w:rPr>
                <w:sz w:val="20"/>
                <w:szCs w:val="20"/>
                <w:color w:val="auto"/>
              </w:rPr>
            </w:pPr>
            <w:r>
              <w:rPr>
                <w:rFonts w:ascii="Arial" w:cs="Arial" w:eastAsia="Arial" w:hAnsi="Arial"/>
                <w:sz w:val="15"/>
                <w:szCs w:val="15"/>
                <w:b w:val="1"/>
                <w:bCs w:val="1"/>
                <w:color w:val="2D64AF"/>
                <w:w w:val="99"/>
              </w:rPr>
              <w:t>Contribution</w:t>
            </w:r>
          </w:p>
        </w:tc>
        <w:tc>
          <w:tcPr>
            <w:tcW w:w="10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2D64AF"/>
                <w:w w:val="99"/>
              </w:rPr>
              <w:t>Contribution</w:t>
            </w:r>
          </w:p>
        </w:tc>
        <w:tc>
          <w:tcPr>
            <w:tcW w:w="120" w:type="dxa"/>
            <w:vAlign w:val="bottom"/>
          </w:tcPr>
          <w:p>
            <w:pPr>
              <w:spacing w:after="0"/>
              <w:rPr>
                <w:sz w:val="17"/>
                <w:szCs w:val="17"/>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2D64AF"/>
              </w:rPr>
              <w:t>Benefits</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2D64AF"/>
              </w:rPr>
              <w:t>Vacation</w:t>
            </w:r>
          </w:p>
        </w:tc>
        <w:tc>
          <w:tcPr>
            <w:tcW w:w="0" w:type="dxa"/>
            <w:vAlign w:val="bottom"/>
          </w:tcPr>
          <w:p>
            <w:pPr>
              <w:spacing w:after="0"/>
              <w:rPr>
                <w:sz w:val="1"/>
                <w:szCs w:val="1"/>
                <w:color w:val="auto"/>
              </w:rPr>
            </w:pPr>
          </w:p>
        </w:tc>
      </w:tr>
      <w:tr>
        <w:trPr>
          <w:trHeight w:val="62"/>
        </w:trPr>
        <w:tc>
          <w:tcPr>
            <w:tcW w:w="40" w:type="dxa"/>
            <w:vAlign w:val="bottom"/>
            <w:tcBorders>
              <w:bottom w:val="single" w:sz="8" w:color="2D64AF"/>
            </w:tcBorders>
          </w:tcPr>
          <w:p>
            <w:pPr>
              <w:spacing w:after="0"/>
              <w:rPr>
                <w:sz w:val="5"/>
                <w:szCs w:val="5"/>
                <w:color w:val="auto"/>
              </w:rPr>
            </w:pPr>
          </w:p>
        </w:tc>
        <w:tc>
          <w:tcPr>
            <w:tcW w:w="1620" w:type="dxa"/>
            <w:vAlign w:val="bottom"/>
            <w:tcBorders>
              <w:bottom w:val="single" w:sz="8" w:color="2D64AF"/>
            </w:tcBorders>
          </w:tcPr>
          <w:p>
            <w:pPr>
              <w:spacing w:after="0"/>
              <w:rPr>
                <w:sz w:val="5"/>
                <w:szCs w:val="5"/>
                <w:color w:val="auto"/>
              </w:rPr>
            </w:pPr>
          </w:p>
        </w:tc>
        <w:tc>
          <w:tcPr>
            <w:tcW w:w="380" w:type="dxa"/>
            <w:vAlign w:val="bottom"/>
            <w:tcBorders>
              <w:bottom w:val="single" w:sz="8" w:color="2D64AF"/>
            </w:tcBorders>
          </w:tcPr>
          <w:p>
            <w:pPr>
              <w:spacing w:after="0"/>
              <w:rPr>
                <w:sz w:val="5"/>
                <w:szCs w:val="5"/>
                <w:color w:val="auto"/>
              </w:rPr>
            </w:pPr>
          </w:p>
        </w:tc>
        <w:tc>
          <w:tcPr>
            <w:tcW w:w="80" w:type="dxa"/>
            <w:vAlign w:val="bottom"/>
            <w:tcBorders>
              <w:bottom w:val="single" w:sz="8" w:color="2D64AF"/>
            </w:tcBorders>
          </w:tcPr>
          <w:p>
            <w:pPr>
              <w:spacing w:after="0"/>
              <w:rPr>
                <w:sz w:val="5"/>
                <w:szCs w:val="5"/>
                <w:color w:val="auto"/>
              </w:rPr>
            </w:pPr>
          </w:p>
        </w:tc>
        <w:tc>
          <w:tcPr>
            <w:tcW w:w="880" w:type="dxa"/>
            <w:vAlign w:val="bottom"/>
            <w:tcBorders>
              <w:bottom w:val="single" w:sz="8" w:color="2D64AF"/>
            </w:tcBorders>
          </w:tcPr>
          <w:p>
            <w:pPr>
              <w:spacing w:after="0"/>
              <w:rPr>
                <w:sz w:val="5"/>
                <w:szCs w:val="5"/>
                <w:color w:val="auto"/>
              </w:rPr>
            </w:pPr>
          </w:p>
        </w:tc>
        <w:tc>
          <w:tcPr>
            <w:tcW w:w="80" w:type="dxa"/>
            <w:vAlign w:val="bottom"/>
            <w:tcBorders>
              <w:bottom w:val="single" w:sz="8" w:color="2D64AF"/>
            </w:tcBorders>
          </w:tcPr>
          <w:p>
            <w:pPr>
              <w:spacing w:after="0"/>
              <w:rPr>
                <w:sz w:val="5"/>
                <w:szCs w:val="5"/>
                <w:color w:val="auto"/>
              </w:rPr>
            </w:pPr>
          </w:p>
        </w:tc>
        <w:tc>
          <w:tcPr>
            <w:tcW w:w="900" w:type="dxa"/>
            <w:vAlign w:val="bottom"/>
            <w:tcBorders>
              <w:bottom w:val="single" w:sz="8" w:color="2D64AF"/>
            </w:tcBorders>
          </w:tcPr>
          <w:p>
            <w:pPr>
              <w:spacing w:after="0"/>
              <w:rPr>
                <w:sz w:val="5"/>
                <w:szCs w:val="5"/>
                <w:color w:val="auto"/>
              </w:rPr>
            </w:pPr>
          </w:p>
        </w:tc>
        <w:tc>
          <w:tcPr>
            <w:tcW w:w="860" w:type="dxa"/>
            <w:vAlign w:val="bottom"/>
            <w:tcBorders>
              <w:bottom w:val="single" w:sz="8" w:color="2D64AF"/>
            </w:tcBorders>
          </w:tcPr>
          <w:p>
            <w:pPr>
              <w:spacing w:after="0"/>
              <w:rPr>
                <w:sz w:val="5"/>
                <w:szCs w:val="5"/>
                <w:color w:val="auto"/>
              </w:rPr>
            </w:pPr>
          </w:p>
        </w:tc>
        <w:tc>
          <w:tcPr>
            <w:tcW w:w="1060" w:type="dxa"/>
            <w:vAlign w:val="bottom"/>
            <w:tcBorders>
              <w:bottom w:val="single" w:sz="8" w:color="2D64AF"/>
            </w:tcBorders>
            <w:gridSpan w:val="2"/>
          </w:tcPr>
          <w:p>
            <w:pPr>
              <w:spacing w:after="0"/>
              <w:rPr>
                <w:sz w:val="5"/>
                <w:szCs w:val="5"/>
                <w:color w:val="auto"/>
              </w:rPr>
            </w:pPr>
          </w:p>
        </w:tc>
        <w:tc>
          <w:tcPr>
            <w:tcW w:w="1060" w:type="dxa"/>
            <w:vAlign w:val="bottom"/>
            <w:tcBorders>
              <w:bottom w:val="single" w:sz="8" w:color="2D64AF"/>
            </w:tcBorders>
            <w:gridSpan w:val="2"/>
          </w:tcPr>
          <w:p>
            <w:pPr>
              <w:spacing w:after="0"/>
              <w:rPr>
                <w:sz w:val="5"/>
                <w:szCs w:val="5"/>
                <w:color w:val="auto"/>
              </w:rPr>
            </w:pPr>
          </w:p>
        </w:tc>
        <w:tc>
          <w:tcPr>
            <w:tcW w:w="1000" w:type="dxa"/>
            <w:vAlign w:val="bottom"/>
            <w:tcBorders>
              <w:bottom w:val="single" w:sz="8" w:color="2D64AF"/>
            </w:tcBorders>
          </w:tcPr>
          <w:p>
            <w:pPr>
              <w:spacing w:after="0"/>
              <w:rPr>
                <w:sz w:val="5"/>
                <w:szCs w:val="5"/>
                <w:color w:val="auto"/>
              </w:rPr>
            </w:pPr>
          </w:p>
        </w:tc>
        <w:tc>
          <w:tcPr>
            <w:tcW w:w="780" w:type="dxa"/>
            <w:vAlign w:val="bottom"/>
            <w:tcBorders>
              <w:bottom w:val="single" w:sz="8" w:color="2D64AF"/>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Richard S. Warzala</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$8,382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xml:space="preserve">$24,500 </w:t>
            </w:r>
            <w:r>
              <w:rPr>
                <w:rFonts w:ascii="Arial" w:cs="Arial" w:eastAsia="Arial" w:hAnsi="Arial"/>
                <w:sz w:val="3"/>
                <w:szCs w:val="3"/>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$2,395</w:t>
            </w:r>
            <w:r>
              <w:rPr>
                <w:rFonts w:ascii="Arial" w:cs="Arial" w:eastAsia="Arial" w:hAnsi="Arial"/>
                <w:sz w:val="3"/>
                <w:szCs w:val="3"/>
                <w:color w:val="auto"/>
              </w:rPr>
              <w:t>​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$12,200</w:t>
            </w:r>
            <w:r>
              <w:rPr>
                <w:rFonts w:ascii="Arial" w:cs="Arial" w:eastAsia="Arial" w:hAnsi="Arial"/>
                <w:sz w:val="3"/>
                <w:szCs w:val="3"/>
                <w:color w:val="auto"/>
              </w:rPr>
              <w:t>​      ​</w:t>
            </w:r>
          </w:p>
        </w:tc>
        <w:tc>
          <w:tcPr>
            <w:tcW w:w="1060" w:type="dxa"/>
            <w:vAlign w:val="bottom"/>
            <w:gridSpan w:val="2"/>
          </w:tcPr>
          <w:p>
            <w:pPr>
              <w:jc w:val="right"/>
              <w:ind w:right="31"/>
              <w:spacing w:after="0"/>
              <w:rPr>
                <w:sz w:val="20"/>
                <w:szCs w:val="20"/>
                <w:color w:val="auto"/>
              </w:rPr>
            </w:pPr>
            <w:r>
              <w:rPr>
                <w:rFonts w:ascii="Arial" w:cs="Arial" w:eastAsia="Arial" w:hAnsi="Arial"/>
                <w:sz w:val="14"/>
                <w:szCs w:val="14"/>
                <w:color w:val="auto"/>
              </w:rPr>
              <w:t>$8,719</w:t>
            </w:r>
            <w:r>
              <w:rPr>
                <w:rFonts w:ascii="Arial" w:cs="Arial" w:eastAsia="Arial" w:hAnsi="Arial"/>
                <w:sz w:val="3"/>
                <w:szCs w:val="3"/>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xml:space="preserve">$42,589 </w:t>
            </w:r>
            <w:r>
              <w:rPr>
                <w:rFonts w:ascii="Arial" w:cs="Arial" w:eastAsia="Arial" w:hAnsi="Arial"/>
                <w:sz w:val="3"/>
                <w:szCs w:val="3"/>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66"/>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Michael R. Leach</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$1,454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3"/>
                <w:szCs w:val="3"/>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$12,200</w:t>
            </w:r>
            <w:r>
              <w:rPr>
                <w:rFonts w:ascii="Arial" w:cs="Arial" w:eastAsia="Arial" w:hAnsi="Arial"/>
                <w:sz w:val="3"/>
                <w:szCs w:val="3"/>
                <w:color w:val="auto"/>
              </w:rPr>
              <w:t>​      ​</w:t>
            </w:r>
          </w:p>
        </w:tc>
        <w:tc>
          <w:tcPr>
            <w:tcW w:w="1060" w:type="dxa"/>
            <w:vAlign w:val="bottom"/>
            <w:gridSpan w:val="2"/>
          </w:tcPr>
          <w:p>
            <w:pPr>
              <w:jc w:val="right"/>
              <w:ind w:right="31"/>
              <w:spacing w:after="0"/>
              <w:rPr>
                <w:sz w:val="20"/>
                <w:szCs w:val="20"/>
                <w:color w:val="auto"/>
              </w:rPr>
            </w:pPr>
            <w:r>
              <w:rPr>
                <w:rFonts w:ascii="Arial" w:cs="Arial" w:eastAsia="Arial" w:hAnsi="Arial"/>
                <w:sz w:val="14"/>
                <w:szCs w:val="14"/>
                <w:color w:val="auto"/>
              </w:rPr>
              <w:t>$8,719</w:t>
            </w:r>
            <w:r>
              <w:rPr>
                <w:rFonts w:ascii="Arial" w:cs="Arial" w:eastAsia="Arial" w:hAnsi="Arial"/>
                <w:sz w:val="3"/>
                <w:szCs w:val="3"/>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xml:space="preserve">$10,800 </w:t>
            </w:r>
            <w:r>
              <w:rPr>
                <w:rFonts w:ascii="Arial" w:cs="Arial" w:eastAsia="Arial" w:hAnsi="Arial"/>
                <w:sz w:val="3"/>
                <w:szCs w:val="3"/>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66"/>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Robert P. Maida</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$2,838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3"/>
                <w:szCs w:val="3"/>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$12,200</w:t>
            </w:r>
            <w:r>
              <w:rPr>
                <w:rFonts w:ascii="Arial" w:cs="Arial" w:eastAsia="Arial" w:hAnsi="Arial"/>
                <w:sz w:val="3"/>
                <w:szCs w:val="3"/>
                <w:color w:val="auto"/>
              </w:rPr>
              <w:t>​      ​</w:t>
            </w:r>
          </w:p>
        </w:tc>
        <w:tc>
          <w:tcPr>
            <w:tcW w:w="1060" w:type="dxa"/>
            <w:vAlign w:val="bottom"/>
            <w:gridSpan w:val="2"/>
          </w:tcPr>
          <w:p>
            <w:pPr>
              <w:jc w:val="right"/>
              <w:ind w:right="31"/>
              <w:spacing w:after="0"/>
              <w:rPr>
                <w:sz w:val="20"/>
                <w:szCs w:val="20"/>
                <w:color w:val="auto"/>
              </w:rPr>
            </w:pPr>
            <w:r>
              <w:rPr>
                <w:rFonts w:ascii="Arial" w:cs="Arial" w:eastAsia="Arial" w:hAnsi="Arial"/>
                <w:sz w:val="14"/>
                <w:szCs w:val="14"/>
                <w:color w:val="auto"/>
              </w:rPr>
              <w:t>$8,719</w:t>
            </w:r>
            <w:r>
              <w:rPr>
                <w:rFonts w:ascii="Arial" w:cs="Arial" w:eastAsia="Arial" w:hAnsi="Arial"/>
                <w:sz w:val="3"/>
                <w:szCs w:val="3"/>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xml:space="preserve">$12,784 </w:t>
            </w:r>
            <w:r>
              <w:rPr>
                <w:rFonts w:ascii="Arial" w:cs="Arial" w:eastAsia="Arial" w:hAnsi="Arial"/>
                <w:sz w:val="3"/>
                <w:szCs w:val="3"/>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66"/>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Ashish R. Bendre</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  828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3"/>
                <w:szCs w:val="3"/>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$4,037</w:t>
            </w:r>
            <w:r>
              <w:rPr>
                <w:rFonts w:ascii="Arial" w:cs="Arial" w:eastAsia="Arial" w:hAnsi="Arial"/>
                <w:sz w:val="3"/>
                <w:szCs w:val="3"/>
                <w:color w:val="auto"/>
              </w:rPr>
              <w:t>​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$10,571</w:t>
            </w:r>
            <w:r>
              <w:rPr>
                <w:rFonts w:ascii="Arial" w:cs="Arial" w:eastAsia="Arial" w:hAnsi="Arial"/>
                <w:sz w:val="3"/>
                <w:szCs w:val="3"/>
                <w:color w:val="auto"/>
              </w:rPr>
              <w:t>​      ​</w:t>
            </w:r>
          </w:p>
        </w:tc>
        <w:tc>
          <w:tcPr>
            <w:tcW w:w="1060" w:type="dxa"/>
            <w:vAlign w:val="bottom"/>
            <w:gridSpan w:val="2"/>
          </w:tcPr>
          <w:p>
            <w:pPr>
              <w:jc w:val="right"/>
              <w:ind w:right="31"/>
              <w:spacing w:after="0"/>
              <w:rPr>
                <w:sz w:val="20"/>
                <w:szCs w:val="20"/>
                <w:color w:val="auto"/>
              </w:rPr>
            </w:pPr>
            <w:r>
              <w:rPr>
                <w:rFonts w:ascii="Arial" w:cs="Arial" w:eastAsia="Arial" w:hAnsi="Arial"/>
                <w:sz w:val="14"/>
                <w:szCs w:val="14"/>
                <w:color w:val="auto"/>
              </w:rPr>
              <w:t>$8,719</w:t>
            </w:r>
            <w:r>
              <w:rPr>
                <w:rFonts w:ascii="Arial" w:cs="Arial" w:eastAsia="Arial" w:hAnsi="Arial"/>
                <w:sz w:val="3"/>
                <w:szCs w:val="3"/>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xml:space="preserve">$10,514 </w:t>
            </w:r>
            <w:r>
              <w:rPr>
                <w:rFonts w:ascii="Arial" w:cs="Arial" w:eastAsia="Arial" w:hAnsi="Arial"/>
                <w:sz w:val="3"/>
                <w:szCs w:val="3"/>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$14,538</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66"/>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2D64AF"/>
            </w:tcBorders>
          </w:tcPr>
          <w:p>
            <w:pPr>
              <w:spacing w:after="0"/>
              <w:rPr>
                <w:sz w:val="20"/>
                <w:szCs w:val="20"/>
                <w:color w:val="auto"/>
              </w:rPr>
            </w:pPr>
            <w:r>
              <w:rPr>
                <w:rFonts w:ascii="Arial" w:cs="Arial" w:eastAsia="Arial" w:hAnsi="Arial"/>
                <w:sz w:val="4"/>
                <w:szCs w:val="4"/>
                <w:color w:val="auto"/>
              </w:rPr>
              <w:t>​</w:t>
            </w:r>
          </w:p>
        </w:tc>
        <w:tc>
          <w:tcPr>
            <w:tcW w:w="1620" w:type="dxa"/>
            <w:vAlign w:val="bottom"/>
            <w:tcBorders>
              <w:bottom w:val="single" w:sz="8" w:color="2D64AF"/>
            </w:tcBorders>
          </w:tcPr>
          <w:p>
            <w:pPr>
              <w:ind w:left="20"/>
              <w:spacing w:after="0"/>
              <w:rPr>
                <w:sz w:val="20"/>
                <w:szCs w:val="20"/>
                <w:color w:val="auto"/>
              </w:rPr>
            </w:pPr>
            <w:r>
              <w:rPr>
                <w:rFonts w:ascii="Arial" w:cs="Arial" w:eastAsia="Arial" w:hAnsi="Arial"/>
                <w:sz w:val="14"/>
                <w:szCs w:val="14"/>
                <w:color w:val="auto"/>
              </w:rPr>
              <w:t>Helmut D. Pirthauer</w:t>
            </w:r>
          </w:p>
        </w:tc>
        <w:tc>
          <w:tcPr>
            <w:tcW w:w="380" w:type="dxa"/>
            <w:vAlign w:val="bottom"/>
            <w:tcBorders>
              <w:bottom w:val="single" w:sz="8" w:color="2D64AF"/>
            </w:tcBorders>
          </w:tcPr>
          <w:p>
            <w:pPr>
              <w:ind w:left="32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2D64AF"/>
            </w:tcBorders>
          </w:tcPr>
          <w:p>
            <w:pPr>
              <w:ind w:left="2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vertAlign w:val="superscript"/>
              </w:rPr>
              <w:t>​</w:t>
            </w:r>
          </w:p>
        </w:tc>
        <w:tc>
          <w:tcPr>
            <w:tcW w:w="80" w:type="dxa"/>
            <w:vAlign w:val="bottom"/>
            <w:tcBorders>
              <w:bottom w:val="single" w:sz="8" w:color="2D64AF"/>
            </w:tcBorders>
          </w:tcPr>
          <w:p>
            <w:pPr>
              <w:ind w:left="2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3"/>
                <w:szCs w:val="3"/>
                <w:color w:val="auto"/>
              </w:rPr>
              <w:t>​      ​</w:t>
            </w:r>
          </w:p>
        </w:tc>
        <w:tc>
          <w:tcPr>
            <w:tcW w:w="86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p>
        </w:tc>
        <w:tc>
          <w:tcPr>
            <w:tcW w:w="1060" w:type="dxa"/>
            <w:vAlign w:val="bottom"/>
            <w:tcBorders>
              <w:bottom w:val="single" w:sz="8" w:color="2D64AF"/>
            </w:tcBorders>
            <w:gridSpan w:val="2"/>
          </w:tcPr>
          <w:p>
            <w:pPr>
              <w:jc w:val="right"/>
              <w:ind w:right="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p>
        </w:tc>
        <w:tc>
          <w:tcPr>
            <w:tcW w:w="1060" w:type="dxa"/>
            <w:vAlign w:val="bottom"/>
            <w:tcBorders>
              <w:bottom w:val="single" w:sz="8" w:color="2D64AF"/>
            </w:tcBorders>
            <w:gridSpan w:val="2"/>
          </w:tcPr>
          <w:p>
            <w:pPr>
              <w:jc w:val="right"/>
              <w:ind w:right="31"/>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p>
        </w:tc>
        <w:tc>
          <w:tcPr>
            <w:tcW w:w="100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$11,382 </w:t>
            </w:r>
            <w:r>
              <w:rPr>
                <w:rFonts w:ascii="Arial" w:cs="Arial" w:eastAsia="Arial" w:hAnsi="Arial"/>
                <w:sz w:val="3"/>
                <w:szCs w:val="3"/>
                <w:color w:val="auto"/>
              </w:rPr>
              <w:t>​      ​</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hanging="358"/>
        <w:spacing w:after="0"/>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Messrs. Bendre and Pirthauer were each named Vice President &amp; Group President in July 2020.</w:t>
      </w:r>
    </w:p>
    <w:p>
      <w:pPr>
        <w:spacing w:after="0" w:line="53" w:lineRule="exact"/>
        <w:rPr>
          <w:rFonts w:ascii="Arial" w:cs="Arial" w:eastAsia="Arial" w:hAnsi="Arial"/>
          <w:sz w:val="13"/>
          <w:szCs w:val="13"/>
          <w:color w:val="auto"/>
        </w:rPr>
      </w:pPr>
    </w:p>
    <w:p>
      <w:pPr>
        <w:ind w:left="360" w:right="420" w:hanging="358"/>
        <w:spacing w:after="0" w:line="258"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Mr. Pirthauer’s cash compensation was payable in Euros. For 2022, these Euro amounts have been converted into U.S. dollars at an exchange rate of 1.05388 U.S. dollars per Euro.</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Compensation of Named Executive Officers</w:t>
      </w:r>
    </w:p>
    <w:p>
      <w:pPr>
        <w:spacing w:after="0" w:line="37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Grants of Plan-Based Awards in 2022</w:t>
      </w:r>
    </w:p>
    <w:p>
      <w:pPr>
        <w:spacing w:after="0" w:line="150" w:lineRule="exact"/>
        <w:rPr>
          <w:sz w:val="20"/>
          <w:szCs w:val="20"/>
          <w:color w:val="auto"/>
        </w:rPr>
      </w:pPr>
    </w:p>
    <w:p>
      <w:pPr>
        <w:ind w:left="220" w:right="260"/>
        <w:spacing w:after="0" w:line="260" w:lineRule="auto"/>
        <w:rPr>
          <w:sz w:val="20"/>
          <w:szCs w:val="20"/>
          <w:color w:val="auto"/>
        </w:rPr>
      </w:pPr>
      <w:r>
        <w:rPr>
          <w:rFonts w:ascii="Arial" w:cs="Arial" w:eastAsia="Arial" w:hAnsi="Arial"/>
          <w:sz w:val="16"/>
          <w:szCs w:val="16"/>
          <w:color w:val="auto"/>
        </w:rPr>
        <w:t>The following table summarizes the grants of plan-based awards to each of the Named Executive Officers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62865</wp:posOffset>
            </wp:positionV>
            <wp:extent cx="5777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2D64AF"/>
              </w:rPr>
              <w:t>Estimated</w:t>
            </w:r>
          </w:p>
        </w:tc>
        <w:tc>
          <w:tcPr>
            <w:tcW w:w="18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2D64AF"/>
              </w:rPr>
              <w:t>Estimated</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2D64AF"/>
              </w:rPr>
              <w:t>Possible Payouts</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D64AF"/>
              </w:rPr>
              <w:t>Possible Payouts</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D64AF"/>
              </w:rPr>
              <w:t>Under Non-</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D64AF"/>
              </w:rPr>
              <w:t>Under Equity</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D64AF"/>
              </w:rPr>
              <w:t>Equity Incentive</w:t>
            </w:r>
          </w:p>
        </w:tc>
        <w:tc>
          <w:tcPr>
            <w:tcW w:w="180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Incentive</w:t>
            </w:r>
          </w:p>
        </w:tc>
        <w:tc>
          <w:tcPr>
            <w:tcW w:w="1260" w:type="dxa"/>
            <w:vAlign w:val="bottom"/>
          </w:tcPr>
          <w:p>
            <w:pPr>
              <w:spacing w:after="0"/>
              <w:rPr>
                <w:sz w:val="14"/>
                <w:szCs w:val="1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Grant Date Fair</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40" w:type="dxa"/>
            <w:vAlign w:val="bottom"/>
            <w:gridSpan w:val="2"/>
          </w:tcPr>
          <w:p>
            <w:pPr>
              <w:jc w:val="right"/>
              <w:ind w:right="160"/>
              <w:spacing w:after="0" w:line="156" w:lineRule="exact"/>
              <w:rPr>
                <w:sz w:val="20"/>
                <w:szCs w:val="20"/>
                <w:color w:val="auto"/>
              </w:rPr>
            </w:pPr>
            <w:r>
              <w:rPr>
                <w:rFonts w:ascii="Arial" w:cs="Arial" w:eastAsia="Arial" w:hAnsi="Arial"/>
                <w:sz w:val="15"/>
                <w:szCs w:val="15"/>
                <w:b w:val="1"/>
                <w:bCs w:val="1"/>
                <w:color w:val="2D64AF"/>
              </w:rPr>
              <w:t>Plan Awards</w:t>
            </w:r>
          </w:p>
        </w:tc>
        <w:tc>
          <w:tcPr>
            <w:tcW w:w="1800" w:type="dxa"/>
            <w:vAlign w:val="bottom"/>
            <w:gridSpan w:val="3"/>
          </w:tcPr>
          <w:p>
            <w:pPr>
              <w:jc w:val="center"/>
              <w:ind w:right="80"/>
              <w:spacing w:after="0" w:line="156" w:lineRule="exact"/>
              <w:rPr>
                <w:sz w:val="20"/>
                <w:szCs w:val="20"/>
                <w:color w:val="auto"/>
              </w:rPr>
            </w:pPr>
            <w:r>
              <w:rPr>
                <w:rFonts w:ascii="Arial" w:cs="Arial" w:eastAsia="Arial" w:hAnsi="Arial"/>
                <w:sz w:val="15"/>
                <w:szCs w:val="15"/>
                <w:b w:val="1"/>
                <w:bCs w:val="1"/>
                <w:color w:val="2D64AF"/>
              </w:rPr>
              <w:t>Plan Awards</w:t>
            </w:r>
          </w:p>
        </w:tc>
        <w:tc>
          <w:tcPr>
            <w:tcW w:w="1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60" w:type="dxa"/>
            <w:vAlign w:val="bottom"/>
            <w:tcBorders>
              <w:bottom w:val="single" w:sz="8" w:color="2D64AF"/>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2D64AF"/>
            </w:tcBorders>
          </w:tcPr>
          <w:p>
            <w:pPr>
              <w:spacing w:after="0"/>
              <w:rPr>
                <w:sz w:val="9"/>
                <w:szCs w:val="9"/>
                <w:color w:val="auto"/>
              </w:rPr>
            </w:pPr>
          </w:p>
        </w:tc>
        <w:tc>
          <w:tcPr>
            <w:tcW w:w="980" w:type="dxa"/>
            <w:vAlign w:val="bottom"/>
            <w:tcBorders>
              <w:bottom w:val="single" w:sz="8" w:color="2D64AF"/>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D64AF"/>
              </w:rPr>
              <w:t>All Other Stock</w:t>
            </w:r>
          </w:p>
        </w:tc>
        <w:tc>
          <w:tcPr>
            <w:tcW w:w="12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Value of Stock</w:t>
            </w:r>
          </w:p>
        </w:tc>
        <w:tc>
          <w:tcPr>
            <w:tcW w:w="0" w:type="dxa"/>
            <w:vAlign w:val="bottom"/>
          </w:tcPr>
          <w:p>
            <w:pPr>
              <w:spacing w:after="0"/>
              <w:rPr>
                <w:sz w:val="1"/>
                <w:szCs w:val="1"/>
                <w:color w:val="auto"/>
              </w:rPr>
            </w:pPr>
          </w:p>
        </w:tc>
      </w:tr>
      <w:tr>
        <w:trPr>
          <w:trHeight w:val="48"/>
        </w:trPr>
        <w:tc>
          <w:tcPr>
            <w:tcW w:w="2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Name</w:t>
            </w:r>
          </w:p>
        </w:tc>
        <w:tc>
          <w:tcPr>
            <w:tcW w:w="120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rPr>
              <w:t>Grant Date</w:t>
            </w:r>
          </w:p>
        </w:tc>
        <w:tc>
          <w:tcPr>
            <w:tcW w:w="1540" w:type="dxa"/>
            <w:vAlign w:val="bottom"/>
            <w:tcBorders>
              <w:bottom w:val="single" w:sz="8" w:color="2D64AF"/>
            </w:tcBorders>
            <w:gridSpan w:val="2"/>
          </w:tcPr>
          <w:p>
            <w:pPr>
              <w:jc w:val="right"/>
              <w:ind w:right="160"/>
              <w:spacing w:after="0"/>
              <w:rPr>
                <w:sz w:val="20"/>
                <w:szCs w:val="20"/>
                <w:color w:val="auto"/>
              </w:rPr>
            </w:pPr>
            <w:r>
              <w:rPr>
                <w:rFonts w:ascii="Arial" w:cs="Arial" w:eastAsia="Arial" w:hAnsi="Arial"/>
                <w:sz w:val="15"/>
                <w:szCs w:val="15"/>
                <w:b w:val="1"/>
                <w:bCs w:val="1"/>
                <w:color w:val="2D64AF"/>
              </w:rPr>
              <w:t>Target($)</w:t>
            </w:r>
          </w:p>
        </w:tc>
        <w:tc>
          <w:tcPr>
            <w:tcW w:w="74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b w:val="1"/>
                <w:bCs w:val="1"/>
                <w:color w:val="2D64AF"/>
                <w:w w:val="99"/>
              </w:rPr>
              <w:t>Target(#)</w:t>
            </w:r>
          </w:p>
        </w:tc>
        <w:tc>
          <w:tcPr>
            <w:tcW w:w="1060" w:type="dxa"/>
            <w:vAlign w:val="bottom"/>
            <w:tcBorders>
              <w:bottom w:val="single" w:sz="8" w:color="2D64AF"/>
            </w:tcBorders>
            <w:gridSpan w:val="2"/>
          </w:tcPr>
          <w:p>
            <w:pPr>
              <w:ind w:left="80"/>
              <w:spacing w:after="0"/>
              <w:rPr>
                <w:sz w:val="20"/>
                <w:szCs w:val="20"/>
                <w:color w:val="auto"/>
              </w:rPr>
            </w:pPr>
            <w:r>
              <w:rPr>
                <w:rFonts w:ascii="Arial" w:cs="Arial" w:eastAsia="Arial" w:hAnsi="Arial"/>
                <w:sz w:val="15"/>
                <w:szCs w:val="15"/>
                <w:b w:val="1"/>
                <w:bCs w:val="1"/>
                <w:color w:val="2D64AF"/>
              </w:rPr>
              <w:t>Maximum(#)</w:t>
            </w:r>
          </w:p>
        </w:tc>
        <w:tc>
          <w:tcPr>
            <w:tcW w:w="126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b w:val="1"/>
                <w:bCs w:val="1"/>
                <w:color w:val="2D64AF"/>
              </w:rPr>
              <w:t>Awards (#)</w:t>
            </w:r>
          </w:p>
        </w:tc>
        <w:tc>
          <w:tcPr>
            <w:tcW w:w="1220" w:type="dxa"/>
            <w:vAlign w:val="bottom"/>
            <w:tcBorders>
              <w:bottom w:val="single" w:sz="8" w:color="2D64AF"/>
            </w:tcBorders>
            <w:gridSpan w:val="2"/>
          </w:tcPr>
          <w:p>
            <w:pPr>
              <w:jc w:val="right"/>
              <w:spacing w:after="0" w:line="270"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(5)</w:t>
            </w:r>
          </w:p>
        </w:tc>
        <w:tc>
          <w:tcPr>
            <w:tcW w:w="0" w:type="dxa"/>
            <w:vAlign w:val="bottom"/>
          </w:tcPr>
          <w:p>
            <w:pPr>
              <w:spacing w:after="0"/>
              <w:rPr>
                <w:sz w:val="1"/>
                <w:szCs w:val="1"/>
                <w:color w:val="auto"/>
              </w:rPr>
            </w:pPr>
          </w:p>
        </w:tc>
      </w:tr>
      <w:tr>
        <w:trPr>
          <w:trHeight w:val="256"/>
        </w:trPr>
        <w:tc>
          <w:tcPr>
            <w:tcW w:w="20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$799,271</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14,176</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487,513</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7,088</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14,176</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487,513</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240"/>
              <w:spacing w:after="0" w:line="236"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50,157</w:t>
            </w:r>
          </w:p>
        </w:tc>
        <w:tc>
          <w:tcPr>
            <w:tcW w:w="106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1,713,363</w:t>
            </w:r>
          </w:p>
        </w:tc>
        <w:tc>
          <w:tcPr>
            <w:tcW w:w="0" w:type="dxa"/>
            <w:vAlign w:val="bottom"/>
          </w:tcPr>
          <w:p>
            <w:pPr>
              <w:spacing w:after="0"/>
              <w:rPr>
                <w:sz w:val="1"/>
                <w:szCs w:val="1"/>
                <w:color w:val="auto"/>
              </w:rPr>
            </w:pPr>
          </w:p>
        </w:tc>
      </w:tr>
      <w:tr>
        <w:trPr>
          <w:trHeight w:val="215"/>
        </w:trPr>
        <w:tc>
          <w:tcPr>
            <w:tcW w:w="20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$181,409</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2,389</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82,158</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4" w:lineRule="exact"/>
              <w:rPr>
                <w:sz w:val="20"/>
                <w:szCs w:val="20"/>
                <w:color w:val="auto"/>
              </w:rPr>
            </w:pPr>
            <w:r>
              <w:rPr>
                <w:rFonts w:ascii="Arial" w:cs="Arial" w:eastAsia="Arial" w:hAnsi="Arial"/>
                <w:sz w:val="30"/>
                <w:szCs w:val="30"/>
                <w:color w:val="auto"/>
                <w:vertAlign w:val="subscript"/>
              </w:rPr>
              <w:t>PSP</w:t>
            </w:r>
            <w:r>
              <w:rPr>
                <w:rFonts w:ascii="Arial" w:cs="Arial" w:eastAsia="Arial" w:hAnsi="Arial"/>
                <w:sz w:val="13"/>
                <w:szCs w:val="13"/>
                <w:color w:val="auto"/>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1,195</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2,389</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82,158</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240"/>
              <w:spacing w:after="0" w:line="236"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6,934</w:t>
            </w:r>
          </w:p>
        </w:tc>
        <w:tc>
          <w:tcPr>
            <w:tcW w:w="106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236,866</w:t>
            </w:r>
          </w:p>
        </w:tc>
        <w:tc>
          <w:tcPr>
            <w:tcW w:w="0" w:type="dxa"/>
            <w:vAlign w:val="bottom"/>
          </w:tcPr>
          <w:p>
            <w:pPr>
              <w:spacing w:after="0"/>
              <w:rPr>
                <w:sz w:val="1"/>
                <w:szCs w:val="1"/>
                <w:color w:val="auto"/>
              </w:rPr>
            </w:pPr>
          </w:p>
        </w:tc>
      </w:tr>
      <w:tr>
        <w:trPr>
          <w:trHeight w:val="215"/>
        </w:trPr>
        <w:tc>
          <w:tcPr>
            <w:tcW w:w="208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$166,359</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2,192</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75,383</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4" w:lineRule="exact"/>
              <w:rPr>
                <w:sz w:val="20"/>
                <w:szCs w:val="20"/>
                <w:color w:val="auto"/>
              </w:rPr>
            </w:pPr>
            <w:r>
              <w:rPr>
                <w:rFonts w:ascii="Arial" w:cs="Arial" w:eastAsia="Arial" w:hAnsi="Arial"/>
                <w:sz w:val="30"/>
                <w:szCs w:val="30"/>
                <w:color w:val="auto"/>
                <w:vertAlign w:val="subscript"/>
              </w:rPr>
              <w:t>PSP</w:t>
            </w:r>
            <w:r>
              <w:rPr>
                <w:rFonts w:ascii="Arial" w:cs="Arial" w:eastAsia="Arial" w:hAnsi="Arial"/>
                <w:sz w:val="13"/>
                <w:szCs w:val="13"/>
                <w:color w:val="auto"/>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1,096</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2,192</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75,383</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240"/>
              <w:spacing w:after="0" w:line="236"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5,445</w:t>
            </w:r>
          </w:p>
        </w:tc>
        <w:tc>
          <w:tcPr>
            <w:tcW w:w="106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186,001</w:t>
            </w:r>
          </w:p>
        </w:tc>
        <w:tc>
          <w:tcPr>
            <w:tcW w:w="0" w:type="dxa"/>
            <w:vAlign w:val="bottom"/>
          </w:tcPr>
          <w:p>
            <w:pPr>
              <w:spacing w:after="0"/>
              <w:rPr>
                <w:sz w:val="1"/>
                <w:szCs w:val="1"/>
                <w:color w:val="auto"/>
              </w:rPr>
            </w:pPr>
          </w:p>
        </w:tc>
      </w:tr>
      <w:tr>
        <w:trPr>
          <w:trHeight w:val="215"/>
        </w:trPr>
        <w:tc>
          <w:tcPr>
            <w:tcW w:w="208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$ 56,701</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1,425</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48,868</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240"/>
              <w:spacing w:after="0" w:line="236"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413</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825</w:t>
            </w:r>
          </w:p>
        </w:tc>
        <w:tc>
          <w:tcPr>
            <w:tcW w:w="106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28,372</w:t>
            </w:r>
          </w:p>
        </w:tc>
        <w:tc>
          <w:tcPr>
            <w:tcW w:w="0" w:type="dxa"/>
            <w:vAlign w:val="bottom"/>
          </w:tcPr>
          <w:p>
            <w:pPr>
              <w:spacing w:after="0"/>
              <w:rPr>
                <w:sz w:val="1"/>
                <w:szCs w:val="1"/>
                <w:color w:val="auto"/>
              </w:rPr>
            </w:pPr>
          </w:p>
        </w:tc>
      </w:tr>
      <w:tr>
        <w:trPr>
          <w:trHeight w:val="215"/>
        </w:trPr>
        <w:tc>
          <w:tcPr>
            <w:tcW w:w="208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$106,750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2D64AF"/>
            </w:tcBorders>
          </w:tcPr>
          <w:p>
            <w:pPr>
              <w:ind w:left="240"/>
              <w:spacing w:after="0" w:line="22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rPr>
              <w:t>03/08/22</w:t>
            </w:r>
          </w:p>
        </w:tc>
        <w:tc>
          <w:tcPr>
            <w:tcW w:w="1460" w:type="dxa"/>
            <w:vAlign w:val="bottom"/>
            <w:tcBorders>
              <w:bottom w:val="single" w:sz="8" w:color="2D64AF"/>
            </w:tcBorders>
          </w:tcPr>
          <w:p>
            <w:pPr>
              <w:spacing w:after="0"/>
              <w:rPr>
                <w:sz w:val="20"/>
                <w:szCs w:val="20"/>
                <w:color w:val="auto"/>
              </w:rPr>
            </w:pPr>
          </w:p>
        </w:tc>
        <w:tc>
          <w:tcPr>
            <w:tcW w:w="80" w:type="dxa"/>
            <w:vAlign w:val="bottom"/>
            <w:tcBorders>
              <w:bottom w:val="single" w:sz="8" w:color="2D64AF"/>
            </w:tcBorders>
          </w:tcPr>
          <w:p>
            <w:pPr>
              <w:spacing w:after="0"/>
              <w:rPr>
                <w:sz w:val="20"/>
                <w:szCs w:val="20"/>
                <w:color w:val="auto"/>
              </w:rPr>
            </w:pPr>
          </w:p>
        </w:tc>
        <w:tc>
          <w:tcPr>
            <w:tcW w:w="74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D64AF"/>
            </w:tcBorders>
            <w:gridSpan w:val="2"/>
          </w:tcPr>
          <w:p>
            <w:pPr>
              <w:ind w:left="8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color w:val="auto"/>
              </w:rPr>
              <w:t>2,016</w:t>
            </w:r>
          </w:p>
        </w:tc>
        <w:tc>
          <w:tcPr>
            <w:tcW w:w="5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69,330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60" w:right="40" w:hanging="342"/>
        <w:spacing w:after="0" w:line="242"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Compensation—Annual Cash Incentive Plan, the executive officers were eligible for a possible cash incentive award for 2022 pursuant to the Plan based on corporate performance. The table reflects the possible target incentive awards based on corporate performance. The target incentive is a percentage of the actual salary earned for the year and was set as follows: Mr. Warzala (125%), Mr. Leach (50%) and Mr. Maida (50%), Mr. Bendre (20%) and Mr. Pirthauer (35%) There is no maximum amount under the Plan. The actual amount earned by each Named Executive Officer in 2022 is reported under the Non-Equity Incentive Plan Compensation column in the Summary Compensation Table.</w:t>
      </w:r>
    </w:p>
    <w:p>
      <w:pPr>
        <w:spacing w:after="0" w:line="40" w:lineRule="exact"/>
        <w:rPr>
          <w:rFonts w:ascii="Arial" w:cs="Arial" w:eastAsia="Arial" w:hAnsi="Arial"/>
          <w:sz w:val="13"/>
          <w:szCs w:val="13"/>
          <w:color w:val="auto"/>
        </w:rPr>
      </w:pPr>
    </w:p>
    <w:p>
      <w:pPr>
        <w:ind w:left="560" w:right="160" w:hanging="342"/>
        <w:spacing w:after="0" w:line="258"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 consists of Time-Based Awards that will vest in three equal annual installments beginning in April 2023.</w:t>
      </w:r>
    </w:p>
    <w:p>
      <w:pPr>
        <w:spacing w:after="0" w:line="29" w:lineRule="exact"/>
        <w:rPr>
          <w:rFonts w:ascii="Arial" w:cs="Arial" w:eastAsia="Arial" w:hAnsi="Arial"/>
          <w:sz w:val="13"/>
          <w:szCs w:val="13"/>
          <w:color w:val="auto"/>
        </w:rPr>
      </w:pPr>
    </w:p>
    <w:p>
      <w:pPr>
        <w:ind w:left="560" w:hanging="342"/>
        <w:spacing w:after="0" w:line="245"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2022. For 2022, the performance goals were fully achieved and 100% of the share award was earned for each Named Executive Officer. The award vested one-third on April 1, 2023 with the remainder vesting one-third in each of 2024 and 2025, subject to continued employment.</w:t>
      </w:r>
    </w:p>
    <w:p>
      <w:pPr>
        <w:spacing w:after="0" w:line="37" w:lineRule="exact"/>
        <w:rPr>
          <w:rFonts w:ascii="Arial" w:cs="Arial" w:eastAsia="Arial" w:hAnsi="Arial"/>
          <w:sz w:val="13"/>
          <w:szCs w:val="13"/>
          <w:color w:val="auto"/>
        </w:rPr>
      </w:pPr>
    </w:p>
    <w:p>
      <w:pPr>
        <w:ind w:left="560" w:right="140" w:hanging="342"/>
        <w:spacing w:after="0" w:line="238"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Compensation—LTIP above, certain executive officers were eligible to receive performance-based equity incentive awards based on achievement of longer term performance goals. These awards relate to the Original LTIP for organic revenue growth and acquired revenue in 2021 and 2022 up to the Original</w:t>
      </w:r>
    </w:p>
    <w:p>
      <w:pPr>
        <w:ind w:left="560"/>
        <w:spacing w:after="0"/>
        <w:rPr>
          <w:rFonts w:ascii="Arial" w:cs="Arial" w:eastAsia="Arial" w:hAnsi="Arial"/>
          <w:sz w:val="13"/>
          <w:szCs w:val="13"/>
          <w:color w:val="auto"/>
        </w:rPr>
      </w:pPr>
      <w:r>
        <w:rPr>
          <w:rFonts w:ascii="Arial" w:cs="Arial" w:eastAsia="Arial" w:hAnsi="Arial"/>
          <w:sz w:val="13"/>
          <w:szCs w:val="13"/>
          <w:color w:val="auto"/>
        </w:rPr>
        <w:t>LTIP Revenue Target.</w:t>
      </w:r>
    </w:p>
    <w:p>
      <w:pPr>
        <w:spacing w:after="0" w:line="53" w:lineRule="exact"/>
        <w:rPr>
          <w:rFonts w:ascii="Arial" w:cs="Arial" w:eastAsia="Arial" w:hAnsi="Arial"/>
          <w:sz w:val="13"/>
          <w:szCs w:val="13"/>
          <w:color w:val="auto"/>
        </w:rPr>
      </w:pPr>
    </w:p>
    <w:p>
      <w:pPr>
        <w:ind w:left="560" w:right="60" w:hanging="342"/>
        <w:spacing w:after="0" w:line="258"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240" w:lineRule="exact"/>
        <w:rPr>
          <w:sz w:val="20"/>
          <w:szCs w:val="20"/>
          <w:color w:val="auto"/>
        </w:rPr>
      </w:pPr>
    </w:p>
    <w:p>
      <w:pPr>
        <w:ind w:left="220" w:hanging="214"/>
        <w:spacing w:after="0"/>
        <w:tabs>
          <w:tab w:leader="none" w:pos="220"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2D64AF"/>
        </w:rPr>
        <w:t>Compensation of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Outstanding Equity Awards at 2022 Fiscal Year End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outstanding equity awards held by the Named Executive Officers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57778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20" w:type="dxa"/>
            <w:vAlign w:val="bottom"/>
            <w:gridSpan w:val="2"/>
          </w:tcPr>
          <w:p>
            <w:pPr>
              <w:jc w:val="right"/>
              <w:ind w:right="1204"/>
              <w:spacing w:after="0"/>
              <w:rPr>
                <w:sz w:val="20"/>
                <w:szCs w:val="20"/>
                <w:color w:val="auto"/>
              </w:rPr>
            </w:pPr>
            <w:r>
              <w:rPr>
                <w:rFonts w:ascii="Arial" w:cs="Arial" w:eastAsia="Arial" w:hAnsi="Arial"/>
                <w:sz w:val="15"/>
                <w:szCs w:val="15"/>
                <w:b w:val="1"/>
                <w:bCs w:val="1"/>
                <w:color w:val="2D64AF"/>
              </w:rPr>
              <w:t>Stock Awards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2"/>
        </w:trPr>
        <w:tc>
          <w:tcPr>
            <w:tcW w:w="2360" w:type="dxa"/>
            <w:vAlign w:val="bottom"/>
          </w:tcPr>
          <w:p>
            <w:pPr>
              <w:spacing w:after="0"/>
              <w:rPr>
                <w:sz w:val="5"/>
                <w:szCs w:val="5"/>
                <w:color w:val="auto"/>
              </w:rPr>
            </w:pPr>
          </w:p>
        </w:tc>
        <w:tc>
          <w:tcPr>
            <w:tcW w:w="1700" w:type="dxa"/>
            <w:vAlign w:val="bottom"/>
            <w:tcBorders>
              <w:bottom w:val="single" w:sz="8" w:color="2D64AF"/>
            </w:tcBorders>
          </w:tcPr>
          <w:p>
            <w:pPr>
              <w:spacing w:after="0"/>
              <w:rPr>
                <w:sz w:val="5"/>
                <w:szCs w:val="5"/>
                <w:color w:val="auto"/>
              </w:rPr>
            </w:pPr>
          </w:p>
        </w:tc>
        <w:tc>
          <w:tcPr>
            <w:tcW w:w="800" w:type="dxa"/>
            <w:vAlign w:val="bottom"/>
            <w:tcBorders>
              <w:bottom w:val="single" w:sz="8" w:color="2D64AF"/>
            </w:tcBorders>
          </w:tcPr>
          <w:p>
            <w:pPr>
              <w:spacing w:after="0"/>
              <w:rPr>
                <w:sz w:val="5"/>
                <w:szCs w:val="5"/>
                <w:color w:val="auto"/>
              </w:rPr>
            </w:pPr>
          </w:p>
        </w:tc>
        <w:tc>
          <w:tcPr>
            <w:tcW w:w="840" w:type="dxa"/>
            <w:vAlign w:val="bottom"/>
            <w:tcBorders>
              <w:bottom w:val="single" w:sz="8" w:color="2D64AF"/>
            </w:tcBorders>
          </w:tcPr>
          <w:p>
            <w:pPr>
              <w:spacing w:after="0"/>
              <w:rPr>
                <w:sz w:val="5"/>
                <w:szCs w:val="5"/>
                <w:color w:val="auto"/>
              </w:rPr>
            </w:pPr>
          </w:p>
        </w:tc>
        <w:tc>
          <w:tcPr>
            <w:tcW w:w="1880" w:type="dxa"/>
            <w:vAlign w:val="bottom"/>
            <w:tcBorders>
              <w:bottom w:val="single" w:sz="8" w:color="2D64AF"/>
            </w:tcBorders>
          </w:tcPr>
          <w:p>
            <w:pPr>
              <w:spacing w:after="0"/>
              <w:rPr>
                <w:sz w:val="5"/>
                <w:szCs w:val="5"/>
                <w:color w:val="auto"/>
              </w:rPr>
            </w:pPr>
          </w:p>
        </w:tc>
        <w:tc>
          <w:tcPr>
            <w:tcW w:w="1520" w:type="dxa"/>
            <w:vAlign w:val="bottom"/>
            <w:tcBorders>
              <w:bottom w:val="single" w:sz="8" w:color="2D64AF"/>
            </w:tcBorders>
            <w:gridSpan w:val="2"/>
          </w:tcPr>
          <w:p>
            <w:pPr>
              <w:spacing w:after="0"/>
              <w:rPr>
                <w:sz w:val="5"/>
                <w:szCs w:val="5"/>
                <w:color w:val="auto"/>
              </w:rPr>
            </w:pPr>
          </w:p>
        </w:tc>
      </w:tr>
      <w:tr>
        <w:trPr>
          <w:trHeight w:val="215"/>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Incentive Plan</w:t>
            </w: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20" w:type="dxa"/>
            <w:vAlign w:val="bottom"/>
            <w:gridSpan w:val="2"/>
          </w:tcPr>
          <w:p>
            <w:pPr>
              <w:jc w:val="center"/>
              <w:ind w:left="184"/>
              <w:spacing w:after="0" w:line="162" w:lineRule="exact"/>
              <w:rPr>
                <w:sz w:val="20"/>
                <w:szCs w:val="20"/>
                <w:color w:val="auto"/>
              </w:rPr>
            </w:pPr>
            <w:r>
              <w:rPr>
                <w:rFonts w:ascii="Arial" w:cs="Arial" w:eastAsia="Arial" w:hAnsi="Arial"/>
                <w:sz w:val="15"/>
                <w:szCs w:val="15"/>
                <w:b w:val="1"/>
                <w:bCs w:val="1"/>
                <w:color w:val="2D64AF"/>
              </w:rPr>
              <w:t>Awards: Market</w:t>
            </w: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2D64AF"/>
              </w:rPr>
              <w:t>Equity Incentive Plan</w:t>
            </w:r>
          </w:p>
        </w:tc>
        <w:tc>
          <w:tcPr>
            <w:tcW w:w="1520" w:type="dxa"/>
            <w:vAlign w:val="bottom"/>
            <w:gridSpan w:val="2"/>
          </w:tcPr>
          <w:p>
            <w:pPr>
              <w:jc w:val="center"/>
              <w:ind w:left="164"/>
              <w:spacing w:after="0" w:line="162" w:lineRule="exact"/>
              <w:rPr>
                <w:sz w:val="20"/>
                <w:szCs w:val="20"/>
                <w:color w:val="auto"/>
              </w:rPr>
            </w:pPr>
            <w:r>
              <w:rPr>
                <w:rFonts w:ascii="Arial" w:cs="Arial" w:eastAsia="Arial" w:hAnsi="Arial"/>
                <w:sz w:val="15"/>
                <w:szCs w:val="15"/>
                <w:b w:val="1"/>
                <w:bCs w:val="1"/>
                <w:color w:val="2D64AF"/>
              </w:rPr>
              <w:t>Value or Payout</w:t>
            </w:r>
          </w:p>
        </w:tc>
      </w:tr>
      <w:tr>
        <w:trPr>
          <w:trHeight w:val="197"/>
        </w:trPr>
        <w:tc>
          <w:tcPr>
            <w:tcW w:w="2360" w:type="dxa"/>
            <w:vAlign w:val="bottom"/>
          </w:tcPr>
          <w:p>
            <w:pPr>
              <w:spacing w:after="0"/>
              <w:rPr>
                <w:sz w:val="17"/>
                <w:szCs w:val="17"/>
                <w:color w:val="auto"/>
              </w:rPr>
            </w:pPr>
          </w:p>
        </w:tc>
        <w:tc>
          <w:tcPr>
            <w:tcW w:w="1700" w:type="dxa"/>
            <w:vAlign w:val="bottom"/>
          </w:tcPr>
          <w:p>
            <w:pPr>
              <w:jc w:val="right"/>
              <w:ind w:right="124"/>
              <w:spacing w:after="0"/>
              <w:rPr>
                <w:sz w:val="20"/>
                <w:szCs w:val="20"/>
                <w:color w:val="auto"/>
              </w:rPr>
            </w:pPr>
            <w:r>
              <w:rPr>
                <w:rFonts w:ascii="Arial" w:cs="Arial" w:eastAsia="Arial" w:hAnsi="Arial"/>
                <w:sz w:val="15"/>
                <w:szCs w:val="15"/>
                <w:b w:val="1"/>
                <w:bCs w:val="1"/>
                <w:color w:val="2D64AF"/>
              </w:rPr>
              <w:t>Number of Shares</w:t>
            </w:r>
          </w:p>
        </w:tc>
        <w:tc>
          <w:tcPr>
            <w:tcW w:w="164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2D64AF"/>
              </w:rPr>
              <w:t>Market Value of</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Awards: Number of</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Value of Unearned</w:t>
            </w:r>
          </w:p>
        </w:tc>
      </w:tr>
      <w:tr>
        <w:trPr>
          <w:trHeight w:val="162"/>
        </w:trPr>
        <w:tc>
          <w:tcPr>
            <w:tcW w:w="2360" w:type="dxa"/>
            <w:vAlign w:val="bottom"/>
          </w:tcPr>
          <w:p>
            <w:pPr>
              <w:spacing w:after="0"/>
              <w:rPr>
                <w:sz w:val="14"/>
                <w:szCs w:val="14"/>
                <w:color w:val="auto"/>
              </w:rPr>
            </w:pPr>
          </w:p>
        </w:tc>
        <w:tc>
          <w:tcPr>
            <w:tcW w:w="170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D64AF"/>
              </w:rPr>
              <w:t>or Units of Stock</w:t>
            </w:r>
          </w:p>
        </w:tc>
        <w:tc>
          <w:tcPr>
            <w:tcW w:w="1640" w:type="dxa"/>
            <w:vAlign w:val="bottom"/>
            <w:gridSpan w:val="2"/>
          </w:tcPr>
          <w:p>
            <w:pPr>
              <w:jc w:val="right"/>
              <w:ind w:right="85"/>
              <w:spacing w:after="0" w:line="162" w:lineRule="exact"/>
              <w:rPr>
                <w:sz w:val="20"/>
                <w:szCs w:val="20"/>
                <w:color w:val="auto"/>
              </w:rPr>
            </w:pPr>
            <w:r>
              <w:rPr>
                <w:rFonts w:ascii="Arial" w:cs="Arial" w:eastAsia="Arial" w:hAnsi="Arial"/>
                <w:sz w:val="15"/>
                <w:szCs w:val="15"/>
                <w:b w:val="1"/>
                <w:bCs w:val="1"/>
                <w:color w:val="2D64AF"/>
              </w:rPr>
              <w:t>Shares or Units of</w:t>
            </w:r>
          </w:p>
        </w:tc>
        <w:tc>
          <w:tcPr>
            <w:tcW w:w="188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D64AF"/>
              </w:rPr>
              <w:t>Unearned Shares,</w:t>
            </w:r>
          </w:p>
        </w:tc>
        <w:tc>
          <w:tcPr>
            <w:tcW w:w="1520" w:type="dxa"/>
            <w:vAlign w:val="bottom"/>
            <w:gridSpan w:val="2"/>
          </w:tcPr>
          <w:p>
            <w:pPr>
              <w:jc w:val="center"/>
              <w:ind w:left="144"/>
              <w:spacing w:after="0" w:line="162" w:lineRule="exact"/>
              <w:rPr>
                <w:sz w:val="20"/>
                <w:szCs w:val="20"/>
                <w:color w:val="auto"/>
              </w:rPr>
            </w:pPr>
            <w:r>
              <w:rPr>
                <w:rFonts w:ascii="Arial" w:cs="Arial" w:eastAsia="Arial" w:hAnsi="Arial"/>
                <w:sz w:val="15"/>
                <w:szCs w:val="15"/>
                <w:b w:val="1"/>
                <w:bCs w:val="1"/>
                <w:color w:val="2D64AF"/>
              </w:rPr>
              <w:t>Shares, Units or</w:t>
            </w:r>
          </w:p>
        </w:tc>
      </w:tr>
      <w:tr>
        <w:trPr>
          <w:trHeight w:val="145"/>
        </w:trPr>
        <w:tc>
          <w:tcPr>
            <w:tcW w:w="2360" w:type="dxa"/>
            <w:vAlign w:val="bottom"/>
          </w:tcPr>
          <w:p>
            <w:pPr>
              <w:spacing w:after="0"/>
              <w:rPr>
                <w:sz w:val="12"/>
                <w:szCs w:val="12"/>
                <w:color w:val="auto"/>
              </w:rPr>
            </w:pPr>
          </w:p>
        </w:tc>
        <w:tc>
          <w:tcPr>
            <w:tcW w:w="1700" w:type="dxa"/>
            <w:vAlign w:val="bottom"/>
          </w:tcPr>
          <w:p>
            <w:pPr>
              <w:jc w:val="right"/>
              <w:ind w:right="124"/>
              <w:spacing w:after="0" w:line="145" w:lineRule="exact"/>
              <w:rPr>
                <w:sz w:val="20"/>
                <w:szCs w:val="20"/>
                <w:color w:val="auto"/>
              </w:rPr>
            </w:pPr>
            <w:r>
              <w:rPr>
                <w:rFonts w:ascii="Arial" w:cs="Arial" w:eastAsia="Arial" w:hAnsi="Arial"/>
                <w:sz w:val="15"/>
                <w:szCs w:val="15"/>
                <w:b w:val="1"/>
                <w:bCs w:val="1"/>
                <w:color w:val="2D64AF"/>
              </w:rPr>
              <w:t>That Have Not</w:t>
            </w:r>
          </w:p>
        </w:tc>
        <w:tc>
          <w:tcPr>
            <w:tcW w:w="1640" w:type="dxa"/>
            <w:vAlign w:val="bottom"/>
            <w:gridSpan w:val="2"/>
          </w:tcPr>
          <w:p>
            <w:pPr>
              <w:jc w:val="right"/>
              <w:ind w:right="125"/>
              <w:spacing w:after="0" w:line="145" w:lineRule="exact"/>
              <w:rPr>
                <w:sz w:val="20"/>
                <w:szCs w:val="20"/>
                <w:color w:val="auto"/>
              </w:rPr>
            </w:pPr>
            <w:r>
              <w:rPr>
                <w:rFonts w:ascii="Arial" w:cs="Arial" w:eastAsia="Arial" w:hAnsi="Arial"/>
                <w:sz w:val="15"/>
                <w:szCs w:val="15"/>
                <w:b w:val="1"/>
                <w:bCs w:val="1"/>
                <w:color w:val="2D64AF"/>
              </w:rPr>
              <w:t>Stock That Have</w:t>
            </w:r>
          </w:p>
        </w:tc>
        <w:tc>
          <w:tcPr>
            <w:tcW w:w="1880" w:type="dxa"/>
            <w:vAlign w:val="bottom"/>
          </w:tcPr>
          <w:p>
            <w:pPr>
              <w:jc w:val="right"/>
              <w:ind w:right="84"/>
              <w:spacing w:after="0" w:line="145" w:lineRule="exact"/>
              <w:rPr>
                <w:sz w:val="20"/>
                <w:szCs w:val="20"/>
                <w:color w:val="auto"/>
              </w:rPr>
            </w:pPr>
            <w:r>
              <w:rPr>
                <w:rFonts w:ascii="Arial" w:cs="Arial" w:eastAsia="Arial" w:hAnsi="Arial"/>
                <w:sz w:val="15"/>
                <w:szCs w:val="15"/>
                <w:b w:val="1"/>
                <w:bCs w:val="1"/>
                <w:color w:val="2D64AF"/>
              </w:rPr>
              <w:t>Units or Other Rights</w:t>
            </w:r>
          </w:p>
        </w:tc>
        <w:tc>
          <w:tcPr>
            <w:tcW w:w="1520" w:type="dxa"/>
            <w:vAlign w:val="bottom"/>
            <w:gridSpan w:val="2"/>
          </w:tcPr>
          <w:p>
            <w:pPr>
              <w:jc w:val="right"/>
              <w:spacing w:after="0" w:line="145" w:lineRule="exact"/>
              <w:rPr>
                <w:sz w:val="20"/>
                <w:szCs w:val="20"/>
                <w:color w:val="auto"/>
              </w:rPr>
            </w:pPr>
            <w:r>
              <w:rPr>
                <w:rFonts w:ascii="Arial" w:cs="Arial" w:eastAsia="Arial" w:hAnsi="Arial"/>
                <w:sz w:val="15"/>
                <w:szCs w:val="15"/>
                <w:b w:val="1"/>
                <w:bCs w:val="1"/>
                <w:color w:val="2D64AF"/>
              </w:rPr>
              <w:t>Other Rights That</w:t>
            </w:r>
          </w:p>
        </w:tc>
      </w:tr>
      <w:tr>
        <w:trPr>
          <w:trHeight w:val="179"/>
        </w:trPr>
        <w:tc>
          <w:tcPr>
            <w:tcW w:w="2360" w:type="dxa"/>
            <w:vAlign w:val="bottom"/>
          </w:tcPr>
          <w:p>
            <w:pPr>
              <w:spacing w:after="0"/>
              <w:rPr>
                <w:sz w:val="15"/>
                <w:szCs w:val="15"/>
                <w:color w:val="auto"/>
              </w:rPr>
            </w:pPr>
          </w:p>
        </w:tc>
        <w:tc>
          <w:tcPr>
            <w:tcW w:w="1700" w:type="dxa"/>
            <w:vAlign w:val="bottom"/>
          </w:tcPr>
          <w:p>
            <w:pPr>
              <w:jc w:val="right"/>
              <w:ind w:right="124"/>
              <w:spacing w:after="0"/>
              <w:rPr>
                <w:sz w:val="20"/>
                <w:szCs w:val="20"/>
                <w:color w:val="auto"/>
              </w:rPr>
            </w:pPr>
            <w:r>
              <w:rPr>
                <w:rFonts w:ascii="Arial" w:cs="Arial" w:eastAsia="Arial" w:hAnsi="Arial"/>
                <w:sz w:val="15"/>
                <w:szCs w:val="15"/>
                <w:b w:val="1"/>
                <w:bCs w:val="1"/>
                <w:color w:val="2D64AF"/>
              </w:rPr>
              <w:t>Vested</w:t>
            </w:r>
          </w:p>
        </w:tc>
        <w:tc>
          <w:tcPr>
            <w:tcW w:w="164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2D64AF"/>
              </w:rPr>
              <w:t>Not Vested</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That Have Not</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Have Not Vested</w:t>
            </w:r>
          </w:p>
        </w:tc>
      </w:tr>
      <w:tr>
        <w:trPr>
          <w:trHeight w:val="270"/>
        </w:trPr>
        <w:tc>
          <w:tcPr>
            <w:tcW w:w="236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Name</w:t>
            </w:r>
          </w:p>
        </w:tc>
        <w:tc>
          <w:tcPr>
            <w:tcW w:w="170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b w:val="1"/>
                <w:bCs w:val="1"/>
                <w:color w:val="2D64AF"/>
              </w:rPr>
              <w:t>(#)</w:t>
            </w:r>
          </w:p>
        </w:tc>
        <w:tc>
          <w:tcPr>
            <w:tcW w:w="800" w:type="dxa"/>
            <w:vAlign w:val="bottom"/>
            <w:tcBorders>
              <w:bottom w:val="single" w:sz="8" w:color="2D64AF"/>
            </w:tcBorders>
          </w:tcPr>
          <w:p>
            <w:pPr>
              <w:spacing w:after="0"/>
              <w:rPr>
                <w:sz w:val="23"/>
                <w:szCs w:val="23"/>
                <w:color w:val="auto"/>
              </w:rPr>
            </w:pPr>
          </w:p>
        </w:tc>
        <w:tc>
          <w:tcPr>
            <w:tcW w:w="840" w:type="dxa"/>
            <w:vAlign w:val="bottom"/>
            <w:tcBorders>
              <w:bottom w:val="single" w:sz="8" w:color="2D64AF"/>
            </w:tcBorders>
          </w:tcPr>
          <w:p>
            <w:pPr>
              <w:jc w:val="right"/>
              <w:ind w:right="85"/>
              <w:spacing w:after="0" w:line="269" w:lineRule="exact"/>
              <w:rPr>
                <w:sz w:val="20"/>
                <w:szCs w:val="20"/>
                <w:color w:val="auto"/>
              </w:rPr>
            </w:pPr>
            <w:r>
              <w:rPr>
                <w:rFonts w:ascii="Arial" w:cs="Arial" w:eastAsia="Arial" w:hAnsi="Arial"/>
                <w:sz w:val="30"/>
                <w:szCs w:val="30"/>
                <w:b w:val="1"/>
                <w:bCs w:val="1"/>
                <w:color w:val="2D64AF"/>
                <w:vertAlign w:val="subscript"/>
              </w:rPr>
              <w:t>($)</w:t>
            </w:r>
            <w:r>
              <w:rPr>
                <w:rFonts w:ascii="Arial" w:cs="Arial" w:eastAsia="Arial" w:hAnsi="Arial"/>
                <w:sz w:val="13"/>
                <w:szCs w:val="13"/>
                <w:b w:val="1"/>
                <w:bCs w:val="1"/>
                <w:color w:val="2D64AF"/>
              </w:rPr>
              <w:t>(1)</w:t>
            </w:r>
          </w:p>
        </w:tc>
        <w:tc>
          <w:tcPr>
            <w:tcW w:w="1880" w:type="dxa"/>
            <w:vAlign w:val="bottom"/>
            <w:tcBorders>
              <w:bottom w:val="single" w:sz="8" w:color="2D64AF"/>
            </w:tcBorders>
          </w:tcPr>
          <w:p>
            <w:pPr>
              <w:jc w:val="right"/>
              <w:ind w:right="84"/>
              <w:spacing w:after="0" w:line="270" w:lineRule="exact"/>
              <w:rPr>
                <w:sz w:val="20"/>
                <w:szCs w:val="20"/>
                <w:color w:val="auto"/>
              </w:rPr>
            </w:pPr>
            <w:r>
              <w:rPr>
                <w:rFonts w:ascii="Arial" w:cs="Arial" w:eastAsia="Arial" w:hAnsi="Arial"/>
                <w:sz w:val="15"/>
                <w:szCs w:val="15"/>
                <w:b w:val="1"/>
                <w:bCs w:val="1"/>
                <w:color w:val="2D64AF"/>
              </w:rPr>
              <w:t>Vested (#)</w:t>
            </w:r>
            <w:r>
              <w:rPr>
                <w:rFonts w:ascii="Arial" w:cs="Arial" w:eastAsia="Arial" w:hAnsi="Arial"/>
                <w:sz w:val="25"/>
                <w:szCs w:val="25"/>
                <w:b w:val="1"/>
                <w:bCs w:val="1"/>
                <w:color w:val="2D64AF"/>
                <w:vertAlign w:val="superscript"/>
              </w:rPr>
              <w:t>(2)</w:t>
            </w:r>
          </w:p>
        </w:tc>
        <w:tc>
          <w:tcPr>
            <w:tcW w:w="940" w:type="dxa"/>
            <w:vAlign w:val="bottom"/>
            <w:tcBorders>
              <w:bottom w:val="single" w:sz="8" w:color="2D64AF"/>
            </w:tcBorders>
          </w:tcPr>
          <w:p>
            <w:pPr>
              <w:spacing w:after="0"/>
              <w:rPr>
                <w:sz w:val="23"/>
                <w:szCs w:val="23"/>
                <w:color w:val="auto"/>
              </w:rPr>
            </w:pPr>
          </w:p>
        </w:tc>
        <w:tc>
          <w:tcPr>
            <w:tcW w:w="580" w:type="dxa"/>
            <w:vAlign w:val="bottom"/>
            <w:tcBorders>
              <w:bottom w:val="single" w:sz="8" w:color="2D64AF"/>
            </w:tcBorders>
          </w:tcPr>
          <w:p>
            <w:pPr>
              <w:jc w:val="right"/>
              <w:spacing w:after="0" w:line="269" w:lineRule="exact"/>
              <w:rPr>
                <w:sz w:val="20"/>
                <w:szCs w:val="20"/>
                <w:color w:val="auto"/>
              </w:rPr>
            </w:pPr>
            <w:r>
              <w:rPr>
                <w:rFonts w:ascii="Arial" w:cs="Arial" w:eastAsia="Arial" w:hAnsi="Arial"/>
                <w:sz w:val="30"/>
                <w:szCs w:val="30"/>
                <w:b w:val="1"/>
                <w:bCs w:val="1"/>
                <w:color w:val="2D64AF"/>
                <w:vertAlign w:val="subscript"/>
              </w:rPr>
              <w:t>($)</w:t>
            </w:r>
            <w:r>
              <w:rPr>
                <w:rFonts w:ascii="Arial" w:cs="Arial" w:eastAsia="Arial" w:hAnsi="Arial"/>
                <w:sz w:val="13"/>
                <w:szCs w:val="13"/>
                <w:b w:val="1"/>
                <w:bCs w:val="1"/>
                <w:color w:val="2D64AF"/>
              </w:rPr>
              <w:t>(1)</w:t>
            </w: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Richard S. Warzala</w:t>
            </w: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140,237</w:t>
            </w:r>
            <w:r>
              <w:rPr>
                <w:rFonts w:ascii="Arial" w:cs="Arial" w:eastAsia="Arial" w:hAnsi="Arial"/>
                <w:sz w:val="25"/>
                <w:szCs w:val="25"/>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8"/>
              </w:rPr>
              <w:t>4,881,650</w:t>
            </w:r>
          </w:p>
        </w:tc>
        <w:tc>
          <w:tcPr>
            <w:tcW w:w="1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14,176</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493,467</w:t>
            </w: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Michael R. Leach</w:t>
            </w: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23,048</w:t>
            </w:r>
            <w:r>
              <w:rPr>
                <w:rFonts w:ascii="Arial" w:cs="Arial" w:eastAsia="Arial" w:hAnsi="Arial"/>
                <w:sz w:val="25"/>
                <w:szCs w:val="25"/>
                <w:color w:val="auto"/>
                <w:vertAlign w:val="superscript"/>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802,301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2,389</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83,161</w:t>
            </w: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Robert P. Maida</w:t>
            </w: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19,381</w:t>
            </w:r>
            <w:r>
              <w:rPr>
                <w:rFonts w:ascii="Arial" w:cs="Arial" w:eastAsia="Arial" w:hAnsi="Arial"/>
                <w:sz w:val="25"/>
                <w:szCs w:val="25"/>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674,653</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2,192</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76,304</w:t>
            </w: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Ashish R. Bendre</w:t>
            </w: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4,018</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139,867</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825</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28,718</w:t>
            </w:r>
          </w:p>
        </w:tc>
      </w:tr>
      <w:tr>
        <w:trPr>
          <w:trHeight w:val="311"/>
        </w:trPr>
        <w:tc>
          <w:tcPr>
            <w:tcW w:w="236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Helmut D. Pirthauer</w:t>
            </w:r>
          </w:p>
        </w:tc>
        <w:tc>
          <w:tcPr>
            <w:tcW w:w="170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5,332</w:t>
            </w:r>
            <w:r>
              <w:rPr>
                <w:rFonts w:ascii="Arial" w:cs="Arial" w:eastAsia="Arial" w:hAnsi="Arial"/>
                <w:sz w:val="25"/>
                <w:szCs w:val="25"/>
                <w:color w:val="auto"/>
                <w:vertAlign w:val="superscript"/>
              </w:rPr>
              <w:t>(7)</w:t>
            </w:r>
          </w:p>
        </w:tc>
        <w:tc>
          <w:tcPr>
            <w:tcW w:w="8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D64AF"/>
            </w:tcBorders>
          </w:tcPr>
          <w:p>
            <w:pPr>
              <w:jc w:val="right"/>
              <w:ind w:right="105"/>
              <w:spacing w:after="0"/>
              <w:rPr>
                <w:sz w:val="20"/>
                <w:szCs w:val="20"/>
                <w:color w:val="auto"/>
              </w:rPr>
            </w:pPr>
            <w:r>
              <w:rPr>
                <w:rFonts w:ascii="Arial" w:cs="Arial" w:eastAsia="Arial" w:hAnsi="Arial"/>
                <w:sz w:val="15"/>
                <w:szCs w:val="15"/>
                <w:color w:val="auto"/>
              </w:rPr>
              <w:t>185,607</w:t>
            </w:r>
          </w:p>
        </w:tc>
        <w:tc>
          <w:tcPr>
            <w:tcW w:w="188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D64AF"/>
            </w:tcBorders>
          </w:tcPr>
          <w:p>
            <w:pPr>
              <w:spacing w:after="0"/>
              <w:rPr>
                <w:sz w:val="24"/>
                <w:szCs w:val="24"/>
                <w:color w:val="auto"/>
              </w:rPr>
            </w:pPr>
          </w:p>
        </w:tc>
        <w:tc>
          <w:tcPr>
            <w:tcW w:w="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r>
    </w:tbl>
    <w:p>
      <w:pPr>
        <w:spacing w:after="0" w:line="148" w:lineRule="exact"/>
        <w:rPr>
          <w:sz w:val="20"/>
          <w:szCs w:val="20"/>
          <w:color w:val="auto"/>
        </w:rPr>
      </w:pPr>
    </w:p>
    <w:p>
      <w:pPr>
        <w:ind w:left="360" w:hanging="358"/>
        <w:spacing w:after="0"/>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Value is based on the closing price of the Company’s common stock of $34.81 on December 31, 2022, as reported on the Nasdaq Global Market.</w:t>
      </w:r>
    </w:p>
    <w:p>
      <w:pPr>
        <w:spacing w:after="0" w:line="53" w:lineRule="exact"/>
        <w:rPr>
          <w:rFonts w:ascii="Arial" w:cs="Arial" w:eastAsia="Arial" w:hAnsi="Arial"/>
          <w:sz w:val="13"/>
          <w:szCs w:val="13"/>
          <w:color w:val="auto"/>
        </w:rPr>
      </w:pPr>
    </w:p>
    <w:p>
      <w:pPr>
        <w:jc w:val="both"/>
        <w:ind w:left="360" w:right="260" w:hanging="358"/>
        <w:spacing w:after="0" w:line="24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shares of restricted stock granted in 2022 that are subject to future performance goals under the Company’s Performance Share Plan. These shares were earned based on achievement of performance goals for 2022 and the earned award vested one-third on April 1, 2023 with the remainder vesting one-third in each of 2024 and 2025, subject to continued employment.</w:t>
      </w:r>
    </w:p>
    <w:p>
      <w:pPr>
        <w:spacing w:after="0" w:line="36" w:lineRule="exact"/>
        <w:rPr>
          <w:rFonts w:ascii="Arial" w:cs="Arial" w:eastAsia="Arial" w:hAnsi="Arial"/>
          <w:sz w:val="13"/>
          <w:szCs w:val="13"/>
          <w:color w:val="auto"/>
        </w:rPr>
      </w:pPr>
    </w:p>
    <w:p>
      <w:pPr>
        <w:ind w:left="360" w:right="360" w:hanging="358"/>
        <w:spacing w:after="0" w:line="24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65,123 shares vest in 2023; 45,488 shares vest in 2024; 20,950 shares vest in 2025; and 8,675 vest in 2026, in each case subject to continued employment.</w:t>
      </w:r>
    </w:p>
    <w:p>
      <w:pPr>
        <w:spacing w:after="0" w:line="36" w:lineRule="exact"/>
        <w:rPr>
          <w:rFonts w:ascii="Arial" w:cs="Arial" w:eastAsia="Arial" w:hAnsi="Arial"/>
          <w:sz w:val="13"/>
          <w:szCs w:val="13"/>
          <w:color w:val="auto"/>
        </w:rPr>
      </w:pPr>
    </w:p>
    <w:p>
      <w:pPr>
        <w:ind w:left="360" w:right="360" w:hanging="358"/>
        <w:spacing w:after="0" w:line="24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11,812 shares vest in 2023; 7,004 shares vest in 2024; 3,031 shares vest in 2025; and 1,200 vest in 2026, in each case subject to continued employment.</w:t>
      </w:r>
    </w:p>
    <w:p>
      <w:pPr>
        <w:spacing w:after="0" w:line="36" w:lineRule="exact"/>
        <w:rPr>
          <w:rFonts w:ascii="Arial" w:cs="Arial" w:eastAsia="Arial" w:hAnsi="Arial"/>
          <w:sz w:val="13"/>
          <w:szCs w:val="13"/>
          <w:color w:val="auto"/>
        </w:rPr>
      </w:pPr>
    </w:p>
    <w:p>
      <w:pPr>
        <w:jc w:val="both"/>
        <w:ind w:left="360" w:right="460" w:hanging="358"/>
        <w:spacing w:after="0" w:line="24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10,111 shares vest in 2023; 5,781 shares vest in 2024; 2,515 shares vest in 2025; and 975 vest in 2026, in each case subject to continued employment.</w:t>
      </w:r>
    </w:p>
    <w:p>
      <w:pPr>
        <w:spacing w:after="0" w:line="36" w:lineRule="exact"/>
        <w:rPr>
          <w:rFonts w:ascii="Arial" w:cs="Arial" w:eastAsia="Arial" w:hAnsi="Arial"/>
          <w:sz w:val="13"/>
          <w:szCs w:val="13"/>
          <w:color w:val="auto"/>
        </w:rPr>
      </w:pPr>
    </w:p>
    <w:p>
      <w:pPr>
        <w:ind w:left="360" w:right="300" w:hanging="358"/>
        <w:spacing w:after="0" w:line="25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2,445 shares vest in 2023; 1,098 shares vest in 2024; and 475 shares vest in 2025, in each case subject to continued employment.</w:t>
      </w:r>
    </w:p>
    <w:p>
      <w:pPr>
        <w:spacing w:after="0" w:line="29" w:lineRule="exact"/>
        <w:rPr>
          <w:rFonts w:ascii="Arial" w:cs="Arial" w:eastAsia="Arial" w:hAnsi="Arial"/>
          <w:sz w:val="13"/>
          <w:szCs w:val="13"/>
          <w:color w:val="auto"/>
        </w:rPr>
      </w:pPr>
    </w:p>
    <w:p>
      <w:pPr>
        <w:ind w:left="360" w:right="920" w:hanging="358"/>
        <w:spacing w:after="0" w:line="258" w:lineRule="auto"/>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Of these shares, 3,274 shares vest in 2023; 1,386 shares vest in 2024; and 672 shares vest in 2024, in each case subject to continued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Option Exercises and Stock Vested in 2022</w:t>
      </w:r>
    </w:p>
    <w:p>
      <w:pPr>
        <w:spacing w:after="0" w:line="150"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following table provides information regarding restricted stock awards that vested during 2022 for each of the Named Officers. No options were owned or exercised by the Named Officers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5777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5320" w:type="dxa"/>
            <w:vAlign w:val="bottom"/>
            <w:gridSpan w:val="2"/>
          </w:tcPr>
          <w:p>
            <w:pPr>
              <w:jc w:val="right"/>
              <w:ind w:right="924"/>
              <w:spacing w:after="0"/>
              <w:rPr>
                <w:sz w:val="20"/>
                <w:szCs w:val="20"/>
                <w:color w:val="auto"/>
              </w:rPr>
            </w:pPr>
            <w:r>
              <w:rPr>
                <w:rFonts w:ascii="Arial" w:cs="Arial" w:eastAsia="Arial" w:hAnsi="Arial"/>
                <w:sz w:val="15"/>
                <w:szCs w:val="15"/>
                <w:b w:val="1"/>
                <w:bCs w:val="1"/>
                <w:color w:val="2D64AF"/>
              </w:rPr>
              <w:t>Stock Awards</w:t>
            </w:r>
          </w:p>
        </w:tc>
        <w:tc>
          <w:tcPr>
            <w:tcW w:w="660" w:type="dxa"/>
            <w:vAlign w:val="bottom"/>
          </w:tcPr>
          <w:p>
            <w:pPr>
              <w:spacing w:after="0"/>
              <w:rPr>
                <w:sz w:val="17"/>
                <w:szCs w:val="17"/>
                <w:color w:val="auto"/>
              </w:rPr>
            </w:pPr>
          </w:p>
        </w:tc>
      </w:tr>
      <w:tr>
        <w:trPr>
          <w:trHeight w:val="62"/>
        </w:trPr>
        <w:tc>
          <w:tcPr>
            <w:tcW w:w="3120" w:type="dxa"/>
            <w:vAlign w:val="bottom"/>
            <w:tcBorders>
              <w:bottom w:val="single" w:sz="8" w:color="2D64AF"/>
            </w:tcBorders>
          </w:tcPr>
          <w:p>
            <w:pPr>
              <w:spacing w:after="0"/>
              <w:rPr>
                <w:sz w:val="5"/>
                <w:szCs w:val="5"/>
                <w:color w:val="auto"/>
              </w:rPr>
            </w:pPr>
          </w:p>
        </w:tc>
        <w:tc>
          <w:tcPr>
            <w:tcW w:w="3620" w:type="dxa"/>
            <w:vAlign w:val="bottom"/>
            <w:tcBorders>
              <w:bottom w:val="single" w:sz="8" w:color="2D64AF"/>
            </w:tcBorders>
          </w:tcPr>
          <w:p>
            <w:pPr>
              <w:spacing w:after="0"/>
              <w:rPr>
                <w:sz w:val="5"/>
                <w:szCs w:val="5"/>
                <w:color w:val="auto"/>
              </w:rPr>
            </w:pPr>
          </w:p>
        </w:tc>
        <w:tc>
          <w:tcPr>
            <w:tcW w:w="1700" w:type="dxa"/>
            <w:vAlign w:val="bottom"/>
            <w:tcBorders>
              <w:bottom w:val="single" w:sz="8" w:color="2D64AF"/>
            </w:tcBorders>
          </w:tcPr>
          <w:p>
            <w:pPr>
              <w:spacing w:after="0"/>
              <w:rPr>
                <w:sz w:val="5"/>
                <w:szCs w:val="5"/>
                <w:color w:val="auto"/>
              </w:rPr>
            </w:pPr>
          </w:p>
        </w:tc>
        <w:tc>
          <w:tcPr>
            <w:tcW w:w="660" w:type="dxa"/>
            <w:vAlign w:val="bottom"/>
            <w:tcBorders>
              <w:bottom w:val="single" w:sz="8" w:color="2D64AF"/>
            </w:tcBorders>
          </w:tcPr>
          <w:p>
            <w:pPr>
              <w:spacing w:after="0"/>
              <w:rPr>
                <w:sz w:val="5"/>
                <w:szCs w:val="5"/>
                <w:color w:val="auto"/>
              </w:rPr>
            </w:pPr>
          </w:p>
        </w:tc>
      </w:tr>
      <w:tr>
        <w:trPr>
          <w:trHeight w:val="215"/>
        </w:trPr>
        <w:tc>
          <w:tcPr>
            <w:tcW w:w="3120" w:type="dxa"/>
            <w:vAlign w:val="bottom"/>
          </w:tcPr>
          <w:p>
            <w:pPr>
              <w:spacing w:after="0"/>
              <w:rPr>
                <w:sz w:val="18"/>
                <w:szCs w:val="18"/>
                <w:color w:val="auto"/>
              </w:rPr>
            </w:pPr>
          </w:p>
        </w:tc>
        <w:tc>
          <w:tcPr>
            <w:tcW w:w="3620" w:type="dxa"/>
            <w:vAlign w:val="bottom"/>
          </w:tcPr>
          <w:p>
            <w:pPr>
              <w:jc w:val="right"/>
              <w:ind w:right="184"/>
              <w:spacing w:after="0"/>
              <w:rPr>
                <w:sz w:val="20"/>
                <w:szCs w:val="20"/>
                <w:color w:val="auto"/>
              </w:rPr>
            </w:pPr>
            <w:r>
              <w:rPr>
                <w:rFonts w:ascii="Arial" w:cs="Arial" w:eastAsia="Arial" w:hAnsi="Arial"/>
                <w:sz w:val="15"/>
                <w:szCs w:val="15"/>
                <w:b w:val="1"/>
                <w:bCs w:val="1"/>
                <w:color w:val="2D64AF"/>
              </w:rPr>
              <w:t>Number of Shares</w:t>
            </w: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2"/>
        </w:trPr>
        <w:tc>
          <w:tcPr>
            <w:tcW w:w="3120" w:type="dxa"/>
            <w:vAlign w:val="bottom"/>
          </w:tcPr>
          <w:p>
            <w:pPr>
              <w:ind w:left="60"/>
              <w:spacing w:after="0"/>
              <w:rPr>
                <w:sz w:val="20"/>
                <w:szCs w:val="20"/>
                <w:color w:val="auto"/>
              </w:rPr>
            </w:pPr>
            <w:r>
              <w:rPr>
                <w:rFonts w:ascii="Arial" w:cs="Arial" w:eastAsia="Arial" w:hAnsi="Arial"/>
                <w:sz w:val="15"/>
                <w:szCs w:val="15"/>
                <w:b w:val="1"/>
                <w:bCs w:val="1"/>
                <w:color w:val="2D64AF"/>
              </w:rPr>
              <w:t>Name</w:t>
            </w:r>
          </w:p>
        </w:tc>
        <w:tc>
          <w:tcPr>
            <w:tcW w:w="3620" w:type="dxa"/>
            <w:vAlign w:val="bottom"/>
          </w:tcPr>
          <w:p>
            <w:pPr>
              <w:jc w:val="right"/>
              <w:ind w:right="144"/>
              <w:spacing w:after="0"/>
              <w:rPr>
                <w:sz w:val="20"/>
                <w:szCs w:val="20"/>
                <w:color w:val="auto"/>
              </w:rPr>
            </w:pPr>
            <w:r>
              <w:rPr>
                <w:rFonts w:ascii="Arial" w:cs="Arial" w:eastAsia="Arial" w:hAnsi="Arial"/>
                <w:sz w:val="15"/>
                <w:szCs w:val="15"/>
                <w:b w:val="1"/>
                <w:bCs w:val="1"/>
                <w:color w:val="2D64AF"/>
              </w:rPr>
              <w:t>Acquired on Vesting (#)</w:t>
            </w:r>
          </w:p>
        </w:tc>
        <w:tc>
          <w:tcPr>
            <w:tcW w:w="2360" w:type="dxa"/>
            <w:vAlign w:val="bottom"/>
            <w:gridSpan w:val="2"/>
          </w:tcPr>
          <w:p>
            <w:pPr>
              <w:jc w:val="right"/>
              <w:spacing w:after="0"/>
              <w:rPr>
                <w:sz w:val="20"/>
                <w:szCs w:val="20"/>
                <w:color w:val="auto"/>
              </w:rPr>
            </w:pPr>
            <w:r>
              <w:rPr>
                <w:rFonts w:ascii="Arial" w:cs="Arial" w:eastAsia="Arial" w:hAnsi="Arial"/>
                <w:sz w:val="15"/>
                <w:szCs w:val="15"/>
                <w:b w:val="1"/>
                <w:bCs w:val="1"/>
                <w:color w:val="2D64AF"/>
              </w:rPr>
              <w:t>Value Realized on Vesting ($)</w:t>
            </w:r>
          </w:p>
        </w:tc>
      </w:tr>
      <w:tr>
        <w:trPr>
          <w:trHeight w:val="62"/>
        </w:trPr>
        <w:tc>
          <w:tcPr>
            <w:tcW w:w="3120" w:type="dxa"/>
            <w:vAlign w:val="bottom"/>
            <w:tcBorders>
              <w:bottom w:val="single" w:sz="8" w:color="2D64AF"/>
            </w:tcBorders>
          </w:tcPr>
          <w:p>
            <w:pPr>
              <w:spacing w:after="0"/>
              <w:rPr>
                <w:sz w:val="5"/>
                <w:szCs w:val="5"/>
                <w:color w:val="auto"/>
              </w:rPr>
            </w:pPr>
          </w:p>
        </w:tc>
        <w:tc>
          <w:tcPr>
            <w:tcW w:w="3620" w:type="dxa"/>
            <w:vAlign w:val="bottom"/>
            <w:tcBorders>
              <w:bottom w:val="single" w:sz="8" w:color="2D64AF"/>
            </w:tcBorders>
          </w:tcPr>
          <w:p>
            <w:pPr>
              <w:spacing w:after="0"/>
              <w:rPr>
                <w:sz w:val="5"/>
                <w:szCs w:val="5"/>
                <w:color w:val="auto"/>
              </w:rPr>
            </w:pPr>
          </w:p>
        </w:tc>
        <w:tc>
          <w:tcPr>
            <w:tcW w:w="2360" w:type="dxa"/>
            <w:vAlign w:val="bottom"/>
            <w:tcBorders>
              <w:bottom w:val="single" w:sz="8" w:color="2D64AF"/>
            </w:tcBorders>
            <w:gridSpan w:val="2"/>
          </w:tcPr>
          <w:p>
            <w:pPr>
              <w:spacing w:after="0"/>
              <w:rPr>
                <w:sz w:val="5"/>
                <w:szCs w:val="5"/>
                <w:color w:val="auto"/>
              </w:rPr>
            </w:pPr>
          </w:p>
        </w:tc>
      </w:tr>
      <w:tr>
        <w:trPr>
          <w:trHeight w:val="255"/>
        </w:trPr>
        <w:tc>
          <w:tcPr>
            <w:tcW w:w="312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3620" w:type="dxa"/>
            <w:vAlign w:val="bottom"/>
          </w:tcPr>
          <w:p>
            <w:pPr>
              <w:jc w:val="right"/>
              <w:ind w:right="164"/>
              <w:spacing w:after="0"/>
              <w:rPr>
                <w:sz w:val="20"/>
                <w:szCs w:val="20"/>
                <w:color w:val="auto"/>
              </w:rPr>
            </w:pPr>
            <w:r>
              <w:rPr>
                <w:rFonts w:ascii="Arial" w:cs="Arial" w:eastAsia="Arial" w:hAnsi="Arial"/>
                <w:sz w:val="15"/>
                <w:szCs w:val="15"/>
                <w:color w:val="auto"/>
              </w:rPr>
              <w:t>71,808</w:t>
            </w:r>
          </w:p>
        </w:tc>
        <w:tc>
          <w:tcPr>
            <w:tcW w:w="2360" w:type="dxa"/>
            <w:vAlign w:val="bottom"/>
            <w:gridSpan w:val="2"/>
          </w:tcPr>
          <w:p>
            <w:pPr>
              <w:jc w:val="right"/>
              <w:spacing w:after="0"/>
              <w:rPr>
                <w:sz w:val="20"/>
                <w:szCs w:val="20"/>
                <w:color w:val="auto"/>
              </w:rPr>
            </w:pPr>
            <w:r>
              <w:rPr>
                <w:rFonts w:ascii="Arial" w:cs="Arial" w:eastAsia="Arial" w:hAnsi="Arial"/>
                <w:sz w:val="15"/>
                <w:szCs w:val="15"/>
                <w:color w:val="auto"/>
              </w:rPr>
              <w:t>$2,269,518</w:t>
            </w:r>
          </w:p>
        </w:tc>
      </w:tr>
      <w:tr>
        <w:trPr>
          <w:trHeight w:val="62"/>
        </w:trPr>
        <w:tc>
          <w:tcPr>
            <w:tcW w:w="312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55"/>
        </w:trPr>
        <w:tc>
          <w:tcPr>
            <w:tcW w:w="312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3620" w:type="dxa"/>
            <w:vAlign w:val="bottom"/>
          </w:tcPr>
          <w:p>
            <w:pPr>
              <w:jc w:val="right"/>
              <w:ind w:right="164"/>
              <w:spacing w:after="0"/>
              <w:rPr>
                <w:sz w:val="20"/>
                <w:szCs w:val="20"/>
                <w:color w:val="auto"/>
              </w:rPr>
            </w:pPr>
            <w:r>
              <w:rPr>
                <w:rFonts w:ascii="Arial" w:cs="Arial" w:eastAsia="Arial" w:hAnsi="Arial"/>
                <w:sz w:val="15"/>
                <w:szCs w:val="15"/>
                <w:color w:val="auto"/>
              </w:rPr>
              <w:t>13,384</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419,141</w:t>
            </w:r>
          </w:p>
        </w:tc>
      </w:tr>
      <w:tr>
        <w:trPr>
          <w:trHeight w:val="62"/>
        </w:trPr>
        <w:tc>
          <w:tcPr>
            <w:tcW w:w="312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56"/>
        </w:trPr>
        <w:tc>
          <w:tcPr>
            <w:tcW w:w="312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3620" w:type="dxa"/>
            <w:vAlign w:val="bottom"/>
          </w:tcPr>
          <w:p>
            <w:pPr>
              <w:jc w:val="right"/>
              <w:ind w:right="164"/>
              <w:spacing w:after="0"/>
              <w:rPr>
                <w:sz w:val="20"/>
                <w:szCs w:val="20"/>
                <w:color w:val="auto"/>
              </w:rPr>
            </w:pPr>
            <w:r>
              <w:rPr>
                <w:rFonts w:ascii="Arial" w:cs="Arial" w:eastAsia="Arial" w:hAnsi="Arial"/>
                <w:sz w:val="15"/>
                <w:szCs w:val="15"/>
                <w:color w:val="auto"/>
              </w:rPr>
              <w:t>11,345</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354,998</w:t>
            </w:r>
          </w:p>
        </w:tc>
      </w:tr>
      <w:tr>
        <w:trPr>
          <w:trHeight w:val="62"/>
        </w:trPr>
        <w:tc>
          <w:tcPr>
            <w:tcW w:w="312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56"/>
        </w:trPr>
        <w:tc>
          <w:tcPr>
            <w:tcW w:w="312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3620" w:type="dxa"/>
            <w:vAlign w:val="bottom"/>
          </w:tcPr>
          <w:p>
            <w:pPr>
              <w:jc w:val="right"/>
              <w:ind w:right="164"/>
              <w:spacing w:after="0"/>
              <w:rPr>
                <w:sz w:val="20"/>
                <w:szCs w:val="20"/>
                <w:color w:val="auto"/>
              </w:rPr>
            </w:pPr>
            <w:r>
              <w:rPr>
                <w:rFonts w:ascii="Arial" w:cs="Arial" w:eastAsia="Arial" w:hAnsi="Arial"/>
                <w:sz w:val="15"/>
                <w:szCs w:val="15"/>
                <w:color w:val="auto"/>
              </w:rPr>
              <w:t>2,438</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76,575</w:t>
            </w:r>
          </w:p>
        </w:tc>
      </w:tr>
      <w:tr>
        <w:trPr>
          <w:trHeight w:val="62"/>
        </w:trPr>
        <w:tc>
          <w:tcPr>
            <w:tcW w:w="312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71"/>
        </w:trPr>
        <w:tc>
          <w:tcPr>
            <w:tcW w:w="312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Helmut D. Pirthauer</w:t>
            </w:r>
          </w:p>
        </w:tc>
        <w:tc>
          <w:tcPr>
            <w:tcW w:w="3620" w:type="dxa"/>
            <w:vAlign w:val="bottom"/>
            <w:tcBorders>
              <w:bottom w:val="single" w:sz="8" w:color="2D64AF"/>
            </w:tcBorders>
          </w:tcPr>
          <w:p>
            <w:pPr>
              <w:jc w:val="right"/>
              <w:ind w:right="164"/>
              <w:spacing w:after="0"/>
              <w:rPr>
                <w:sz w:val="20"/>
                <w:szCs w:val="20"/>
                <w:color w:val="auto"/>
              </w:rPr>
            </w:pPr>
            <w:r>
              <w:rPr>
                <w:rFonts w:ascii="Arial" w:cs="Arial" w:eastAsia="Arial" w:hAnsi="Arial"/>
                <w:sz w:val="15"/>
                <w:szCs w:val="15"/>
                <w:color w:val="auto"/>
              </w:rPr>
              <w:t>3,268</w:t>
            </w:r>
          </w:p>
        </w:tc>
        <w:tc>
          <w:tcPr>
            <w:tcW w:w="1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100,485</w:t>
            </w:r>
          </w:p>
        </w:tc>
      </w:tr>
    </w:tbl>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2D64AF"/>
        </w:rPr>
        <w:t>Compensation of Named Executive Officers</w:t>
      </w:r>
    </w:p>
    <w:p>
      <w:pPr>
        <w:spacing w:after="0" w:line="39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Pay Ratio Disclosure</w:t>
      </w:r>
    </w:p>
    <w:p>
      <w:pPr>
        <w:spacing w:after="0" w:line="150"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Allied Motion and its subsidiaries have approximately 2,254 employees worldwide, with approximately 57% in North America and 33% are located in Europe and the balance are located in Asia-Pacific. Our philosophy is to pay our employees competitively with similar positions in the applicable labor market. By doing so, we believe we maintain a high-quality, stable workforce.</w:t>
      </w:r>
    </w:p>
    <w:p>
      <w:pPr>
        <w:spacing w:after="0" w:line="100"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95" w:lineRule="exact"/>
        <w:rPr>
          <w:sz w:val="20"/>
          <w:szCs w:val="20"/>
          <w:color w:val="auto"/>
        </w:rPr>
      </w:pPr>
    </w:p>
    <w:p>
      <w:pPr>
        <w:ind w:left="220" w:right="40"/>
        <w:spacing w:after="0" w:line="247" w:lineRule="auto"/>
        <w:rPr>
          <w:sz w:val="20"/>
          <w:szCs w:val="20"/>
          <w:color w:val="auto"/>
        </w:rPr>
      </w:pPr>
      <w:r>
        <w:rPr>
          <w:rFonts w:ascii="Arial" w:cs="Arial" w:eastAsia="Arial" w:hAnsi="Arial"/>
          <w:sz w:val="16"/>
          <w:szCs w:val="16"/>
          <w:color w:val="auto"/>
        </w:rPr>
        <w:t>Our median-compensated employee was originally identified in fiscal 2020. We identified the employee with compensation at the median of all employees by using taxable income for 2020 and applied this method consistently across our global employee population. We did not make any cost-of-living adjustments despite the large variety of labor markets in which our employees work, nor did we use any statistical sampling to determine the median employee. In 2021, the prior year’s median employee terminated employment. Therefore, as allowed by the SEC, we identified an alternate median employee with comparable pay as the median employee for 2021. For 2022, we determined that there were</w:t>
      </w:r>
    </w:p>
    <w:p>
      <w:pPr>
        <w:spacing w:after="0" w:line="258" w:lineRule="exact"/>
        <w:rPr>
          <w:sz w:val="20"/>
          <w:szCs w:val="20"/>
          <w:color w:val="auto"/>
        </w:rPr>
      </w:pPr>
    </w:p>
    <w:p>
      <w:pPr>
        <w:ind w:left="220" w:hanging="214"/>
        <w:spacing w:after="0"/>
        <w:tabs>
          <w:tab w:leader="none" w:pos="220" w:val="left"/>
        </w:tabs>
        <w:numPr>
          <w:ilvl w:val="0"/>
          <w:numId w:val="47"/>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no material changes to the Company’s employee population or compensation arrangements reasonably likely to result in a change in the ratio.</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2022, our active workforce does not include approximately 185 employees which we acquired in separate transactions involving the acquisition of (i) ThinGap, Inc. on May 24, 2022, (ii) FPH Group on May 30, 2022, and (iii) Airex, LLC on June 17, 2022. Pursuant to SEC rules, these employees will be included for our next pay ratio disclosure but were not included in this year’s calculation.</w:t>
      </w:r>
    </w:p>
    <w:p>
      <w:pPr>
        <w:spacing w:after="0" w:line="10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This median employee had a total compensation for 2022 of $47,024. Our Chief Executive Officers’ total 2022 compensation was $4,663,141 as reported in the summary compensation table. Based on this information, the ratio of the annual total compensation was 100:1.</w:t>
      </w:r>
    </w:p>
    <w:p>
      <w:pPr>
        <w:spacing w:after="0" w:line="9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ectPr>
          <w:pgSz w:w="11900" w:h="16838" w:orient="portrait"/>
          <w:cols w:equalWidth="0" w:num="2">
            <w:col w:w="4640" w:space="240"/>
            <w:col w:w="4440"/>
          </w:cols>
          <w:pgMar w:left="1280" w:top="265" w:right="1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25"/>
          <w:szCs w:val="25"/>
          <w:b w:val="1"/>
          <w:bCs w:val="1"/>
          <w:color w:val="2D64AF"/>
        </w:rPr>
        <w:t>Pay Versus Performance Disclosure</w:t>
      </w:r>
    </w:p>
    <w:p>
      <w:pPr>
        <w:spacing w:after="0" w:line="150" w:lineRule="exact"/>
        <w:rPr>
          <w:sz w:val="20"/>
          <w:szCs w:val="20"/>
          <w:color w:val="auto"/>
        </w:rPr>
      </w:pPr>
    </w:p>
    <w:p>
      <w:pPr>
        <w:ind w:left="1060" w:right="320"/>
        <w:spacing w:after="0" w:line="251" w:lineRule="auto"/>
        <w:rPr>
          <w:sz w:val="20"/>
          <w:szCs w:val="20"/>
          <w:color w:val="auto"/>
        </w:rPr>
      </w:pPr>
      <w:r>
        <w:rPr>
          <w:rFonts w:ascii="Arial" w:cs="Arial" w:eastAsia="Arial" w:hAnsi="Arial"/>
          <w:sz w:val="16"/>
          <w:szCs w:val="16"/>
          <w:color w:val="auto"/>
        </w:rPr>
        <w:t>The following table and supporting graphics present information relating to executive compensation and financial performance measures for the fiscal years ended December 31, 2022, 2021, 2020, 2019, and 2018, in satisfaction of Item 402(v) of Regulation S-K. Please see the Compensation Discussion &amp; Analysis for an overview of Allied Motion’s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41275</wp:posOffset>
            </wp:positionV>
            <wp:extent cx="60350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4"/>
          </w:tcPr>
          <w:p>
            <w:pPr>
              <w:spacing w:after="0"/>
              <w:rPr>
                <w:sz w:val="20"/>
                <w:szCs w:val="20"/>
                <w:color w:val="auto"/>
              </w:rPr>
            </w:pPr>
            <w:r>
              <w:rPr>
                <w:rFonts w:ascii="Arial" w:cs="Arial" w:eastAsia="Arial" w:hAnsi="Arial"/>
                <w:sz w:val="7"/>
                <w:szCs w:val="7"/>
                <w:color w:val="000000"/>
                <w:w w:val="92"/>
                <w:vertAlign w:val="subscript"/>
              </w:rPr>
              <w:t>​</w:t>
            </w:r>
            <w:r>
              <w:rPr>
                <w:rFonts w:ascii="Arial" w:cs="Arial" w:eastAsia="Arial" w:hAnsi="Arial"/>
                <w:sz w:val="12"/>
                <w:szCs w:val="12"/>
                <w:b w:val="1"/>
                <w:bCs w:val="1"/>
                <w:color w:val="2D64AF"/>
                <w:w w:val="92"/>
              </w:rPr>
              <w:t xml:space="preserve">    Value of Initial Fixed $100</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2D64AF"/>
              </w:rPr>
              <w:t>Investment Based 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2D64AF"/>
              </w:rPr>
              <w:t>Average</w:t>
            </w: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Borders>
              <w:bottom w:val="single" w:sz="8" w:color="2D64AF"/>
            </w:tcBorders>
          </w:tcPr>
          <w:p>
            <w:pPr>
              <w:spacing w:after="0"/>
              <w:rPr>
                <w:sz w:val="5"/>
                <w:szCs w:val="5"/>
                <w:color w:val="auto"/>
              </w:rPr>
            </w:pPr>
          </w:p>
        </w:tc>
        <w:tc>
          <w:tcPr>
            <w:tcW w:w="780" w:type="dxa"/>
            <w:vAlign w:val="bottom"/>
            <w:tcBorders>
              <w:bottom w:val="single" w:sz="8" w:color="2D64AF"/>
            </w:tcBorders>
          </w:tcPr>
          <w:p>
            <w:pPr>
              <w:spacing w:after="0"/>
              <w:rPr>
                <w:sz w:val="5"/>
                <w:szCs w:val="5"/>
                <w:color w:val="auto"/>
              </w:rPr>
            </w:pPr>
          </w:p>
        </w:tc>
        <w:tc>
          <w:tcPr>
            <w:tcW w:w="58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40" w:type="dxa"/>
            <w:vAlign w:val="bottom"/>
            <w:tcBorders>
              <w:bottom w:val="single" w:sz="8" w:color="2D64AF"/>
            </w:tcBorders>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2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4"/>
                <w:szCs w:val="4"/>
                <w:color w:val="auto"/>
              </w:rPr>
              <w:t>​   ​</w:t>
            </w:r>
          </w:p>
        </w:tc>
        <w:tc>
          <w:tcPr>
            <w:tcW w:w="900" w:type="dxa"/>
            <w:vAlign w:val="bottom"/>
          </w:tcPr>
          <w:p>
            <w:pPr>
              <w:jc w:val="center"/>
              <w:ind w:left="203"/>
              <w:spacing w:after="0" w:line="135" w:lineRule="exact"/>
              <w:rPr>
                <w:sz w:val="20"/>
                <w:szCs w:val="20"/>
                <w:color w:val="auto"/>
              </w:rPr>
            </w:pPr>
            <w:r>
              <w:rPr>
                <w:rFonts w:ascii="Arial" w:cs="Arial" w:eastAsia="Arial" w:hAnsi="Arial"/>
                <w:sz w:val="12"/>
                <w:szCs w:val="12"/>
                <w:b w:val="1"/>
                <w:bCs w:val="1"/>
                <w:color w:val="2D64AF"/>
                <w:w w:val="99"/>
              </w:rPr>
              <w:t xml:space="preserve">Summary </w:t>
            </w:r>
            <w:r>
              <w:rPr>
                <w:rFonts w:ascii="Arial" w:cs="Arial" w:eastAsia="Arial" w:hAnsi="Arial"/>
                <w:sz w:val="3"/>
                <w:szCs w:val="3"/>
                <w:color w:val="000000"/>
                <w:w w:val="99"/>
              </w:rPr>
              <w:t>​   ​</w:t>
            </w:r>
          </w:p>
        </w:tc>
        <w:tc>
          <w:tcPr>
            <w:tcW w:w="960" w:type="dxa"/>
            <w:vAlign w:val="bottom"/>
          </w:tcPr>
          <w:p>
            <w:pPr>
              <w:jc w:val="right"/>
              <w:spacing w:after="0"/>
              <w:rPr>
                <w:sz w:val="20"/>
                <w:szCs w:val="20"/>
                <w:color w:val="auto"/>
              </w:rPr>
            </w:pPr>
            <w:r>
              <w:rPr>
                <w:rFonts w:ascii="Arial" w:cs="Arial" w:eastAsia="Arial" w:hAnsi="Arial"/>
                <w:sz w:val="4"/>
                <w:szCs w:val="4"/>
                <w:color w:val="auto"/>
              </w:rPr>
              <w:t>​   ​</w:t>
            </w: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 xml:space="preserve">Summary </w:t>
            </w:r>
            <w:r>
              <w:rPr>
                <w:rFonts w:ascii="Arial" w:cs="Arial" w:eastAsia="Arial" w:hAnsi="Arial"/>
                <w:sz w:val="3"/>
                <w:szCs w:val="3"/>
                <w:color w:val="000000"/>
              </w:rPr>
              <w:t>​   ​</w:t>
            </w:r>
          </w:p>
        </w:tc>
        <w:tc>
          <w:tcPr>
            <w:tcW w:w="5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Average</w:t>
            </w:r>
            <w:r>
              <w:rPr>
                <w:rFonts w:ascii="Arial" w:cs="Arial" w:eastAsia="Arial" w:hAnsi="Arial"/>
                <w:sz w:val="3"/>
                <w:szCs w:val="3"/>
                <w:color w:val="000000"/>
              </w:rPr>
              <w: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4"/>
          </w:tcPr>
          <w:p>
            <w:pPr>
              <w:jc w:val="right"/>
              <w:ind w:right="2"/>
              <w:spacing w:after="0" w:line="135" w:lineRule="exact"/>
              <w:rPr>
                <w:sz w:val="20"/>
                <w:szCs w:val="20"/>
                <w:color w:val="auto"/>
              </w:rPr>
            </w:pPr>
            <w:r>
              <w:rPr>
                <w:rFonts w:ascii="Arial" w:cs="Arial" w:eastAsia="Arial" w:hAnsi="Arial"/>
                <w:sz w:val="12"/>
                <w:szCs w:val="12"/>
                <w:b w:val="1"/>
                <w:bCs w:val="1"/>
                <w:color w:val="2D64AF"/>
              </w:rPr>
              <w:t xml:space="preserve">Peer Group </w:t>
            </w:r>
            <w:r>
              <w:rPr>
                <w:rFonts w:ascii="Arial" w:cs="Arial" w:eastAsia="Arial" w:hAnsi="Arial"/>
                <w:sz w:val="3"/>
                <w:szCs w:val="3"/>
                <w:color w:val="000000"/>
              </w:rPr>
              <w:t>​</w:t>
            </w:r>
          </w:p>
        </w:tc>
        <w:tc>
          <w:tcPr>
            <w:tcW w:w="900" w:type="dxa"/>
            <w:vAlign w:val="bottom"/>
          </w:tcPr>
          <w:p>
            <w:pPr>
              <w:jc w:val="right"/>
              <w:spacing w:after="0"/>
              <w:rPr>
                <w:sz w:val="20"/>
                <w:szCs w:val="20"/>
                <w:color w:val="auto"/>
              </w:rPr>
            </w:pPr>
            <w:r>
              <w:rPr>
                <w:rFonts w:ascii="Arial" w:cs="Arial" w:eastAsia="Arial" w:hAnsi="Arial"/>
                <w:sz w:val="4"/>
                <w:szCs w:val="4"/>
                <w:color w:val="auto"/>
              </w:rPr>
              <w:t>​   ​</w:t>
            </w:r>
          </w:p>
        </w:tc>
        <w:tc>
          <w:tcPr>
            <w:tcW w:w="820" w:type="dxa"/>
            <w:vAlign w:val="bottom"/>
          </w:tcPr>
          <w:p>
            <w:pPr>
              <w:spacing w:after="0"/>
              <w:rPr>
                <w:sz w:val="11"/>
                <w:szCs w:val="11"/>
                <w:color w:val="auto"/>
              </w:rPr>
            </w:pPr>
          </w:p>
        </w:tc>
        <w:tc>
          <w:tcPr>
            <w:tcW w:w="200" w:type="dxa"/>
            <w:vAlign w:val="bottom"/>
          </w:tcPr>
          <w:p>
            <w:pPr>
              <w:jc w:val="right"/>
              <w:ind w:right="10"/>
              <w:spacing w:after="0"/>
              <w:rPr>
                <w:sz w:val="20"/>
                <w:szCs w:val="20"/>
                <w:color w:val="auto"/>
              </w:rPr>
            </w:pPr>
            <w:r>
              <w:rPr>
                <w:rFonts w:ascii="Arial" w:cs="Arial" w:eastAsia="Arial" w:hAnsi="Arial"/>
                <w:sz w:val="4"/>
                <w:szCs w:val="4"/>
                <w:color w:val="auto"/>
              </w:rPr>
              <w:t>​   ​</w:t>
            </w:r>
          </w:p>
        </w:tc>
        <w:tc>
          <w:tcPr>
            <w:tcW w:w="900" w:type="dxa"/>
            <w:vAlign w:val="bottom"/>
          </w:tcPr>
          <w:p>
            <w:pPr>
              <w:jc w:val="right"/>
              <w:spacing w:after="0"/>
              <w:rPr>
                <w:sz w:val="20"/>
                <w:szCs w:val="20"/>
                <w:color w:val="auto"/>
              </w:rPr>
            </w:pPr>
            <w:r>
              <w:rPr>
                <w:rFonts w:ascii="Arial" w:cs="Arial" w:eastAsia="Arial" w:hAnsi="Arial"/>
                <w:sz w:val="4"/>
                <w:szCs w:val="4"/>
                <w:color w:val="auto"/>
              </w:rPr>
              <w:t>​   ​</w:t>
            </w:r>
          </w:p>
        </w:tc>
        <w:tc>
          <w:tcPr>
            <w:tcW w:w="70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 xml:space="preserve">Adjusted </w:t>
            </w:r>
            <w:r>
              <w:rPr>
                <w:rFonts w:ascii="Arial" w:cs="Arial" w:eastAsia="Arial" w:hAnsi="Arial"/>
                <w:sz w:val="3"/>
                <w:szCs w:val="3"/>
                <w:color w:val="000000"/>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2D64AF"/>
                <w:w w:val="98"/>
              </w:rPr>
              <w:t>Compensation</w:t>
            </w:r>
          </w:p>
        </w:tc>
        <w:tc>
          <w:tcPr>
            <w:tcW w:w="960" w:type="dxa"/>
            <w:vAlign w:val="bottom"/>
          </w:tcPr>
          <w:p>
            <w:pPr>
              <w:jc w:val="right"/>
              <w:ind w:right="47"/>
              <w:spacing w:after="0" w:line="135" w:lineRule="exact"/>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2D64AF"/>
              </w:rPr>
              <w:t>Compensation</w:t>
            </w:r>
          </w:p>
        </w:tc>
        <w:tc>
          <w:tcPr>
            <w:tcW w:w="10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Compensation</w:t>
            </w:r>
          </w:p>
        </w:tc>
        <w:tc>
          <w:tcPr>
            <w:tcW w:w="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2D64AF"/>
              </w:rPr>
              <w:t xml:space="preserve">Total </w:t>
            </w:r>
            <w:r>
              <w:rPr>
                <w:rFonts w:ascii="Arial" w:cs="Arial" w:eastAsia="Arial" w:hAnsi="Arial"/>
                <w:sz w:val="7"/>
                <w:szCs w:val="7"/>
                <w:color w:val="000000"/>
                <w:vertAlign w:val="subscript"/>
              </w:rPr>
              <w:t>​   ​</w:t>
            </w:r>
          </w:p>
        </w:tc>
        <w:tc>
          <w:tcPr>
            <w:tcW w:w="7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Total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2D64AF"/>
              </w:rPr>
              <w:t>Diluted</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2D64AF"/>
                <w:w w:val="94"/>
              </w:rPr>
              <w:t>Table Total for</w:t>
            </w:r>
          </w:p>
        </w:tc>
        <w:tc>
          <w:tcPr>
            <w:tcW w:w="960" w:type="dxa"/>
            <w:vAlign w:val="bottom"/>
            <w:vMerge w:val="restart"/>
          </w:tcPr>
          <w:p>
            <w:pPr>
              <w:jc w:val="right"/>
              <w:ind w:right="7"/>
              <w:spacing w:after="0"/>
              <w:rPr>
                <w:sz w:val="20"/>
                <w:szCs w:val="20"/>
                <w:color w:val="auto"/>
              </w:rPr>
            </w:pPr>
            <w:r>
              <w:rPr>
                <w:rFonts w:ascii="Arial" w:cs="Arial" w:eastAsia="Arial" w:hAnsi="Arial"/>
                <w:sz w:val="12"/>
                <w:szCs w:val="12"/>
                <w:b w:val="1"/>
                <w:bCs w:val="1"/>
                <w:color w:val="2D64AF"/>
                <w:w w:val="97"/>
              </w:rPr>
              <w:t>Actually Paid to</w:t>
            </w:r>
          </w:p>
        </w:tc>
        <w:tc>
          <w:tcPr>
            <w:tcW w:w="106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2D64AF"/>
              </w:rPr>
              <w:t>Table Total for</w:t>
            </w:r>
          </w:p>
        </w:tc>
        <w:tc>
          <w:tcPr>
            <w:tcW w:w="1040" w:type="dxa"/>
            <w:vAlign w:val="bottom"/>
            <w:gridSpan w:val="2"/>
            <w:vMerge w:val="restart"/>
          </w:tcPr>
          <w:p>
            <w:pPr>
              <w:jc w:val="right"/>
              <w:ind w:right="24"/>
              <w:spacing w:after="0"/>
              <w:rPr>
                <w:sz w:val="20"/>
                <w:szCs w:val="20"/>
                <w:color w:val="auto"/>
              </w:rPr>
            </w:pPr>
            <w:r>
              <w:rPr>
                <w:rFonts w:ascii="Arial" w:cs="Arial" w:eastAsia="Arial" w:hAnsi="Arial"/>
                <w:sz w:val="12"/>
                <w:szCs w:val="12"/>
                <w:b w:val="1"/>
                <w:bCs w:val="1"/>
                <w:color w:val="2D64AF"/>
              </w:rPr>
              <w:t>Actually Paid to</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780" w:type="dxa"/>
            <w:vAlign w:val="bottom"/>
            <w:vMerge w:val="continue"/>
          </w:tcPr>
          <w:p>
            <w:pPr>
              <w:spacing w:after="0"/>
              <w:rPr>
                <w:sz w:val="3"/>
                <w:szCs w:val="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2D64AF"/>
                <w:w w:val="97"/>
              </w:rPr>
              <w:t>Shareholder</w:t>
            </w:r>
          </w:p>
        </w:tc>
        <w:tc>
          <w:tcPr>
            <w:tcW w:w="40" w:type="dxa"/>
            <w:vAlign w:val="bottom"/>
          </w:tcPr>
          <w:p>
            <w:pPr>
              <w:spacing w:after="0" w:line="41" w:lineRule="exact"/>
              <w:rPr>
                <w:sz w:val="20"/>
                <w:szCs w:val="20"/>
                <w:color w:val="auto"/>
              </w:rPr>
            </w:pPr>
            <w:r>
              <w:rPr>
                <w:rFonts w:ascii="Arial" w:cs="Arial" w:eastAsia="Arial" w:hAnsi="Arial"/>
                <w:sz w:val="4"/>
                <w:szCs w:val="4"/>
                <w:color w:val="auto"/>
              </w:rPr>
              <w:t>​</w:t>
            </w:r>
          </w:p>
        </w:tc>
        <w:tc>
          <w:tcPr>
            <w:tcW w:w="20" w:type="dxa"/>
            <w:vAlign w:val="bottom"/>
          </w:tcPr>
          <w:p>
            <w:pPr>
              <w:spacing w:after="0"/>
              <w:rPr>
                <w:sz w:val="3"/>
                <w:szCs w:val="3"/>
                <w:color w:val="auto"/>
              </w:rPr>
            </w:pPr>
          </w:p>
        </w:tc>
        <w:tc>
          <w:tcPr>
            <w:tcW w:w="9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2D64AF"/>
              </w:rPr>
              <w:t>Net Income</w:t>
            </w:r>
          </w:p>
        </w:tc>
        <w:tc>
          <w:tcPr>
            <w:tcW w:w="1020" w:type="dxa"/>
            <w:vAlign w:val="bottom"/>
            <w:gridSpan w:val="2"/>
            <w:vMerge w:val="restart"/>
          </w:tcPr>
          <w:p>
            <w:pPr>
              <w:jc w:val="right"/>
              <w:ind w:right="50"/>
              <w:spacing w:after="0"/>
              <w:rPr>
                <w:sz w:val="20"/>
                <w:szCs w:val="20"/>
                <w:color w:val="auto"/>
              </w:rPr>
            </w:pPr>
            <w:r>
              <w:rPr>
                <w:rFonts w:ascii="Arial" w:cs="Arial" w:eastAsia="Arial" w:hAnsi="Arial"/>
                <w:sz w:val="12"/>
                <w:szCs w:val="12"/>
                <w:b w:val="1"/>
                <w:bCs w:val="1"/>
                <w:color w:val="2D64AF"/>
              </w:rPr>
              <w:t>EBITDA</w:t>
            </w:r>
          </w:p>
        </w:tc>
        <w:tc>
          <w:tcPr>
            <w:tcW w:w="9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2D64AF"/>
              </w:rPr>
              <w:t>Revenue</w:t>
            </w: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2D64AF"/>
              </w:rPr>
              <w:t>Earnings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right"/>
              <w:ind w:right="22"/>
              <w:spacing w:after="0" w:line="120" w:lineRule="exact"/>
              <w:rPr>
                <w:sz w:val="20"/>
                <w:szCs w:val="20"/>
                <w:color w:val="auto"/>
              </w:rPr>
            </w:pPr>
            <w:r>
              <w:rPr>
                <w:rFonts w:ascii="Arial" w:cs="Arial" w:eastAsia="Arial" w:hAnsi="Arial"/>
                <w:sz w:val="12"/>
                <w:szCs w:val="12"/>
                <w:b w:val="1"/>
                <w:bCs w:val="1"/>
                <w:color w:val="2D64AF"/>
                <w:w w:val="97"/>
              </w:rPr>
              <w:t>Shareholder</w:t>
            </w: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2D64AF"/>
              </w:rPr>
              <w:t>Year</w:t>
            </w:r>
          </w:p>
        </w:tc>
        <w:tc>
          <w:tcPr>
            <w:tcW w:w="120" w:type="dxa"/>
            <w:vAlign w:val="bottom"/>
          </w:tcPr>
          <w:p>
            <w:pPr>
              <w:spacing w:after="0"/>
              <w:rPr>
                <w:sz w:val="7"/>
                <w:szCs w:val="7"/>
                <w:color w:val="auto"/>
              </w:rPr>
            </w:pPr>
          </w:p>
        </w:tc>
        <w:tc>
          <w:tcPr>
            <w:tcW w:w="900" w:type="dxa"/>
            <w:vAlign w:val="bottom"/>
          </w:tcPr>
          <w:p>
            <w:pPr>
              <w:jc w:val="right"/>
              <w:ind w:right="3"/>
              <w:spacing w:after="0" w:line="81" w:lineRule="exact"/>
              <w:rPr>
                <w:sz w:val="20"/>
                <w:szCs w:val="20"/>
                <w:color w:val="auto"/>
              </w:rPr>
            </w:pPr>
            <w:r>
              <w:rPr>
                <w:rFonts w:ascii="Arial" w:cs="Arial" w:eastAsia="Arial" w:hAnsi="Arial"/>
                <w:sz w:val="9"/>
                <w:szCs w:val="9"/>
                <w:b w:val="1"/>
                <w:bCs w:val="1"/>
                <w:color w:val="2D64AF"/>
              </w:rPr>
              <w:t>(1)</w:t>
            </w:r>
          </w:p>
        </w:tc>
        <w:tc>
          <w:tcPr>
            <w:tcW w:w="960" w:type="dxa"/>
            <w:vAlign w:val="bottom"/>
          </w:tcPr>
          <w:p>
            <w:pPr>
              <w:jc w:val="right"/>
              <w:ind w:right="7"/>
              <w:spacing w:after="0" w:line="81" w:lineRule="exact"/>
              <w:rPr>
                <w:sz w:val="20"/>
                <w:szCs w:val="20"/>
                <w:color w:val="auto"/>
              </w:rPr>
            </w:pPr>
            <w:r>
              <w:rPr>
                <w:rFonts w:ascii="Arial" w:cs="Arial" w:eastAsia="Arial" w:hAnsi="Arial"/>
                <w:sz w:val="9"/>
                <w:szCs w:val="9"/>
                <w:b w:val="1"/>
                <w:bCs w:val="1"/>
                <w:color w:val="2D64AF"/>
              </w:rPr>
              <w:t>(3)</w:t>
            </w:r>
          </w:p>
        </w:tc>
        <w:tc>
          <w:tcPr>
            <w:tcW w:w="1060" w:type="dxa"/>
            <w:vAlign w:val="bottom"/>
          </w:tcPr>
          <w:p>
            <w:pPr>
              <w:jc w:val="right"/>
              <w:ind w:right="3"/>
              <w:spacing w:after="0" w:line="81" w:lineRule="exact"/>
              <w:rPr>
                <w:sz w:val="20"/>
                <w:szCs w:val="20"/>
                <w:color w:val="auto"/>
              </w:rPr>
            </w:pPr>
            <w:r>
              <w:rPr>
                <w:rFonts w:ascii="Arial" w:cs="Arial" w:eastAsia="Arial" w:hAnsi="Arial"/>
                <w:sz w:val="9"/>
                <w:szCs w:val="9"/>
                <w:b w:val="1"/>
                <w:bCs w:val="1"/>
                <w:color w:val="2D64AF"/>
              </w:rPr>
              <w:t>(2)</w:t>
            </w:r>
          </w:p>
        </w:tc>
        <w:tc>
          <w:tcPr>
            <w:tcW w:w="500" w:type="dxa"/>
            <w:vAlign w:val="bottom"/>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Arial" w:cs="Arial" w:eastAsia="Arial" w:hAnsi="Arial"/>
                <w:sz w:val="9"/>
                <w:szCs w:val="9"/>
                <w:b w:val="1"/>
                <w:bCs w:val="1"/>
                <w:color w:val="2D64AF"/>
              </w:rPr>
              <w:t>(3)</w:t>
            </w:r>
          </w:p>
        </w:tc>
        <w:tc>
          <w:tcPr>
            <w:tcW w:w="20" w:type="dxa"/>
            <w:vAlign w:val="bottom"/>
          </w:tcPr>
          <w:p>
            <w:pPr>
              <w:spacing w:after="0"/>
              <w:rPr>
                <w:sz w:val="7"/>
                <w:szCs w:val="7"/>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2D64AF"/>
              </w:rPr>
              <w:t>Return</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2D64AF"/>
                <w:w w:val="92"/>
              </w:rPr>
              <w:t>Return</w:t>
            </w:r>
          </w:p>
        </w:tc>
        <w:tc>
          <w:tcPr>
            <w:tcW w:w="120" w:type="dxa"/>
            <w:vAlign w:val="bottom"/>
          </w:tcPr>
          <w:p>
            <w:pPr>
              <w:jc w:val="right"/>
              <w:spacing w:after="0" w:line="81" w:lineRule="exact"/>
              <w:rPr>
                <w:sz w:val="20"/>
                <w:szCs w:val="20"/>
                <w:color w:val="auto"/>
              </w:rPr>
            </w:pPr>
            <w:r>
              <w:rPr>
                <w:rFonts w:ascii="Arial" w:cs="Arial" w:eastAsia="Arial" w:hAnsi="Arial"/>
                <w:sz w:val="9"/>
                <w:szCs w:val="9"/>
                <w:b w:val="1"/>
                <w:bCs w:val="1"/>
                <w:color w:val="2D64AF"/>
                <w:w w:val="90"/>
              </w:rPr>
              <w:t>(4)</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2D64AF"/>
                <w:w w:val="96"/>
              </w:rPr>
              <w:t>(in thousands)</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2D64AF"/>
                <w:w w:val="94"/>
              </w:rPr>
              <w:t>(in thousands)</w:t>
            </w:r>
          </w:p>
        </w:tc>
        <w:tc>
          <w:tcPr>
            <w:tcW w:w="200" w:type="dxa"/>
            <w:vAlign w:val="bottom"/>
          </w:tcPr>
          <w:p>
            <w:pPr>
              <w:jc w:val="right"/>
              <w:ind w:right="50"/>
              <w:spacing w:after="0" w:line="81" w:lineRule="exact"/>
              <w:rPr>
                <w:sz w:val="20"/>
                <w:szCs w:val="20"/>
                <w:color w:val="auto"/>
              </w:rPr>
            </w:pPr>
            <w:r>
              <w:rPr>
                <w:rFonts w:ascii="Arial" w:cs="Arial" w:eastAsia="Arial" w:hAnsi="Arial"/>
                <w:sz w:val="9"/>
                <w:szCs w:val="9"/>
                <w:b w:val="1"/>
                <w:bCs w:val="1"/>
                <w:color w:val="2D64AF"/>
                <w:w w:val="90"/>
              </w:rPr>
              <w:t>(5)</w:t>
            </w:r>
          </w:p>
        </w:tc>
        <w:tc>
          <w:tcPr>
            <w:tcW w:w="9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2D64AF"/>
                <w:w w:val="96"/>
              </w:rPr>
              <w:t>(in thousands)</w:t>
            </w:r>
          </w:p>
        </w:tc>
        <w:tc>
          <w:tcPr>
            <w:tcW w:w="700" w:type="dxa"/>
            <w:vAlign w:val="bottom"/>
          </w:tcPr>
          <w:p>
            <w:pPr>
              <w:jc w:val="right"/>
              <w:spacing w:after="0" w:line="81" w:lineRule="exact"/>
              <w:rPr>
                <w:sz w:val="20"/>
                <w:szCs w:val="20"/>
                <w:color w:val="auto"/>
              </w:rPr>
            </w:pPr>
            <w:r>
              <w:rPr>
                <w:rFonts w:ascii="Arial" w:cs="Arial" w:eastAsia="Arial" w:hAnsi="Arial"/>
                <w:sz w:val="9"/>
                <w:szCs w:val="9"/>
                <w:b w:val="1"/>
                <w:bCs w:val="1"/>
                <w:color w:val="2D64AF"/>
              </w:rPr>
              <w:t>(5)</w:t>
            </w:r>
          </w:p>
        </w:tc>
        <w:tc>
          <w:tcPr>
            <w:tcW w:w="0" w:type="dxa"/>
            <w:vAlign w:val="bottom"/>
          </w:tcPr>
          <w:p>
            <w:pPr>
              <w:spacing w:after="0"/>
              <w:rPr>
                <w:sz w:val="1"/>
                <w:szCs w:val="1"/>
                <w:color w:val="auto"/>
              </w:rPr>
            </w:pPr>
          </w:p>
        </w:tc>
      </w:tr>
      <w:tr>
        <w:trPr>
          <w:trHeight w:val="158"/>
        </w:trPr>
        <w:tc>
          <w:tcPr>
            <w:tcW w:w="20" w:type="dxa"/>
            <w:vAlign w:val="bottom"/>
            <w:tcBorders>
              <w:bottom w:val="single" w:sz="8" w:color="2D64AF"/>
            </w:tcBorders>
          </w:tcPr>
          <w:p>
            <w:pPr>
              <w:spacing w:after="0"/>
              <w:rPr>
                <w:sz w:val="13"/>
                <w:szCs w:val="13"/>
                <w:color w:val="auto"/>
              </w:rPr>
            </w:pPr>
          </w:p>
        </w:tc>
        <w:tc>
          <w:tcPr>
            <w:tcW w:w="320" w:type="dxa"/>
            <w:vAlign w:val="bottom"/>
            <w:tcBorders>
              <w:bottom w:val="single" w:sz="8" w:color="2D64AF"/>
            </w:tcBorders>
            <w:vMerge w:val="continue"/>
          </w:tcPr>
          <w:p>
            <w:pPr>
              <w:spacing w:after="0"/>
              <w:rPr>
                <w:sz w:val="13"/>
                <w:szCs w:val="13"/>
                <w:color w:val="auto"/>
              </w:rPr>
            </w:pPr>
          </w:p>
        </w:tc>
        <w:tc>
          <w:tcPr>
            <w:tcW w:w="120" w:type="dxa"/>
            <w:vAlign w:val="bottom"/>
            <w:tcBorders>
              <w:bottom w:val="single" w:sz="8" w:color="2D64AF"/>
            </w:tcBorders>
          </w:tcPr>
          <w:p>
            <w:pPr>
              <w:spacing w:after="0"/>
              <w:rPr>
                <w:sz w:val="13"/>
                <w:szCs w:val="13"/>
                <w:color w:val="auto"/>
              </w:rPr>
            </w:pPr>
          </w:p>
        </w:tc>
        <w:tc>
          <w:tcPr>
            <w:tcW w:w="900" w:type="dxa"/>
            <w:vAlign w:val="bottom"/>
            <w:tcBorders>
              <w:bottom w:val="single" w:sz="8" w:color="2D64AF"/>
            </w:tcBorders>
          </w:tcPr>
          <w:p>
            <w:pPr>
              <w:jc w:val="center"/>
              <w:ind w:left="243"/>
              <w:spacing w:after="0"/>
              <w:rPr>
                <w:sz w:val="20"/>
                <w:szCs w:val="20"/>
                <w:color w:val="auto"/>
              </w:rPr>
            </w:pPr>
            <w:r>
              <w:rPr>
                <w:rFonts w:ascii="Arial" w:cs="Arial" w:eastAsia="Arial" w:hAnsi="Arial"/>
                <w:sz w:val="12"/>
                <w:szCs w:val="12"/>
                <w:b w:val="1"/>
                <w:bCs w:val="1"/>
                <w:color w:val="2D64AF"/>
                <w:w w:val="94"/>
              </w:rPr>
              <w:t>PEO</w:t>
            </w:r>
          </w:p>
        </w:tc>
        <w:tc>
          <w:tcPr>
            <w:tcW w:w="960" w:type="dxa"/>
            <w:vAlign w:val="bottom"/>
            <w:tcBorders>
              <w:bottom w:val="single" w:sz="8" w:color="2D64AF"/>
            </w:tcBorders>
          </w:tcPr>
          <w:p>
            <w:pPr>
              <w:jc w:val="right"/>
              <w:ind w:right="127"/>
              <w:spacing w:after="0"/>
              <w:rPr>
                <w:sz w:val="20"/>
                <w:szCs w:val="20"/>
                <w:color w:val="auto"/>
              </w:rPr>
            </w:pPr>
            <w:r>
              <w:rPr>
                <w:rFonts w:ascii="Arial" w:cs="Arial" w:eastAsia="Arial" w:hAnsi="Arial"/>
                <w:sz w:val="12"/>
                <w:szCs w:val="12"/>
                <w:b w:val="1"/>
                <w:bCs w:val="1"/>
                <w:color w:val="2D64AF"/>
              </w:rPr>
              <w:t>PEO</w:t>
            </w:r>
          </w:p>
        </w:tc>
        <w:tc>
          <w:tcPr>
            <w:tcW w:w="1060" w:type="dxa"/>
            <w:vAlign w:val="bottom"/>
            <w:tcBorders>
              <w:bottom w:val="single" w:sz="8" w:color="2D64AF"/>
            </w:tcBorders>
          </w:tcPr>
          <w:p>
            <w:pPr>
              <w:jc w:val="right"/>
              <w:ind w:right="123"/>
              <w:spacing w:after="0"/>
              <w:rPr>
                <w:sz w:val="20"/>
                <w:szCs w:val="20"/>
                <w:color w:val="auto"/>
              </w:rPr>
            </w:pPr>
            <w:r>
              <w:rPr>
                <w:rFonts w:ascii="Arial" w:cs="Arial" w:eastAsia="Arial" w:hAnsi="Arial"/>
                <w:sz w:val="12"/>
                <w:szCs w:val="12"/>
                <w:b w:val="1"/>
                <w:bCs w:val="1"/>
                <w:color w:val="2D64AF"/>
                <w:w w:val="98"/>
              </w:rPr>
              <w:t>non-PEO NEOs</w:t>
            </w:r>
          </w:p>
        </w:tc>
        <w:tc>
          <w:tcPr>
            <w:tcW w:w="1040" w:type="dxa"/>
            <w:vAlign w:val="bottom"/>
            <w:tcBorders>
              <w:bottom w:val="single" w:sz="8" w:color="2D64AF"/>
            </w:tcBorders>
            <w:gridSpan w:val="2"/>
          </w:tcPr>
          <w:p>
            <w:pPr>
              <w:jc w:val="center"/>
              <w:ind w:right="84"/>
              <w:spacing w:after="0"/>
              <w:rPr>
                <w:sz w:val="20"/>
                <w:szCs w:val="20"/>
                <w:color w:val="auto"/>
              </w:rPr>
            </w:pPr>
            <w:r>
              <w:rPr>
                <w:rFonts w:ascii="Arial" w:cs="Arial" w:eastAsia="Arial" w:hAnsi="Arial"/>
                <w:sz w:val="12"/>
                <w:szCs w:val="12"/>
                <w:b w:val="1"/>
                <w:bCs w:val="1"/>
                <w:color w:val="2D64AF"/>
                <w:w w:val="96"/>
              </w:rPr>
              <w:t>Non-PEO NEOs</w:t>
            </w:r>
          </w:p>
        </w:tc>
        <w:tc>
          <w:tcPr>
            <w:tcW w:w="20" w:type="dxa"/>
            <w:vAlign w:val="bottom"/>
            <w:tcBorders>
              <w:bottom w:val="single" w:sz="8" w:color="2D64AF"/>
            </w:tcBorders>
          </w:tcPr>
          <w:p>
            <w:pPr>
              <w:spacing w:after="0"/>
              <w:rPr>
                <w:sz w:val="13"/>
                <w:szCs w:val="13"/>
                <w:color w:val="auto"/>
              </w:rPr>
            </w:pPr>
          </w:p>
        </w:tc>
        <w:tc>
          <w:tcPr>
            <w:tcW w:w="780" w:type="dxa"/>
            <w:vAlign w:val="bottom"/>
            <w:tcBorders>
              <w:bottom w:val="single" w:sz="8" w:color="2D64AF"/>
            </w:tcBorders>
            <w:vMerge w:val="continue"/>
          </w:tcPr>
          <w:p>
            <w:pPr>
              <w:spacing w:after="0"/>
              <w:rPr>
                <w:sz w:val="13"/>
                <w:szCs w:val="13"/>
                <w:color w:val="auto"/>
              </w:rPr>
            </w:pPr>
          </w:p>
        </w:tc>
        <w:tc>
          <w:tcPr>
            <w:tcW w:w="580" w:type="dxa"/>
            <w:vAlign w:val="bottom"/>
            <w:tcBorders>
              <w:bottom w:val="single" w:sz="8" w:color="2D64AF"/>
            </w:tcBorders>
            <w:vMerge w:val="continue"/>
          </w:tcPr>
          <w:p>
            <w:pPr>
              <w:spacing w:after="0"/>
              <w:rPr>
                <w:sz w:val="13"/>
                <w:szCs w:val="13"/>
                <w:color w:val="auto"/>
              </w:rPr>
            </w:pPr>
          </w:p>
        </w:tc>
        <w:tc>
          <w:tcPr>
            <w:tcW w:w="120" w:type="dxa"/>
            <w:vAlign w:val="bottom"/>
            <w:tcBorders>
              <w:bottom w:val="single" w:sz="8" w:color="2D64AF"/>
            </w:tcBorders>
          </w:tcPr>
          <w:p>
            <w:pPr>
              <w:spacing w:after="0"/>
              <w:rPr>
                <w:sz w:val="13"/>
                <w:szCs w:val="13"/>
                <w:color w:val="auto"/>
              </w:rPr>
            </w:pPr>
          </w:p>
        </w:tc>
        <w:tc>
          <w:tcPr>
            <w:tcW w:w="40" w:type="dxa"/>
            <w:vAlign w:val="bottom"/>
            <w:tcBorders>
              <w:bottom w:val="single" w:sz="8" w:color="2D64AF"/>
            </w:tcBorders>
          </w:tcPr>
          <w:p>
            <w:pPr>
              <w:spacing w:after="0"/>
              <w:rPr>
                <w:sz w:val="13"/>
                <w:szCs w:val="13"/>
                <w:color w:val="auto"/>
              </w:rPr>
            </w:pPr>
          </w:p>
        </w:tc>
        <w:tc>
          <w:tcPr>
            <w:tcW w:w="20" w:type="dxa"/>
            <w:vAlign w:val="bottom"/>
            <w:tcBorders>
              <w:bottom w:val="single" w:sz="8" w:color="2D64AF"/>
            </w:tcBorders>
          </w:tcPr>
          <w:p>
            <w:pPr>
              <w:spacing w:after="0"/>
              <w:rPr>
                <w:sz w:val="13"/>
                <w:szCs w:val="13"/>
                <w:color w:val="auto"/>
              </w:rPr>
            </w:pPr>
          </w:p>
        </w:tc>
        <w:tc>
          <w:tcPr>
            <w:tcW w:w="900" w:type="dxa"/>
            <w:vAlign w:val="bottom"/>
            <w:tcBorders>
              <w:bottom w:val="single" w:sz="8" w:color="2D64AF"/>
            </w:tcBorders>
            <w:vMerge w:val="continue"/>
          </w:tcPr>
          <w:p>
            <w:pPr>
              <w:spacing w:after="0"/>
              <w:rPr>
                <w:sz w:val="13"/>
                <w:szCs w:val="13"/>
                <w:color w:val="auto"/>
              </w:rPr>
            </w:pPr>
          </w:p>
        </w:tc>
        <w:tc>
          <w:tcPr>
            <w:tcW w:w="820" w:type="dxa"/>
            <w:vAlign w:val="bottom"/>
            <w:tcBorders>
              <w:bottom w:val="single" w:sz="8" w:color="2D64AF"/>
            </w:tcBorders>
            <w:vMerge w:val="continue"/>
          </w:tcPr>
          <w:p>
            <w:pPr>
              <w:spacing w:after="0"/>
              <w:rPr>
                <w:sz w:val="13"/>
                <w:szCs w:val="13"/>
                <w:color w:val="auto"/>
              </w:rPr>
            </w:pPr>
          </w:p>
        </w:tc>
        <w:tc>
          <w:tcPr>
            <w:tcW w:w="200" w:type="dxa"/>
            <w:vAlign w:val="bottom"/>
            <w:tcBorders>
              <w:bottom w:val="single" w:sz="8" w:color="2D64AF"/>
            </w:tcBorders>
          </w:tcPr>
          <w:p>
            <w:pPr>
              <w:spacing w:after="0"/>
              <w:rPr>
                <w:sz w:val="13"/>
                <w:szCs w:val="13"/>
                <w:color w:val="auto"/>
              </w:rPr>
            </w:pPr>
          </w:p>
        </w:tc>
        <w:tc>
          <w:tcPr>
            <w:tcW w:w="900" w:type="dxa"/>
            <w:vAlign w:val="bottom"/>
            <w:tcBorders>
              <w:bottom w:val="single" w:sz="8" w:color="2D64AF"/>
            </w:tcBorders>
            <w:vMerge w:val="continue"/>
          </w:tcPr>
          <w:p>
            <w:pPr>
              <w:spacing w:after="0"/>
              <w:rPr>
                <w:sz w:val="13"/>
                <w:szCs w:val="13"/>
                <w:color w:val="auto"/>
              </w:rPr>
            </w:pPr>
          </w:p>
        </w:tc>
        <w:tc>
          <w:tcPr>
            <w:tcW w:w="700" w:type="dxa"/>
            <w:vAlign w:val="bottom"/>
            <w:tcBorders>
              <w:bottom w:val="single" w:sz="8" w:color="2D64AF"/>
            </w:tcBorders>
          </w:tcPr>
          <w:p>
            <w:pPr>
              <w:jc w:val="right"/>
              <w:ind w:right="83"/>
              <w:spacing w:after="0"/>
              <w:rPr>
                <w:sz w:val="20"/>
                <w:szCs w:val="20"/>
                <w:color w:val="auto"/>
              </w:rPr>
            </w:pPr>
            <w:r>
              <w:rPr>
                <w:rFonts w:ascii="Arial" w:cs="Arial" w:eastAsia="Arial" w:hAnsi="Arial"/>
                <w:sz w:val="12"/>
                <w:szCs w:val="12"/>
                <w:b w:val="1"/>
                <w:bCs w:val="1"/>
                <w:color w:val="2D64AF"/>
                <w:w w:val="96"/>
              </w:rPr>
              <w:t>Per Share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20" w:type="dxa"/>
            <w:vAlign w:val="bottom"/>
          </w:tcPr>
          <w:p>
            <w:pPr>
              <w:ind w:left="20"/>
              <w:spacing w:after="0"/>
              <w:rPr>
                <w:sz w:val="20"/>
                <w:szCs w:val="20"/>
                <w:color w:val="auto"/>
              </w:rPr>
            </w:pPr>
            <w:r>
              <w:rPr>
                <w:rFonts w:ascii="Arial" w:cs="Arial" w:eastAsia="Arial" w:hAnsi="Arial"/>
                <w:sz w:val="12"/>
                <w:szCs w:val="12"/>
                <w:color w:val="auto"/>
              </w:rPr>
              <w:t>2018</w:t>
            </w:r>
          </w:p>
        </w:tc>
        <w:tc>
          <w:tcPr>
            <w:tcW w:w="120" w:type="dxa"/>
            <w:vAlign w:val="bottom"/>
          </w:tcPr>
          <w:p>
            <w:pPr>
              <w:ind w:left="60"/>
              <w:spacing w:after="0"/>
              <w:rPr>
                <w:sz w:val="20"/>
                <w:szCs w:val="20"/>
                <w:color w:val="auto"/>
              </w:rPr>
            </w:pPr>
            <w:r>
              <w:rPr>
                <w:rFonts w:ascii="Arial" w:cs="Arial" w:eastAsia="Arial" w:hAnsi="Arial"/>
                <w:sz w:val="4"/>
                <w:szCs w:val="4"/>
                <w:color w:val="auto"/>
              </w:rPr>
              <w:t>​   ​</w:t>
            </w:r>
          </w:p>
        </w:tc>
        <w:tc>
          <w:tcPr>
            <w:tcW w:w="900" w:type="dxa"/>
            <w:vAlign w:val="bottom"/>
          </w:tcPr>
          <w:p>
            <w:pPr>
              <w:jc w:val="center"/>
              <w:ind w:left="163"/>
              <w:spacing w:after="0"/>
              <w:rPr>
                <w:sz w:val="20"/>
                <w:szCs w:val="20"/>
                <w:color w:val="auto"/>
              </w:rPr>
            </w:pPr>
            <w:r>
              <w:rPr>
                <w:rFonts w:ascii="Arial" w:cs="Arial" w:eastAsia="Arial" w:hAnsi="Arial"/>
                <w:sz w:val="12"/>
                <w:szCs w:val="12"/>
                <w:color w:val="auto"/>
              </w:rPr>
              <w:t>$2,389,704</w:t>
            </w:r>
            <w:r>
              <w:rPr>
                <w:rFonts w:ascii="Arial" w:cs="Arial" w:eastAsia="Arial" w:hAnsi="Arial"/>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$3,695,192</w:t>
            </w:r>
            <w:r>
              <w:rPr>
                <w:rFonts w:ascii="Arial" w:cs="Arial" w:eastAsia="Arial" w:hAnsi="Arial"/>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$535,686</w:t>
            </w:r>
            <w:r>
              <w:rPr>
                <w:rFonts w:ascii="Arial" w:cs="Arial" w:eastAsia="Arial" w:hAnsi="Arial"/>
                <w:sz w:val="3"/>
                <w:szCs w:val="3"/>
                <w:color w:val="auto"/>
              </w:rPr>
              <w:t>​   ​</w:t>
            </w:r>
          </w:p>
        </w:tc>
        <w:tc>
          <w:tcPr>
            <w:tcW w:w="500" w:type="dxa"/>
            <w:vAlign w:val="bottom"/>
          </w:tcPr>
          <w:p>
            <w:pPr>
              <w:jc w:val="center"/>
              <w:ind w:left="30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 xml:space="preserve">575,330 </w:t>
            </w:r>
            <w:r>
              <w:rPr>
                <w:rFonts w:ascii="Arial" w:cs="Arial" w:eastAsia="Arial" w:hAnsi="Arial"/>
                <w:sz w:val="3"/>
                <w:szCs w:val="3"/>
                <w:color w:val="auto"/>
              </w:rPr>
              <w:t>​</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$135.39</w:t>
            </w:r>
            <w:r>
              <w:rPr>
                <w:rFonts w:ascii="Arial" w:cs="Arial" w:eastAsia="Arial" w:hAnsi="Arial"/>
                <w:sz w:val="3"/>
                <w:szCs w:val="3"/>
                <w:color w:val="auto"/>
              </w:rPr>
              <w:t>​   ​</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$ 91.22</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$15,925</w:t>
            </w:r>
            <w:r>
              <w:rPr>
                <w:rFonts w:ascii="Arial" w:cs="Arial" w:eastAsia="Arial" w:hAnsi="Arial"/>
                <w:sz w:val="3"/>
                <w:szCs w:val="3"/>
                <w:color w:val="auto"/>
              </w:rPr>
              <w:t>​   ​</w:t>
            </w:r>
          </w:p>
        </w:tc>
        <w:tc>
          <w:tcPr>
            <w:tcW w:w="1020" w:type="dxa"/>
            <w:vAlign w:val="bottom"/>
            <w:gridSpan w:val="2"/>
          </w:tcPr>
          <w:p>
            <w:pPr>
              <w:jc w:val="right"/>
              <w:ind w:right="10"/>
              <w:spacing w:after="0"/>
              <w:rPr>
                <w:sz w:val="20"/>
                <w:szCs w:val="20"/>
                <w:color w:val="auto"/>
              </w:rPr>
            </w:pPr>
            <w:r>
              <w:rPr>
                <w:rFonts w:ascii="Arial" w:cs="Arial" w:eastAsia="Arial" w:hAnsi="Arial"/>
                <w:sz w:val="12"/>
                <w:szCs w:val="12"/>
                <w:color w:val="auto"/>
              </w:rPr>
              <w:t xml:space="preserve">$34,958 </w:t>
            </w:r>
            <w:r>
              <w:rPr>
                <w:rFonts w:ascii="Arial" w:cs="Arial" w:eastAsia="Arial" w:hAnsi="Arial"/>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xml:space="preserve">$310,611 </w:t>
            </w:r>
            <w:r>
              <w:rPr>
                <w:rFonts w:ascii="Arial" w:cs="Arial" w:eastAsia="Arial" w:hAnsi="Arial"/>
                <w:sz w:val="3"/>
                <w:szCs w:val="3"/>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 xml:space="preserve">$1.35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20" w:type="dxa"/>
            <w:vAlign w:val="bottom"/>
          </w:tcPr>
          <w:p>
            <w:pPr>
              <w:ind w:left="20"/>
              <w:spacing w:after="0"/>
              <w:rPr>
                <w:sz w:val="20"/>
                <w:szCs w:val="20"/>
                <w:color w:val="auto"/>
              </w:rPr>
            </w:pPr>
            <w:r>
              <w:rPr>
                <w:rFonts w:ascii="Arial" w:cs="Arial" w:eastAsia="Arial" w:hAnsi="Arial"/>
                <w:sz w:val="12"/>
                <w:szCs w:val="12"/>
                <w:color w:val="auto"/>
              </w:rPr>
              <w:t>2019</w:t>
            </w:r>
          </w:p>
        </w:tc>
        <w:tc>
          <w:tcPr>
            <w:tcW w:w="120" w:type="dxa"/>
            <w:vAlign w:val="bottom"/>
          </w:tcPr>
          <w:p>
            <w:pPr>
              <w:ind w:left="60"/>
              <w:spacing w:after="0"/>
              <w:rPr>
                <w:sz w:val="20"/>
                <w:szCs w:val="20"/>
                <w:color w:val="auto"/>
              </w:rPr>
            </w:pPr>
            <w:r>
              <w:rPr>
                <w:rFonts w:ascii="Arial" w:cs="Arial" w:eastAsia="Arial" w:hAnsi="Arial"/>
                <w:sz w:val="4"/>
                <w:szCs w:val="4"/>
                <w:color w:val="auto"/>
              </w:rPr>
              <w:t>​   ​</w:t>
            </w:r>
          </w:p>
        </w:tc>
        <w:tc>
          <w:tcPr>
            <w:tcW w:w="900" w:type="dxa"/>
            <w:vAlign w:val="bottom"/>
          </w:tcPr>
          <w:p>
            <w:pPr>
              <w:jc w:val="center"/>
              <w:ind w:left="163"/>
              <w:spacing w:after="0"/>
              <w:rPr>
                <w:sz w:val="20"/>
                <w:szCs w:val="20"/>
                <w:color w:val="auto"/>
              </w:rPr>
            </w:pPr>
            <w:r>
              <w:rPr>
                <w:rFonts w:ascii="Arial" w:cs="Arial" w:eastAsia="Arial" w:hAnsi="Arial"/>
                <w:sz w:val="12"/>
                <w:szCs w:val="12"/>
                <w:color w:val="auto"/>
              </w:rPr>
              <w:t>$4,279,423</w:t>
            </w:r>
            <w:r>
              <w:rPr>
                <w:rFonts w:ascii="Arial" w:cs="Arial" w:eastAsia="Arial" w:hAnsi="Arial"/>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$4,033,623</w:t>
            </w:r>
            <w:r>
              <w:rPr>
                <w:rFonts w:ascii="Arial" w:cs="Arial" w:eastAsia="Arial" w:hAnsi="Arial"/>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$918,896</w:t>
            </w:r>
            <w:r>
              <w:rPr>
                <w:rFonts w:ascii="Arial" w:cs="Arial" w:eastAsia="Arial" w:hAnsi="Arial"/>
                <w:sz w:val="3"/>
                <w:szCs w:val="3"/>
                <w:color w:val="auto"/>
              </w:rPr>
              <w:t>​   ​</w:t>
            </w:r>
          </w:p>
        </w:tc>
        <w:tc>
          <w:tcPr>
            <w:tcW w:w="500" w:type="dxa"/>
            <w:vAlign w:val="bottom"/>
          </w:tcPr>
          <w:p>
            <w:pPr>
              <w:jc w:val="center"/>
              <w:ind w:left="30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 xml:space="preserve">894,971 </w:t>
            </w:r>
            <w:r>
              <w:rPr>
                <w:rFonts w:ascii="Arial" w:cs="Arial" w:eastAsia="Arial" w:hAnsi="Arial"/>
                <w:sz w:val="3"/>
                <w:szCs w:val="3"/>
                <w:color w:val="auto"/>
              </w:rPr>
              <w:t>​</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$147.40</w:t>
            </w:r>
            <w:r>
              <w:rPr>
                <w:rFonts w:ascii="Arial" w:cs="Arial" w:eastAsia="Arial" w:hAnsi="Arial"/>
                <w:sz w:val="3"/>
                <w:szCs w:val="3"/>
                <w:color w:val="auto"/>
              </w:rPr>
              <w:t>​   ​</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$108.53</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$17,022</w:t>
            </w:r>
            <w:r>
              <w:rPr>
                <w:rFonts w:ascii="Arial" w:cs="Arial" w:eastAsia="Arial" w:hAnsi="Arial"/>
                <w:sz w:val="3"/>
                <w:szCs w:val="3"/>
                <w:color w:val="auto"/>
              </w:rPr>
              <w:t>​   ​</w:t>
            </w:r>
          </w:p>
        </w:tc>
        <w:tc>
          <w:tcPr>
            <w:tcW w:w="1020" w:type="dxa"/>
            <w:vAlign w:val="bottom"/>
            <w:gridSpan w:val="2"/>
          </w:tcPr>
          <w:p>
            <w:pPr>
              <w:jc w:val="right"/>
              <w:ind w:right="10"/>
              <w:spacing w:after="0"/>
              <w:rPr>
                <w:sz w:val="20"/>
                <w:szCs w:val="20"/>
                <w:color w:val="auto"/>
              </w:rPr>
            </w:pPr>
            <w:r>
              <w:rPr>
                <w:rFonts w:ascii="Arial" w:cs="Arial" w:eastAsia="Arial" w:hAnsi="Arial"/>
                <w:sz w:val="12"/>
                <w:szCs w:val="12"/>
                <w:color w:val="auto"/>
              </w:rPr>
              <w:t xml:space="preserve">$43,832 </w:t>
            </w:r>
            <w:r>
              <w:rPr>
                <w:rFonts w:ascii="Arial" w:cs="Arial" w:eastAsia="Arial" w:hAnsi="Arial"/>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xml:space="preserve">$371,084 </w:t>
            </w:r>
            <w:r>
              <w:rPr>
                <w:rFonts w:ascii="Arial" w:cs="Arial" w:eastAsia="Arial" w:hAnsi="Arial"/>
                <w:sz w:val="3"/>
                <w:szCs w:val="3"/>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 xml:space="preserve">$1.58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20" w:type="dxa"/>
            <w:vAlign w:val="bottom"/>
          </w:tcPr>
          <w:p>
            <w:pPr>
              <w:ind w:left="20"/>
              <w:spacing w:after="0"/>
              <w:rPr>
                <w:sz w:val="20"/>
                <w:szCs w:val="20"/>
                <w:color w:val="auto"/>
              </w:rPr>
            </w:pPr>
            <w:r>
              <w:rPr>
                <w:rFonts w:ascii="Arial" w:cs="Arial" w:eastAsia="Arial" w:hAnsi="Arial"/>
                <w:sz w:val="12"/>
                <w:szCs w:val="12"/>
                <w:color w:val="auto"/>
              </w:rPr>
              <w:t>2020</w:t>
            </w:r>
          </w:p>
        </w:tc>
        <w:tc>
          <w:tcPr>
            <w:tcW w:w="120" w:type="dxa"/>
            <w:vAlign w:val="bottom"/>
          </w:tcPr>
          <w:p>
            <w:pPr>
              <w:ind w:left="60"/>
              <w:spacing w:after="0"/>
              <w:rPr>
                <w:sz w:val="20"/>
                <w:szCs w:val="20"/>
                <w:color w:val="auto"/>
              </w:rPr>
            </w:pPr>
            <w:r>
              <w:rPr>
                <w:rFonts w:ascii="Arial" w:cs="Arial" w:eastAsia="Arial" w:hAnsi="Arial"/>
                <w:sz w:val="4"/>
                <w:szCs w:val="4"/>
                <w:color w:val="auto"/>
              </w:rPr>
              <w:t>​   ​</w:t>
            </w:r>
          </w:p>
        </w:tc>
        <w:tc>
          <w:tcPr>
            <w:tcW w:w="900" w:type="dxa"/>
            <w:vAlign w:val="bottom"/>
          </w:tcPr>
          <w:p>
            <w:pPr>
              <w:jc w:val="center"/>
              <w:ind w:left="163"/>
              <w:spacing w:after="0"/>
              <w:rPr>
                <w:sz w:val="20"/>
                <w:szCs w:val="20"/>
                <w:color w:val="auto"/>
              </w:rPr>
            </w:pPr>
            <w:r>
              <w:rPr>
                <w:rFonts w:ascii="Arial" w:cs="Arial" w:eastAsia="Arial" w:hAnsi="Arial"/>
                <w:sz w:val="12"/>
                <w:szCs w:val="12"/>
                <w:color w:val="auto"/>
              </w:rPr>
              <w:t>$3,425,573</w:t>
            </w:r>
            <w:r>
              <w:rPr>
                <w:rFonts w:ascii="Arial" w:cs="Arial" w:eastAsia="Arial" w:hAnsi="Arial"/>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$3,453,415</w:t>
            </w:r>
            <w:r>
              <w:rPr>
                <w:rFonts w:ascii="Arial" w:cs="Arial" w:eastAsia="Arial" w:hAnsi="Arial"/>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$743,587</w:t>
            </w:r>
            <w:r>
              <w:rPr>
                <w:rFonts w:ascii="Arial" w:cs="Arial" w:eastAsia="Arial" w:hAnsi="Arial"/>
                <w:sz w:val="3"/>
                <w:szCs w:val="3"/>
                <w:color w:val="auto"/>
              </w:rPr>
              <w:t>​   ​</w:t>
            </w:r>
          </w:p>
        </w:tc>
        <w:tc>
          <w:tcPr>
            <w:tcW w:w="500" w:type="dxa"/>
            <w:vAlign w:val="bottom"/>
          </w:tcPr>
          <w:p>
            <w:pPr>
              <w:jc w:val="center"/>
              <w:ind w:left="30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 xml:space="preserve">747,179 </w:t>
            </w:r>
            <w:r>
              <w:rPr>
                <w:rFonts w:ascii="Arial" w:cs="Arial" w:eastAsia="Arial" w:hAnsi="Arial"/>
                <w:sz w:val="3"/>
                <w:szCs w:val="3"/>
                <w:color w:val="auto"/>
              </w:rPr>
              <w:t>​</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$155.82</w:t>
            </w:r>
            <w:r>
              <w:rPr>
                <w:rFonts w:ascii="Arial" w:cs="Arial" w:eastAsia="Arial" w:hAnsi="Arial"/>
                <w:sz w:val="3"/>
                <w:szCs w:val="3"/>
                <w:color w:val="auto"/>
              </w:rPr>
              <w:t>​   ​</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$132.50</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$13,643</w:t>
            </w:r>
            <w:r>
              <w:rPr>
                <w:rFonts w:ascii="Arial" w:cs="Arial" w:eastAsia="Arial" w:hAnsi="Arial"/>
                <w:sz w:val="3"/>
                <w:szCs w:val="3"/>
                <w:color w:val="auto"/>
              </w:rPr>
              <w:t>​   ​</w:t>
            </w:r>
          </w:p>
        </w:tc>
        <w:tc>
          <w:tcPr>
            <w:tcW w:w="1020" w:type="dxa"/>
            <w:vAlign w:val="bottom"/>
            <w:gridSpan w:val="2"/>
          </w:tcPr>
          <w:p>
            <w:pPr>
              <w:jc w:val="right"/>
              <w:ind w:right="10"/>
              <w:spacing w:after="0"/>
              <w:rPr>
                <w:sz w:val="20"/>
                <w:szCs w:val="20"/>
                <w:color w:val="auto"/>
              </w:rPr>
            </w:pPr>
            <w:r>
              <w:rPr>
                <w:rFonts w:ascii="Arial" w:cs="Arial" w:eastAsia="Arial" w:hAnsi="Arial"/>
                <w:sz w:val="12"/>
                <w:szCs w:val="12"/>
                <w:color w:val="auto"/>
              </w:rPr>
              <w:t xml:space="preserve">$38,477 </w:t>
            </w:r>
            <w:r>
              <w:rPr>
                <w:rFonts w:ascii="Arial" w:cs="Arial" w:eastAsia="Arial" w:hAnsi="Arial"/>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xml:space="preserve">$366,694 </w:t>
            </w:r>
            <w:r>
              <w:rPr>
                <w:rFonts w:ascii="Arial" w:cs="Arial" w:eastAsia="Arial" w:hAnsi="Arial"/>
                <w:sz w:val="3"/>
                <w:szCs w:val="3"/>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 xml:space="preserve">$1.32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20" w:type="dxa"/>
            <w:vAlign w:val="bottom"/>
          </w:tcPr>
          <w:p>
            <w:pPr>
              <w:ind w:left="20"/>
              <w:spacing w:after="0"/>
              <w:rPr>
                <w:sz w:val="20"/>
                <w:szCs w:val="20"/>
                <w:color w:val="auto"/>
              </w:rPr>
            </w:pPr>
            <w:r>
              <w:rPr>
                <w:rFonts w:ascii="Arial" w:cs="Arial" w:eastAsia="Arial" w:hAnsi="Arial"/>
                <w:sz w:val="12"/>
                <w:szCs w:val="12"/>
                <w:color w:val="auto"/>
              </w:rPr>
              <w:t>2021</w:t>
            </w:r>
          </w:p>
        </w:tc>
        <w:tc>
          <w:tcPr>
            <w:tcW w:w="120" w:type="dxa"/>
            <w:vAlign w:val="bottom"/>
          </w:tcPr>
          <w:p>
            <w:pPr>
              <w:ind w:left="60"/>
              <w:spacing w:after="0"/>
              <w:rPr>
                <w:sz w:val="20"/>
                <w:szCs w:val="20"/>
                <w:color w:val="auto"/>
              </w:rPr>
            </w:pPr>
            <w:r>
              <w:rPr>
                <w:rFonts w:ascii="Arial" w:cs="Arial" w:eastAsia="Arial" w:hAnsi="Arial"/>
                <w:sz w:val="4"/>
                <w:szCs w:val="4"/>
                <w:color w:val="auto"/>
              </w:rPr>
              <w:t>​   ​</w:t>
            </w:r>
          </w:p>
        </w:tc>
        <w:tc>
          <w:tcPr>
            <w:tcW w:w="900" w:type="dxa"/>
            <w:vAlign w:val="bottom"/>
          </w:tcPr>
          <w:p>
            <w:pPr>
              <w:jc w:val="center"/>
              <w:ind w:left="163"/>
              <w:spacing w:after="0"/>
              <w:rPr>
                <w:sz w:val="20"/>
                <w:szCs w:val="20"/>
                <w:color w:val="auto"/>
              </w:rPr>
            </w:pPr>
            <w:r>
              <w:rPr>
                <w:rFonts w:ascii="Arial" w:cs="Arial" w:eastAsia="Arial" w:hAnsi="Arial"/>
                <w:sz w:val="12"/>
                <w:szCs w:val="12"/>
                <w:color w:val="auto"/>
              </w:rPr>
              <w:t>$3,907,236</w:t>
            </w:r>
            <w:r>
              <w:rPr>
                <w:rFonts w:ascii="Arial" w:cs="Arial" w:eastAsia="Arial" w:hAnsi="Arial"/>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$6,191,856</w:t>
            </w:r>
            <w:r>
              <w:rPr>
                <w:rFonts w:ascii="Arial" w:cs="Arial" w:eastAsia="Arial" w:hAnsi="Arial"/>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$779,180</w:t>
            </w:r>
            <w:r>
              <w:rPr>
                <w:rFonts w:ascii="Arial" w:cs="Arial" w:eastAsia="Arial" w:hAnsi="Arial"/>
                <w:sz w:val="3"/>
                <w:szCs w:val="3"/>
                <w:color w:val="auto"/>
              </w:rPr>
              <w:t>​   ​</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$1,038,750</w:t>
            </w:r>
            <w:r>
              <w:rPr>
                <w:rFonts w:ascii="Arial" w:cs="Arial" w:eastAsia="Arial" w:hAnsi="Arial"/>
                <w:sz w:val="3"/>
                <w:szCs w:val="3"/>
                <w:color w:val="auto"/>
              </w:rPr>
              <w:t>​</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$167.34</w:t>
            </w:r>
            <w:r>
              <w:rPr>
                <w:rFonts w:ascii="Arial" w:cs="Arial" w:eastAsia="Arial" w:hAnsi="Arial"/>
                <w:sz w:val="3"/>
                <w:szCs w:val="3"/>
                <w:color w:val="auto"/>
              </w:rPr>
              <w:t>​   ​</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$153.88</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$24,094</w:t>
            </w:r>
            <w:r>
              <w:rPr>
                <w:rFonts w:ascii="Arial" w:cs="Arial" w:eastAsia="Arial" w:hAnsi="Arial"/>
                <w:sz w:val="3"/>
                <w:szCs w:val="3"/>
                <w:color w:val="auto"/>
              </w:rPr>
              <w:t>​   ​</w:t>
            </w:r>
          </w:p>
        </w:tc>
        <w:tc>
          <w:tcPr>
            <w:tcW w:w="1020" w:type="dxa"/>
            <w:vAlign w:val="bottom"/>
            <w:gridSpan w:val="2"/>
          </w:tcPr>
          <w:p>
            <w:pPr>
              <w:jc w:val="right"/>
              <w:ind w:right="10"/>
              <w:spacing w:after="0"/>
              <w:rPr>
                <w:sz w:val="20"/>
                <w:szCs w:val="20"/>
                <w:color w:val="auto"/>
              </w:rPr>
            </w:pPr>
            <w:r>
              <w:rPr>
                <w:rFonts w:ascii="Arial" w:cs="Arial" w:eastAsia="Arial" w:hAnsi="Arial"/>
                <w:sz w:val="12"/>
                <w:szCs w:val="12"/>
                <w:color w:val="auto"/>
              </w:rPr>
              <w:t xml:space="preserve">$44,456 </w:t>
            </w:r>
            <w:r>
              <w:rPr>
                <w:rFonts w:ascii="Arial" w:cs="Arial" w:eastAsia="Arial" w:hAnsi="Arial"/>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xml:space="preserve">$403,516 </w:t>
            </w:r>
            <w:r>
              <w:rPr>
                <w:rFonts w:ascii="Arial" w:cs="Arial" w:eastAsia="Arial" w:hAnsi="Arial"/>
                <w:sz w:val="3"/>
                <w:szCs w:val="3"/>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 xml:space="preserve">$1.60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2D64AF"/>
            </w:tcBorders>
          </w:tcPr>
          <w:p>
            <w:pPr>
              <w:spacing w:after="0"/>
              <w:rPr>
                <w:sz w:val="20"/>
                <w:szCs w:val="20"/>
                <w:color w:val="auto"/>
              </w:rPr>
            </w:pPr>
            <w:r>
              <w:rPr>
                <w:rFonts w:ascii="Arial" w:cs="Arial" w:eastAsia="Arial" w:hAnsi="Arial"/>
                <w:sz w:val="2"/>
                <w:szCs w:val="2"/>
                <w:color w:val="auto"/>
                <w:w w:val="4294942296"/>
              </w:rPr>
              <w:t>​</w:t>
            </w:r>
          </w:p>
        </w:tc>
        <w:tc>
          <w:tcPr>
            <w:tcW w:w="320" w:type="dxa"/>
            <w:vAlign w:val="bottom"/>
            <w:tcBorders>
              <w:bottom w:val="single" w:sz="8" w:color="2D64AF"/>
            </w:tcBorders>
          </w:tcPr>
          <w:p>
            <w:pPr>
              <w:ind w:left="20"/>
              <w:spacing w:after="0"/>
              <w:rPr>
                <w:sz w:val="20"/>
                <w:szCs w:val="20"/>
                <w:color w:val="auto"/>
              </w:rPr>
            </w:pPr>
            <w:r>
              <w:rPr>
                <w:rFonts w:ascii="Arial" w:cs="Arial" w:eastAsia="Arial" w:hAnsi="Arial"/>
                <w:sz w:val="12"/>
                <w:szCs w:val="12"/>
                <w:color w:val="auto"/>
              </w:rPr>
              <w:t>2022</w:t>
            </w:r>
          </w:p>
        </w:tc>
        <w:tc>
          <w:tcPr>
            <w:tcW w:w="120" w:type="dxa"/>
            <w:vAlign w:val="bottom"/>
            <w:tcBorders>
              <w:bottom w:val="single" w:sz="8" w:color="2D64AF"/>
            </w:tcBorders>
          </w:tcPr>
          <w:p>
            <w:pPr>
              <w:ind w:left="60"/>
              <w:spacing w:after="0"/>
              <w:rPr>
                <w:sz w:val="20"/>
                <w:szCs w:val="20"/>
                <w:color w:val="auto"/>
              </w:rPr>
            </w:pPr>
            <w:r>
              <w:rPr>
                <w:rFonts w:ascii="Arial" w:cs="Arial" w:eastAsia="Arial" w:hAnsi="Arial"/>
                <w:sz w:val="4"/>
                <w:szCs w:val="4"/>
                <w:color w:val="auto"/>
              </w:rPr>
              <w:t>​   ​</w:t>
            </w:r>
          </w:p>
        </w:tc>
        <w:tc>
          <w:tcPr>
            <w:tcW w:w="900" w:type="dxa"/>
            <w:vAlign w:val="bottom"/>
            <w:tcBorders>
              <w:bottom w:val="single" w:sz="8" w:color="2D64AF"/>
            </w:tcBorders>
          </w:tcPr>
          <w:p>
            <w:pPr>
              <w:jc w:val="center"/>
              <w:ind w:left="163"/>
              <w:spacing w:after="0"/>
              <w:rPr>
                <w:sz w:val="20"/>
                <w:szCs w:val="20"/>
                <w:color w:val="auto"/>
              </w:rPr>
            </w:pPr>
            <w:r>
              <w:rPr>
                <w:rFonts w:ascii="Arial" w:cs="Arial" w:eastAsia="Arial" w:hAnsi="Arial"/>
                <w:sz w:val="12"/>
                <w:szCs w:val="12"/>
                <w:color w:val="auto"/>
              </w:rPr>
              <w:t>$4,663,141</w:t>
            </w:r>
            <w:r>
              <w:rPr>
                <w:rFonts w:ascii="Arial" w:cs="Arial" w:eastAsia="Arial" w:hAnsi="Arial"/>
                <w:sz w:val="3"/>
                <w:szCs w:val="3"/>
                <w:color w:val="auto"/>
              </w:rPr>
              <w:t>​   ​</w:t>
            </w:r>
          </w:p>
        </w:tc>
        <w:tc>
          <w:tcPr>
            <w:tcW w:w="9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$4,229,571</w:t>
            </w:r>
            <w:r>
              <w:rPr>
                <w:rFonts w:ascii="Arial" w:cs="Arial" w:eastAsia="Arial" w:hAnsi="Arial"/>
                <w:sz w:val="3"/>
                <w:szCs w:val="3"/>
                <w:color w:val="auto"/>
              </w:rPr>
              <w:t>​   ​</w:t>
            </w:r>
          </w:p>
        </w:tc>
        <w:tc>
          <w:tcPr>
            <w:tcW w:w="10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$786,565</w:t>
            </w:r>
            <w:r>
              <w:rPr>
                <w:rFonts w:ascii="Arial" w:cs="Arial" w:eastAsia="Arial" w:hAnsi="Arial"/>
                <w:sz w:val="3"/>
                <w:szCs w:val="3"/>
                <w:color w:val="auto"/>
              </w:rPr>
              <w:t>​   ​</w:t>
            </w:r>
          </w:p>
        </w:tc>
        <w:tc>
          <w:tcPr>
            <w:tcW w:w="500" w:type="dxa"/>
            <w:vAlign w:val="bottom"/>
            <w:tcBorders>
              <w:bottom w:val="single" w:sz="8" w:color="2D64AF"/>
            </w:tcBorders>
          </w:tcPr>
          <w:p>
            <w:pPr>
              <w:jc w:val="center"/>
              <w:ind w:left="30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 xml:space="preserve">736,999 </w:t>
            </w:r>
            <w:r>
              <w:rPr>
                <w:rFonts w:ascii="Arial" w:cs="Arial" w:eastAsia="Arial" w:hAnsi="Arial"/>
                <w:sz w:val="3"/>
                <w:szCs w:val="3"/>
                <w:color w:val="auto"/>
              </w:rPr>
              <w:t>​</w:t>
            </w:r>
          </w:p>
        </w:tc>
        <w:tc>
          <w:tcPr>
            <w:tcW w:w="20" w:type="dxa"/>
            <w:vAlign w:val="bottom"/>
            <w:tcBorders>
              <w:bottom w:val="single" w:sz="8" w:color="2D64AF"/>
            </w:tcBorders>
          </w:tcPr>
          <w:p>
            <w:pPr>
              <w:spacing w:after="0"/>
              <w:rPr>
                <w:sz w:val="20"/>
                <w:szCs w:val="20"/>
                <w:color w:val="auto"/>
              </w:rPr>
            </w:pPr>
            <w:r>
              <w:rPr>
                <w:rFonts w:ascii="Arial" w:cs="Arial" w:eastAsia="Arial" w:hAnsi="Arial"/>
                <w:sz w:val="2"/>
                <w:szCs w:val="2"/>
                <w:color w:val="auto"/>
                <w:w w:val="4294942296"/>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$160.14</w:t>
            </w:r>
            <w:r>
              <w:rPr>
                <w:rFonts w:ascii="Arial" w:cs="Arial" w:eastAsia="Arial" w:hAnsi="Arial"/>
                <w:sz w:val="3"/>
                <w:szCs w:val="3"/>
                <w:color w:val="auto"/>
              </w:rPr>
              <w:t>​   ​</w:t>
            </w:r>
          </w:p>
        </w:tc>
        <w:tc>
          <w:tcPr>
            <w:tcW w:w="700" w:type="dxa"/>
            <w:vAlign w:val="bottom"/>
            <w:tcBorders>
              <w:bottom w:val="single" w:sz="8" w:color="2D64AF"/>
            </w:tcBorders>
            <w:gridSpan w:val="2"/>
          </w:tcPr>
          <w:p>
            <w:pPr>
              <w:jc w:val="right"/>
              <w:spacing w:after="0"/>
              <w:rPr>
                <w:sz w:val="20"/>
                <w:szCs w:val="20"/>
                <w:color w:val="auto"/>
              </w:rPr>
            </w:pPr>
            <w:r>
              <w:rPr>
                <w:rFonts w:ascii="Arial" w:cs="Arial" w:eastAsia="Arial" w:hAnsi="Arial"/>
                <w:sz w:val="12"/>
                <w:szCs w:val="12"/>
                <w:color w:val="auto"/>
              </w:rPr>
              <w:t>$130.04</w:t>
            </w:r>
          </w:p>
        </w:tc>
        <w:tc>
          <w:tcPr>
            <w:tcW w:w="40" w:type="dxa"/>
            <w:vAlign w:val="bottom"/>
            <w:tcBorders>
              <w:bottom w:val="single" w:sz="8" w:color="2D64AF"/>
            </w:tcBorders>
          </w:tcPr>
          <w:p>
            <w:pPr>
              <w:spacing w:after="0"/>
              <w:rPr>
                <w:sz w:val="20"/>
                <w:szCs w:val="20"/>
                <w:color w:val="auto"/>
              </w:rPr>
            </w:pPr>
            <w:r>
              <w:rPr>
                <w:rFonts w:ascii="Arial" w:cs="Arial" w:eastAsia="Arial" w:hAnsi="Arial"/>
                <w:sz w:val="4"/>
                <w:szCs w:val="4"/>
                <w:color w:val="auto"/>
              </w:rPr>
              <w:t>​</w:t>
            </w:r>
          </w:p>
        </w:tc>
        <w:tc>
          <w:tcPr>
            <w:tcW w:w="20" w:type="dxa"/>
            <w:vAlign w:val="bottom"/>
            <w:tcBorders>
              <w:bottom w:val="single" w:sz="8" w:color="2D64AF"/>
            </w:tcBorders>
          </w:tcPr>
          <w:p>
            <w:pPr>
              <w:jc w:val="right"/>
              <w:ind w:right="2"/>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$17,389</w:t>
            </w:r>
            <w:r>
              <w:rPr>
                <w:rFonts w:ascii="Arial" w:cs="Arial" w:eastAsia="Arial" w:hAnsi="Arial"/>
                <w:sz w:val="3"/>
                <w:szCs w:val="3"/>
                <w:color w:val="auto"/>
              </w:rPr>
              <w:t>​   ​</w:t>
            </w:r>
          </w:p>
        </w:tc>
        <w:tc>
          <w:tcPr>
            <w:tcW w:w="1020" w:type="dxa"/>
            <w:vAlign w:val="bottom"/>
            <w:tcBorders>
              <w:bottom w:val="single" w:sz="8" w:color="2D64AF"/>
            </w:tcBorders>
            <w:gridSpan w:val="2"/>
          </w:tcPr>
          <w:p>
            <w:pPr>
              <w:jc w:val="right"/>
              <w:ind w:right="10"/>
              <w:spacing w:after="0"/>
              <w:rPr>
                <w:sz w:val="20"/>
                <w:szCs w:val="20"/>
                <w:color w:val="auto"/>
              </w:rPr>
            </w:pPr>
            <w:r>
              <w:rPr>
                <w:rFonts w:ascii="Arial" w:cs="Arial" w:eastAsia="Arial" w:hAnsi="Arial"/>
                <w:sz w:val="12"/>
                <w:szCs w:val="12"/>
                <w:color w:val="auto"/>
              </w:rPr>
              <w:t xml:space="preserve">$56,859 </w:t>
            </w:r>
            <w:r>
              <w:rPr>
                <w:rFonts w:ascii="Arial" w:cs="Arial" w:eastAsia="Arial" w:hAnsi="Arial"/>
                <w:sz w:val="3"/>
                <w:szCs w:val="3"/>
                <w:color w:val="auto"/>
              </w:rPr>
              <w:t>​   ​</w:t>
            </w:r>
          </w:p>
        </w:tc>
        <w:tc>
          <w:tcPr>
            <w:tcW w:w="90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 xml:space="preserve">$502,988 </w:t>
            </w:r>
            <w:r>
              <w:rPr>
                <w:rFonts w:ascii="Arial" w:cs="Arial" w:eastAsia="Arial" w:hAnsi="Arial"/>
                <w:sz w:val="3"/>
                <w:szCs w:val="3"/>
                <w:color w:val="auto"/>
              </w:rPr>
              <w:t>​   ​</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 xml:space="preserve">$1.88 </w:t>
            </w:r>
            <w:r>
              <w:rPr>
                <w:rFonts w:ascii="Arial" w:cs="Arial" w:eastAsia="Arial" w:hAnsi="Arial"/>
                <w:sz w:val="3"/>
                <w:szCs w:val="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420" w:right="400" w:hanging="359"/>
        <w:spacing w:after="0" w:line="258" w:lineRule="auto"/>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Principal Executive Officer (“PEO”) represents Richard S. Warzala, Chairman of the Board of Directors, President and Chief Executive Officer of the Company.</w:t>
      </w:r>
    </w:p>
    <w:p>
      <w:pPr>
        <w:spacing w:after="0" w:line="29" w:lineRule="exact"/>
        <w:rPr>
          <w:rFonts w:ascii="Arial" w:cs="Arial" w:eastAsia="Arial" w:hAnsi="Arial"/>
          <w:sz w:val="13"/>
          <w:szCs w:val="13"/>
          <w:color w:val="auto"/>
        </w:rPr>
      </w:pPr>
    </w:p>
    <w:p>
      <w:pPr>
        <w:ind w:left="1420" w:right="240" w:hanging="359"/>
        <w:spacing w:after="0" w:line="245" w:lineRule="auto"/>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Named Executive Officers (“NEOs”) represent Michael R. Leach, Senior Vice President and Chief Financial Officer and Robert P. Maida, Senior Vice President and President of Allied Innovum Group for each of the years presented. In 2018, Kenneth Wyman, Vice President of Marketing, was also represented as an NEO. In the years 2020 – 2022, Ashish R. Bendre, Vice President and President of Allied Orion Group, and Helmut D. Pirthauer, Vice President and President of Allied Dynamos Group were represented as NEOs.</w:t>
      </w:r>
    </w:p>
    <w:p>
      <w:pPr>
        <w:spacing w:after="0" w:line="37" w:lineRule="exact"/>
        <w:rPr>
          <w:rFonts w:ascii="Arial" w:cs="Arial" w:eastAsia="Arial" w:hAnsi="Arial"/>
          <w:sz w:val="13"/>
          <w:szCs w:val="13"/>
          <w:color w:val="auto"/>
        </w:rPr>
      </w:pPr>
    </w:p>
    <w:p>
      <w:pPr>
        <w:ind w:left="1420" w:right="280" w:hanging="359"/>
        <w:spacing w:after="0" w:line="248" w:lineRule="auto"/>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Compensation Actually Paid represents the amounts presented in the Summary Compensation Table, modified to adjust the amounts included for equity awards. These modifications are valuation adjustments of Restricted Stock awards, revalued to show the change in fair value as of the reporting date. For detailed reconciliation, please see the tables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40640</wp:posOffset>
            </wp:positionV>
            <wp:extent cx="5554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2D64AF"/>
              </w:rPr>
              <w:t>Plus: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Plus: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2D64AF"/>
              </w:rPr>
              <w:t>Minus:</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Year-over-year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7"/>
        </w:trPr>
        <w:tc>
          <w:tcPr>
            <w:tcW w:w="5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Stock Awards Total </w:t>
            </w:r>
            <w:r>
              <w:rPr>
                <w:rFonts w:ascii="Arial" w:cs="Arial" w:eastAsia="Arial" w:hAnsi="Arial"/>
                <w:sz w:val="7"/>
                <w:szCs w:val="7"/>
                <w:color w:val="000000"/>
                <w:vertAlign w:val="subscript"/>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b w:val="1"/>
                <w:bCs w:val="1"/>
                <w:color w:val="2D64AF"/>
              </w:rPr>
              <w:t xml:space="preserve">change in Fair Value </w:t>
            </w:r>
            <w:r>
              <w:rPr>
                <w:rFonts w:ascii="Arial" w:cs="Arial" w:eastAsia="Arial" w:hAnsi="Arial"/>
                <w:sz w:val="7"/>
                <w:szCs w:val="7"/>
                <w:color w:val="000000"/>
                <w:vertAlign w:val="subscript"/>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Vesting Date of </w:t>
            </w:r>
            <w:r>
              <w:rPr>
                <w:rFonts w:ascii="Arial" w:cs="Arial" w:eastAsia="Arial" w:hAnsi="Arial"/>
                <w:sz w:val="7"/>
                <w:szCs w:val="7"/>
                <w:color w:val="000000"/>
                <w:vertAlign w:val="subscript"/>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123"/>
        </w:trPr>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106"/>
              <w:spacing w:after="0" w:line="124" w:lineRule="exact"/>
              <w:rPr>
                <w:sz w:val="20"/>
                <w:szCs w:val="20"/>
                <w:color w:val="auto"/>
              </w:rPr>
            </w:pPr>
            <w:r>
              <w:rPr>
                <w:rFonts w:ascii="Arial" w:cs="Arial" w:eastAsia="Arial" w:hAnsi="Arial"/>
                <w:sz w:val="12"/>
                <w:szCs w:val="12"/>
                <w:b w:val="1"/>
                <w:bCs w:val="1"/>
                <w:color w:val="2D64AF"/>
              </w:rPr>
              <w:t>Summary</w:t>
            </w:r>
          </w:p>
        </w:tc>
        <w:tc>
          <w:tcPr>
            <w:tcW w:w="260" w:type="dxa"/>
            <w:vAlign w:val="bottom"/>
          </w:tcPr>
          <w:p>
            <w:pPr>
              <w:spacing w:after="0"/>
              <w:rPr>
                <w:sz w:val="10"/>
                <w:szCs w:val="10"/>
                <w:color w:val="auto"/>
              </w:rPr>
            </w:pPr>
          </w:p>
        </w:tc>
        <w:tc>
          <w:tcPr>
            <w:tcW w:w="1420" w:type="dxa"/>
            <w:vAlign w:val="bottom"/>
          </w:tcPr>
          <w:p>
            <w:pPr>
              <w:jc w:val="right"/>
              <w:ind w:right="102"/>
              <w:spacing w:after="0" w:line="124" w:lineRule="exact"/>
              <w:rPr>
                <w:sz w:val="20"/>
                <w:szCs w:val="20"/>
                <w:color w:val="auto"/>
              </w:rPr>
            </w:pPr>
            <w:r>
              <w:rPr>
                <w:rFonts w:ascii="Arial" w:cs="Arial" w:eastAsia="Arial" w:hAnsi="Arial"/>
                <w:sz w:val="12"/>
                <w:szCs w:val="12"/>
                <w:b w:val="1"/>
                <w:bCs w:val="1"/>
                <w:color w:val="2D64AF"/>
              </w:rPr>
              <w:t>in Summary</w:t>
            </w:r>
          </w:p>
        </w:tc>
        <w:tc>
          <w:tcPr>
            <w:tcW w:w="280" w:type="dxa"/>
            <w:vAlign w:val="bottom"/>
          </w:tcPr>
          <w:p>
            <w:pPr>
              <w:spacing w:after="0"/>
              <w:rPr>
                <w:sz w:val="10"/>
                <w:szCs w:val="10"/>
                <w:color w:val="auto"/>
              </w:rPr>
            </w:pPr>
          </w:p>
        </w:tc>
        <w:tc>
          <w:tcPr>
            <w:tcW w:w="1300" w:type="dxa"/>
            <w:vAlign w:val="bottom"/>
            <w:gridSpan w:val="2"/>
          </w:tcPr>
          <w:p>
            <w:pPr>
              <w:jc w:val="right"/>
              <w:spacing w:after="0" w:line="124" w:lineRule="exact"/>
              <w:rPr>
                <w:sz w:val="20"/>
                <w:szCs w:val="20"/>
                <w:color w:val="auto"/>
              </w:rPr>
            </w:pPr>
            <w:r>
              <w:rPr>
                <w:rFonts w:ascii="Arial" w:cs="Arial" w:eastAsia="Arial" w:hAnsi="Arial"/>
                <w:sz w:val="12"/>
                <w:szCs w:val="12"/>
                <w:b w:val="1"/>
                <w:bCs w:val="1"/>
                <w:color w:val="2D64AF"/>
              </w:rPr>
              <w:t>of Outstanding and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82"/>
              <w:spacing w:after="0" w:line="124" w:lineRule="exact"/>
              <w:rPr>
                <w:sz w:val="20"/>
                <w:szCs w:val="20"/>
                <w:color w:val="auto"/>
              </w:rPr>
            </w:pPr>
            <w:r>
              <w:rPr>
                <w:rFonts w:ascii="Arial" w:cs="Arial" w:eastAsia="Arial" w:hAnsi="Arial"/>
                <w:sz w:val="12"/>
                <w:szCs w:val="12"/>
                <w:b w:val="1"/>
                <w:bCs w:val="1"/>
                <w:color w:val="2D64AF"/>
              </w:rPr>
              <w:t>Equity Awards that</w:t>
            </w:r>
          </w:p>
        </w:tc>
        <w:tc>
          <w:tcPr>
            <w:tcW w:w="260" w:type="dxa"/>
            <w:vAlign w:val="bottom"/>
          </w:tcPr>
          <w:p>
            <w:pPr>
              <w:spacing w:after="0"/>
              <w:rPr>
                <w:sz w:val="10"/>
                <w:szCs w:val="10"/>
                <w:color w:val="auto"/>
              </w:rPr>
            </w:pPr>
          </w:p>
        </w:tc>
        <w:tc>
          <w:tcPr>
            <w:tcW w:w="1020" w:type="dxa"/>
            <w:vAlign w:val="bottom"/>
            <w:gridSpan w:val="2"/>
          </w:tcPr>
          <w:p>
            <w:pPr>
              <w:jc w:val="right"/>
              <w:ind w:right="32"/>
              <w:spacing w:after="0" w:line="124"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66"/>
              <w:spacing w:after="0" w:line="135" w:lineRule="exact"/>
              <w:rPr>
                <w:sz w:val="20"/>
                <w:szCs w:val="20"/>
                <w:color w:val="auto"/>
              </w:rPr>
            </w:pPr>
            <w:r>
              <w:rPr>
                <w:rFonts w:ascii="Arial" w:cs="Arial" w:eastAsia="Arial" w:hAnsi="Arial"/>
                <w:sz w:val="12"/>
                <w:szCs w:val="12"/>
                <w:b w:val="1"/>
                <w:bCs w:val="1"/>
                <w:color w:val="2D64AF"/>
              </w:rPr>
              <w:t>Compensation Table</w:t>
            </w:r>
          </w:p>
        </w:tc>
        <w:tc>
          <w:tcPr>
            <w:tcW w:w="260" w:type="dxa"/>
            <w:vAlign w:val="bottom"/>
          </w:tcPr>
          <w:p>
            <w:pPr>
              <w:spacing w:after="0"/>
              <w:rPr>
                <w:sz w:val="11"/>
                <w:szCs w:val="11"/>
                <w:color w:val="auto"/>
              </w:rPr>
            </w:pPr>
          </w:p>
        </w:tc>
        <w:tc>
          <w:tcPr>
            <w:tcW w:w="14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Unvested Equity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Vested during the</w:t>
            </w:r>
          </w:p>
        </w:tc>
        <w:tc>
          <w:tcPr>
            <w:tcW w:w="260" w:type="dxa"/>
            <w:vAlign w:val="bottom"/>
          </w:tcPr>
          <w:p>
            <w:pPr>
              <w:spacing w:after="0"/>
              <w:rPr>
                <w:sz w:val="11"/>
                <w:szCs w:val="11"/>
                <w:color w:val="auto"/>
              </w:rPr>
            </w:pPr>
          </w:p>
        </w:tc>
        <w:tc>
          <w:tcPr>
            <w:tcW w:w="1020" w:type="dxa"/>
            <w:vAlign w:val="bottom"/>
            <w:gridSpan w:val="2"/>
          </w:tcPr>
          <w:p>
            <w:pPr>
              <w:jc w:val="right"/>
              <w:ind w:right="1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54"/>
        </w:trPr>
        <w:tc>
          <w:tcPr>
            <w:tcW w:w="52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b w:val="1"/>
                <w:bCs w:val="1"/>
                <w:color w:val="2D64AF"/>
              </w:rPr>
              <w:t>Total for PEO</w:t>
            </w:r>
          </w:p>
        </w:tc>
        <w:tc>
          <w:tcPr>
            <w:tcW w:w="260" w:type="dxa"/>
            <w:vAlign w:val="bottom"/>
          </w:tcPr>
          <w:p>
            <w:pPr>
              <w:spacing w:after="0"/>
              <w:rPr>
                <w:sz w:val="13"/>
                <w:szCs w:val="13"/>
                <w:color w:val="auto"/>
              </w:rPr>
            </w:pPr>
          </w:p>
        </w:tc>
        <w:tc>
          <w:tcPr>
            <w:tcW w:w="1420" w:type="dxa"/>
            <w:vAlign w:val="bottom"/>
          </w:tcPr>
          <w:p>
            <w:pPr>
              <w:jc w:val="right"/>
              <w:ind w:right="62"/>
              <w:spacing w:after="0"/>
              <w:rPr>
                <w:sz w:val="20"/>
                <w:szCs w:val="20"/>
                <w:color w:val="auto"/>
              </w:rPr>
            </w:pPr>
            <w:r>
              <w:rPr>
                <w:rFonts w:ascii="Arial" w:cs="Arial" w:eastAsia="Arial" w:hAnsi="Arial"/>
                <w:sz w:val="12"/>
                <w:szCs w:val="12"/>
                <w:b w:val="1"/>
                <w:bCs w:val="1"/>
                <w:color w:val="2D64AF"/>
              </w:rPr>
              <w:t>for PEO</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2D64AF"/>
              </w:rPr>
              <w:t>Awards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Year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2"/>
              <w:spacing w:after="0"/>
              <w:rPr>
                <w:sz w:val="20"/>
                <w:szCs w:val="20"/>
                <w:color w:val="auto"/>
              </w:rPr>
            </w:pPr>
            <w:r>
              <w:rPr>
                <w:rFonts w:ascii="Arial" w:cs="Arial" w:eastAsia="Arial" w:hAnsi="Arial"/>
                <w:sz w:val="12"/>
                <w:szCs w:val="12"/>
                <w:b w:val="1"/>
                <w:bCs w:val="1"/>
                <w:color w:val="2D64AF"/>
              </w:rPr>
              <w:t>to PEO</w:t>
            </w:r>
          </w:p>
        </w:tc>
      </w:tr>
      <w:tr>
        <w:trPr>
          <w:trHeight w:val="74"/>
        </w:trPr>
        <w:tc>
          <w:tcPr>
            <w:tcW w:w="520" w:type="dxa"/>
            <w:vAlign w:val="bottom"/>
            <w:tcBorders>
              <w:bottom w:val="single" w:sz="8" w:color="2D64AF"/>
            </w:tcBorders>
          </w:tcPr>
          <w:p>
            <w:pPr>
              <w:spacing w:after="0"/>
              <w:rPr>
                <w:sz w:val="6"/>
                <w:szCs w:val="6"/>
                <w:color w:val="auto"/>
              </w:rPr>
            </w:pPr>
          </w:p>
        </w:tc>
        <w:tc>
          <w:tcPr>
            <w:tcW w:w="32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40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420" w:type="dxa"/>
            <w:vAlign w:val="bottom"/>
            <w:tcBorders>
              <w:bottom w:val="single" w:sz="8" w:color="2D64AF"/>
            </w:tcBorders>
          </w:tcPr>
          <w:p>
            <w:pPr>
              <w:spacing w:after="0"/>
              <w:rPr>
                <w:sz w:val="6"/>
                <w:szCs w:val="6"/>
                <w:color w:val="auto"/>
              </w:rPr>
            </w:pPr>
          </w:p>
        </w:tc>
        <w:tc>
          <w:tcPr>
            <w:tcW w:w="280" w:type="dxa"/>
            <w:vAlign w:val="bottom"/>
            <w:tcBorders>
              <w:bottom w:val="single" w:sz="8" w:color="2D64AF"/>
            </w:tcBorders>
          </w:tcPr>
          <w:p>
            <w:pPr>
              <w:spacing w:after="0"/>
              <w:rPr>
                <w:sz w:val="6"/>
                <w:szCs w:val="6"/>
                <w:color w:val="auto"/>
              </w:rPr>
            </w:pPr>
          </w:p>
        </w:tc>
        <w:tc>
          <w:tcPr>
            <w:tcW w:w="1420" w:type="dxa"/>
            <w:vAlign w:val="bottom"/>
            <w:tcBorders>
              <w:bottom w:val="single" w:sz="8" w:color="2D64AF"/>
            </w:tcBorders>
            <w:gridSpan w:val="3"/>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34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020" w:type="dxa"/>
            <w:vAlign w:val="bottom"/>
            <w:tcBorders>
              <w:bottom w:val="single" w:sz="8" w:color="2D64AF"/>
            </w:tcBorders>
            <w:gridSpan w:val="2"/>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2018</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$2,389,704</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62"/>
              <w:spacing w:after="0"/>
              <w:rPr>
                <w:sz w:val="20"/>
                <w:szCs w:val="20"/>
                <w:color w:val="auto"/>
              </w:rPr>
            </w:pPr>
            <w:r>
              <w:rPr>
                <w:rFonts w:ascii="Arial" w:cs="Arial" w:eastAsia="Arial" w:hAnsi="Arial"/>
                <w:sz w:val="12"/>
                <w:szCs w:val="12"/>
                <w:color w:val="auto"/>
              </w:rPr>
              <w:t xml:space="preserve">$  514,184 </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color w:val="auto"/>
              </w:rPr>
              <w:t xml:space="preserve">$ (878,415)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$2,698,087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$3,695,192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2019</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$4,279,423</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62"/>
              <w:spacing w:after="0"/>
              <w:rPr>
                <w:sz w:val="20"/>
                <w:szCs w:val="20"/>
                <w:color w:val="auto"/>
              </w:rPr>
            </w:pPr>
            <w:r>
              <w:rPr>
                <w:rFonts w:ascii="Arial" w:cs="Arial" w:eastAsia="Arial" w:hAnsi="Arial"/>
                <w:sz w:val="12"/>
                <w:szCs w:val="12"/>
                <w:color w:val="auto"/>
              </w:rPr>
              <w:t xml:space="preserve">$2,351,581 </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color w:val="auto"/>
              </w:rPr>
              <w:t xml:space="preserve">$1,255,038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  850,743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$4,033,623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2020</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$3,425,573</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62"/>
              <w:spacing w:after="0"/>
              <w:rPr>
                <w:sz w:val="20"/>
                <w:szCs w:val="20"/>
                <w:color w:val="auto"/>
              </w:rPr>
            </w:pPr>
            <w:r>
              <w:rPr>
                <w:rFonts w:ascii="Arial" w:cs="Arial" w:eastAsia="Arial" w:hAnsi="Arial"/>
                <w:sz w:val="12"/>
                <w:szCs w:val="12"/>
                <w:color w:val="auto"/>
              </w:rPr>
              <w:t xml:space="preserve">$2,429,647 </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2"/>
              <w:spacing w:after="0"/>
              <w:rPr>
                <w:sz w:val="20"/>
                <w:szCs w:val="20"/>
                <w:color w:val="auto"/>
              </w:rPr>
            </w:pPr>
            <w:r>
              <w:rPr>
                <w:rFonts w:ascii="Arial" w:cs="Arial" w:eastAsia="Arial" w:hAnsi="Arial"/>
                <w:sz w:val="12"/>
                <w:szCs w:val="12"/>
                <w:color w:val="auto"/>
              </w:rPr>
              <w:t xml:space="preserve">867,338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$1,590,151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$3,453,415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2021</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$3,907,236</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62"/>
              <w:spacing w:after="0"/>
              <w:rPr>
                <w:sz w:val="20"/>
                <w:szCs w:val="20"/>
                <w:color w:val="auto"/>
              </w:rPr>
            </w:pPr>
            <w:r>
              <w:rPr>
                <w:rFonts w:ascii="Arial" w:cs="Arial" w:eastAsia="Arial" w:hAnsi="Arial"/>
                <w:sz w:val="12"/>
                <w:szCs w:val="12"/>
                <w:color w:val="auto"/>
              </w:rPr>
              <w:t xml:space="preserve">$1,648,214 </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color w:val="auto"/>
              </w:rPr>
              <w:t xml:space="preserve">$1,300,034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$2,632,800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$6,191,856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43"/>
        </w:trPr>
        <w:tc>
          <w:tcPr>
            <w:tcW w:w="52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2022</w:t>
            </w:r>
          </w:p>
        </w:tc>
        <w:tc>
          <w:tcPr>
            <w:tcW w:w="320" w:type="dxa"/>
            <w:vAlign w:val="bottom"/>
            <w:tcBorders>
              <w:bottom w:val="single" w:sz="8" w:color="2D64AF"/>
            </w:tcBorders>
          </w:tcPr>
          <w:p>
            <w:pPr>
              <w:ind w:left="200"/>
              <w:spacing w:after="0"/>
              <w:rPr>
                <w:sz w:val="20"/>
                <w:szCs w:val="20"/>
                <w:color w:val="auto"/>
              </w:rPr>
            </w:pPr>
            <w:r>
              <w:rPr>
                <w:rFonts w:ascii="Arial" w:cs="Arial" w:eastAsia="Arial" w:hAnsi="Arial"/>
                <w:sz w:val="4"/>
                <w:szCs w:val="4"/>
                <w:color w:val="auto"/>
              </w:rPr>
              <w:t>​</w:t>
            </w:r>
          </w:p>
        </w:tc>
        <w:tc>
          <w:tcPr>
            <w:tcW w:w="260" w:type="dxa"/>
            <w:vAlign w:val="bottom"/>
            <w:tcBorders>
              <w:bottom w:val="single" w:sz="8" w:color="2D64AF"/>
            </w:tcBorders>
          </w:tcPr>
          <w:p>
            <w:pPr>
              <w:ind w:left="140"/>
              <w:spacing w:after="0"/>
              <w:rPr>
                <w:sz w:val="20"/>
                <w:szCs w:val="20"/>
                <w:color w:val="auto"/>
              </w:rPr>
            </w:pPr>
            <w:r>
              <w:rPr>
                <w:rFonts w:ascii="Arial" w:cs="Arial" w:eastAsia="Arial" w:hAnsi="Arial"/>
                <w:sz w:val="4"/>
                <w:szCs w:val="4"/>
                <w:color w:val="auto"/>
              </w:rPr>
              <w:t>​</w:t>
            </w:r>
          </w:p>
        </w:tc>
        <w:tc>
          <w:tcPr>
            <w:tcW w:w="1400" w:type="dxa"/>
            <w:vAlign w:val="bottom"/>
            <w:tcBorders>
              <w:bottom w:val="single" w:sz="8" w:color="2D64AF"/>
            </w:tcBorders>
          </w:tcPr>
          <w:p>
            <w:pPr>
              <w:jc w:val="right"/>
              <w:ind w:right="66"/>
              <w:spacing w:after="0"/>
              <w:rPr>
                <w:sz w:val="20"/>
                <w:szCs w:val="20"/>
                <w:color w:val="auto"/>
              </w:rPr>
            </w:pPr>
            <w:r>
              <w:rPr>
                <w:rFonts w:ascii="Arial" w:cs="Arial" w:eastAsia="Arial" w:hAnsi="Arial"/>
                <w:sz w:val="12"/>
                <w:szCs w:val="12"/>
                <w:color w:val="auto"/>
              </w:rPr>
              <w:t>$4,663,141</w:t>
            </w:r>
            <w:r>
              <w:rPr>
                <w:rFonts w:ascii="Arial" w:cs="Arial" w:eastAsia="Arial" w:hAnsi="Arial"/>
                <w:sz w:val="3"/>
                <w:szCs w:val="3"/>
                <w:color w:val="auto"/>
              </w:rPr>
              <w:t>​</w:t>
            </w:r>
          </w:p>
        </w:tc>
        <w:tc>
          <w:tcPr>
            <w:tcW w:w="260" w:type="dxa"/>
            <w:vAlign w:val="bottom"/>
            <w:tcBorders>
              <w:bottom w:val="single" w:sz="8" w:color="2D64AF"/>
            </w:tcBorders>
          </w:tcPr>
          <w:p>
            <w:pPr>
              <w:ind w:left="140"/>
              <w:spacing w:after="0"/>
              <w:rPr>
                <w:sz w:val="20"/>
                <w:szCs w:val="20"/>
                <w:color w:val="auto"/>
              </w:rPr>
            </w:pPr>
            <w:r>
              <w:rPr>
                <w:rFonts w:ascii="Arial" w:cs="Arial" w:eastAsia="Arial" w:hAnsi="Arial"/>
                <w:sz w:val="4"/>
                <w:szCs w:val="4"/>
                <w:color w:val="auto"/>
              </w:rPr>
              <w:t>​</w:t>
            </w:r>
          </w:p>
        </w:tc>
        <w:tc>
          <w:tcPr>
            <w:tcW w:w="142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$2,688,339 </w:t>
            </w:r>
            <w:r>
              <w:rPr>
                <w:rFonts w:ascii="Arial" w:cs="Arial" w:eastAsia="Arial" w:hAnsi="Arial"/>
                <w:sz w:val="3"/>
                <w:szCs w:val="3"/>
                <w:color w:val="auto"/>
              </w:rPr>
              <w:t>​</w:t>
            </w:r>
          </w:p>
        </w:tc>
        <w:tc>
          <w:tcPr>
            <w:tcW w:w="280" w:type="dxa"/>
            <w:vAlign w:val="bottom"/>
            <w:tcBorders>
              <w:bottom w:val="single" w:sz="8" w:color="2D64AF"/>
            </w:tcBorders>
          </w:tcPr>
          <w:p>
            <w:pPr>
              <w:ind w:left="120"/>
              <w:spacing w:after="0"/>
              <w:rPr>
                <w:sz w:val="20"/>
                <w:szCs w:val="20"/>
                <w:color w:val="auto"/>
              </w:rPr>
            </w:pPr>
            <w:r>
              <w:rPr>
                <w:rFonts w:ascii="Arial" w:cs="Arial" w:eastAsia="Arial" w:hAnsi="Arial"/>
                <w:sz w:val="4"/>
                <w:szCs w:val="4"/>
                <w:color w:val="auto"/>
              </w:rPr>
              <w:t>​</w:t>
            </w:r>
          </w:p>
        </w:tc>
        <w:tc>
          <w:tcPr>
            <w:tcW w:w="72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2D64AF"/>
            </w:tcBorders>
            <w:gridSpan w:val="2"/>
          </w:tcPr>
          <w:p>
            <w:pPr>
              <w:jc w:val="right"/>
              <w:ind w:right="102"/>
              <w:spacing w:after="0"/>
              <w:rPr>
                <w:sz w:val="20"/>
                <w:szCs w:val="20"/>
                <w:color w:val="auto"/>
              </w:rPr>
            </w:pPr>
            <w:r>
              <w:rPr>
                <w:rFonts w:ascii="Arial" w:cs="Arial" w:eastAsia="Arial" w:hAnsi="Arial"/>
                <w:sz w:val="12"/>
                <w:szCs w:val="12"/>
                <w:color w:val="auto"/>
              </w:rPr>
              <w:t xml:space="preserve">(14,749) </w:t>
            </w:r>
            <w:r>
              <w:rPr>
                <w:rFonts w:ascii="Arial" w:cs="Arial" w:eastAsia="Arial" w:hAnsi="Arial"/>
                <w:sz w:val="3"/>
                <w:szCs w:val="3"/>
                <w:color w:val="auto"/>
              </w:rPr>
              <w:t>​</w:t>
            </w:r>
          </w:p>
        </w:tc>
        <w:tc>
          <w:tcPr>
            <w:tcW w:w="260" w:type="dxa"/>
            <w:vAlign w:val="bottom"/>
            <w:tcBorders>
              <w:bottom w:val="single" w:sz="8" w:color="2D64AF"/>
            </w:tcBorders>
          </w:tcPr>
          <w:p>
            <w:pPr>
              <w:ind w:left="120"/>
              <w:spacing w:after="0"/>
              <w:rPr>
                <w:sz w:val="20"/>
                <w:szCs w:val="20"/>
                <w:color w:val="auto"/>
              </w:rPr>
            </w:pPr>
            <w:r>
              <w:rPr>
                <w:rFonts w:ascii="Arial" w:cs="Arial" w:eastAsia="Arial" w:hAnsi="Arial"/>
                <w:sz w:val="4"/>
                <w:szCs w:val="4"/>
                <w:color w:val="auto"/>
              </w:rPr>
              <w:t>​</w:t>
            </w:r>
          </w:p>
        </w:tc>
        <w:tc>
          <w:tcPr>
            <w:tcW w:w="134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$2,269,518 </w:t>
            </w:r>
            <w:r>
              <w:rPr>
                <w:rFonts w:ascii="Arial" w:cs="Arial" w:eastAsia="Arial" w:hAnsi="Arial"/>
                <w:sz w:val="3"/>
                <w:szCs w:val="3"/>
                <w:color w:val="auto"/>
              </w:rPr>
              <w:t>​</w:t>
            </w:r>
          </w:p>
        </w:tc>
        <w:tc>
          <w:tcPr>
            <w:tcW w:w="260" w:type="dxa"/>
            <w:vAlign w:val="bottom"/>
            <w:tcBorders>
              <w:bottom w:val="single" w:sz="8" w:color="2D64AF"/>
            </w:tcBorders>
          </w:tcPr>
          <w:p>
            <w:pPr>
              <w:ind w:left="120"/>
              <w:spacing w:after="0"/>
              <w:rPr>
                <w:sz w:val="20"/>
                <w:szCs w:val="20"/>
                <w:color w:val="auto"/>
              </w:rPr>
            </w:pPr>
            <w:r>
              <w:rPr>
                <w:rFonts w:ascii="Arial" w:cs="Arial" w:eastAsia="Arial" w:hAnsi="Arial"/>
                <w:sz w:val="4"/>
                <w:szCs w:val="4"/>
                <w:color w:val="auto"/>
              </w:rPr>
              <w:t>​</w:t>
            </w:r>
          </w:p>
        </w:tc>
        <w:tc>
          <w:tcPr>
            <w:tcW w:w="1020" w:type="dxa"/>
            <w:vAlign w:val="bottom"/>
            <w:tcBorders>
              <w:bottom w:val="single" w:sz="8" w:color="2D64AF"/>
            </w:tcBorders>
            <w:gridSpan w:val="2"/>
          </w:tcPr>
          <w:p>
            <w:pPr>
              <w:jc w:val="right"/>
              <w:spacing w:after="0"/>
              <w:rPr>
                <w:sz w:val="20"/>
                <w:szCs w:val="20"/>
                <w:color w:val="auto"/>
              </w:rPr>
            </w:pPr>
            <w:r>
              <w:rPr>
                <w:rFonts w:ascii="Arial" w:cs="Arial" w:eastAsia="Arial" w:hAnsi="Arial"/>
                <w:sz w:val="12"/>
                <w:szCs w:val="12"/>
                <w:color w:val="auto"/>
              </w:rPr>
              <w:t xml:space="preserve">$4,229,571 </w:t>
            </w:r>
            <w:r>
              <w:rPr>
                <w:rFonts w:ascii="Arial" w:cs="Arial" w:eastAsia="Arial" w:hAnsi="Arial"/>
                <w:sz w:val="3"/>
                <w:szCs w:val="3"/>
                <w:color w:val="auto"/>
              </w:rPr>
              <w:t>​</w:t>
            </w:r>
          </w:p>
        </w:tc>
      </w:tr>
      <w:tr>
        <w:trPr>
          <w:trHeight w:val="68"/>
        </w:trPr>
        <w:tc>
          <w:tcPr>
            <w:tcW w:w="520" w:type="dxa"/>
            <w:vAlign w:val="bottom"/>
            <w:tcBorders>
              <w:bottom w:val="single" w:sz="8" w:color="2D64AF"/>
            </w:tcBorders>
          </w:tcPr>
          <w:p>
            <w:pPr>
              <w:spacing w:after="0"/>
              <w:rPr>
                <w:sz w:val="5"/>
                <w:szCs w:val="5"/>
                <w:color w:val="auto"/>
              </w:rPr>
            </w:pPr>
          </w:p>
        </w:tc>
        <w:tc>
          <w:tcPr>
            <w:tcW w:w="3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42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720" w:type="dxa"/>
            <w:vAlign w:val="bottom"/>
            <w:tcBorders>
              <w:bottom w:val="single" w:sz="8" w:color="2D64AF"/>
            </w:tcBorders>
          </w:tcPr>
          <w:p>
            <w:pPr>
              <w:spacing w:after="0"/>
              <w:rPr>
                <w:sz w:val="5"/>
                <w:szCs w:val="5"/>
                <w:color w:val="auto"/>
              </w:rPr>
            </w:pPr>
          </w:p>
        </w:tc>
        <w:tc>
          <w:tcPr>
            <w:tcW w:w="58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34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460" w:type="dxa"/>
            <w:vAlign w:val="bottom"/>
            <w:tcBorders>
              <w:bottom w:val="single" w:sz="8" w:color="2D64AF"/>
            </w:tcBorders>
          </w:tcPr>
          <w:p>
            <w:pPr>
              <w:spacing w:after="0"/>
              <w:rPr>
                <w:sz w:val="5"/>
                <w:szCs w:val="5"/>
                <w:color w:val="auto"/>
              </w:rPr>
            </w:pPr>
          </w:p>
        </w:tc>
        <w:tc>
          <w:tcPr>
            <w:tcW w:w="560" w:type="dxa"/>
            <w:vAlign w:val="bottom"/>
            <w:tcBorders>
              <w:bottom w:val="single" w:sz="8" w:color="2D64AF"/>
            </w:tcBorders>
          </w:tcPr>
          <w:p>
            <w:pPr>
              <w:spacing w:after="0"/>
              <w:rPr>
                <w:sz w:val="5"/>
                <w:szCs w:val="5"/>
                <w:color w:val="auto"/>
              </w:rPr>
            </w:pPr>
          </w:p>
        </w:tc>
      </w:t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2D64AF"/>
              </w:rPr>
              <w:t>Plus: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Plus: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Minus:</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Year-over-year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7"/>
        </w:trPr>
        <w:tc>
          <w:tcPr>
            <w:tcW w:w="5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b w:val="1"/>
                <w:bCs w:val="1"/>
                <w:color w:val="2D64AF"/>
              </w:rPr>
              <w:t xml:space="preserve">Stock Awards Total </w:t>
            </w:r>
            <w:r>
              <w:rPr>
                <w:rFonts w:ascii="Arial" w:cs="Arial" w:eastAsia="Arial" w:hAnsi="Arial"/>
                <w:sz w:val="7"/>
                <w:szCs w:val="7"/>
                <w:color w:val="000000"/>
                <w:vertAlign w:val="subscript"/>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b w:val="1"/>
                <w:bCs w:val="1"/>
                <w:color w:val="2D64AF"/>
              </w:rPr>
              <w:t xml:space="preserve">change in Fair Value </w:t>
            </w:r>
            <w:r>
              <w:rPr>
                <w:rFonts w:ascii="Arial" w:cs="Arial" w:eastAsia="Arial" w:hAnsi="Arial"/>
                <w:sz w:val="7"/>
                <w:szCs w:val="7"/>
                <w:color w:val="000000"/>
                <w:vertAlign w:val="subscript"/>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Vesting Date of </w:t>
            </w:r>
            <w:r>
              <w:rPr>
                <w:rFonts w:ascii="Arial" w:cs="Arial" w:eastAsia="Arial" w:hAnsi="Arial"/>
                <w:sz w:val="7"/>
                <w:szCs w:val="7"/>
                <w:color w:val="000000"/>
                <w:vertAlign w:val="subscript"/>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123"/>
        </w:trPr>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106"/>
              <w:spacing w:after="0" w:line="124" w:lineRule="exact"/>
              <w:rPr>
                <w:sz w:val="20"/>
                <w:szCs w:val="20"/>
                <w:color w:val="auto"/>
              </w:rPr>
            </w:pPr>
            <w:r>
              <w:rPr>
                <w:rFonts w:ascii="Arial" w:cs="Arial" w:eastAsia="Arial" w:hAnsi="Arial"/>
                <w:sz w:val="12"/>
                <w:szCs w:val="12"/>
                <w:b w:val="1"/>
                <w:bCs w:val="1"/>
                <w:color w:val="2D64AF"/>
              </w:rPr>
              <w:t>Average Summary</w:t>
            </w:r>
          </w:p>
        </w:tc>
        <w:tc>
          <w:tcPr>
            <w:tcW w:w="260" w:type="dxa"/>
            <w:vAlign w:val="bottom"/>
          </w:tcPr>
          <w:p>
            <w:pPr>
              <w:spacing w:after="0"/>
              <w:rPr>
                <w:sz w:val="10"/>
                <w:szCs w:val="10"/>
                <w:color w:val="auto"/>
              </w:rPr>
            </w:pPr>
          </w:p>
        </w:tc>
        <w:tc>
          <w:tcPr>
            <w:tcW w:w="1420" w:type="dxa"/>
            <w:vAlign w:val="bottom"/>
          </w:tcPr>
          <w:p>
            <w:pPr>
              <w:jc w:val="right"/>
              <w:ind w:right="122"/>
              <w:spacing w:after="0" w:line="124" w:lineRule="exact"/>
              <w:rPr>
                <w:sz w:val="20"/>
                <w:szCs w:val="20"/>
                <w:color w:val="auto"/>
              </w:rPr>
            </w:pPr>
            <w:r>
              <w:rPr>
                <w:rFonts w:ascii="Arial" w:cs="Arial" w:eastAsia="Arial" w:hAnsi="Arial"/>
                <w:sz w:val="12"/>
                <w:szCs w:val="12"/>
                <w:b w:val="1"/>
                <w:bCs w:val="1"/>
                <w:color w:val="2D64AF"/>
              </w:rPr>
              <w:t>in Summary</w:t>
            </w:r>
          </w:p>
        </w:tc>
        <w:tc>
          <w:tcPr>
            <w:tcW w:w="280" w:type="dxa"/>
            <w:vAlign w:val="bottom"/>
          </w:tcPr>
          <w:p>
            <w:pPr>
              <w:spacing w:after="0"/>
              <w:rPr>
                <w:sz w:val="10"/>
                <w:szCs w:val="10"/>
                <w:color w:val="auto"/>
              </w:rPr>
            </w:pPr>
          </w:p>
        </w:tc>
        <w:tc>
          <w:tcPr>
            <w:tcW w:w="1300" w:type="dxa"/>
            <w:vAlign w:val="bottom"/>
            <w:gridSpan w:val="2"/>
          </w:tcPr>
          <w:p>
            <w:pPr>
              <w:jc w:val="right"/>
              <w:spacing w:after="0" w:line="124" w:lineRule="exact"/>
              <w:rPr>
                <w:sz w:val="20"/>
                <w:szCs w:val="20"/>
                <w:color w:val="auto"/>
              </w:rPr>
            </w:pPr>
            <w:r>
              <w:rPr>
                <w:rFonts w:ascii="Arial" w:cs="Arial" w:eastAsia="Arial" w:hAnsi="Arial"/>
                <w:sz w:val="12"/>
                <w:szCs w:val="12"/>
                <w:b w:val="1"/>
                <w:bCs w:val="1"/>
                <w:color w:val="2D64AF"/>
              </w:rPr>
              <w:t>of Outstanding and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82"/>
              <w:spacing w:after="0" w:line="124" w:lineRule="exact"/>
              <w:rPr>
                <w:sz w:val="20"/>
                <w:szCs w:val="20"/>
                <w:color w:val="auto"/>
              </w:rPr>
            </w:pPr>
            <w:r>
              <w:rPr>
                <w:rFonts w:ascii="Arial" w:cs="Arial" w:eastAsia="Arial" w:hAnsi="Arial"/>
                <w:sz w:val="12"/>
                <w:szCs w:val="12"/>
                <w:b w:val="1"/>
                <w:bCs w:val="1"/>
                <w:color w:val="2D64AF"/>
              </w:rPr>
              <w:t>Equity Awards that</w:t>
            </w:r>
          </w:p>
        </w:tc>
        <w:tc>
          <w:tcPr>
            <w:tcW w:w="260" w:type="dxa"/>
            <w:vAlign w:val="bottom"/>
          </w:tcPr>
          <w:p>
            <w:pPr>
              <w:spacing w:after="0"/>
              <w:rPr>
                <w:sz w:val="10"/>
                <w:szCs w:val="10"/>
                <w:color w:val="auto"/>
              </w:rPr>
            </w:pPr>
          </w:p>
        </w:tc>
        <w:tc>
          <w:tcPr>
            <w:tcW w:w="1020" w:type="dxa"/>
            <w:vAlign w:val="bottom"/>
            <w:gridSpan w:val="2"/>
          </w:tcPr>
          <w:p>
            <w:pPr>
              <w:jc w:val="right"/>
              <w:ind w:right="32"/>
              <w:spacing w:after="0" w:line="124"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66"/>
              <w:spacing w:after="0" w:line="135" w:lineRule="exact"/>
              <w:rPr>
                <w:sz w:val="20"/>
                <w:szCs w:val="20"/>
                <w:color w:val="auto"/>
              </w:rPr>
            </w:pPr>
            <w:r>
              <w:rPr>
                <w:rFonts w:ascii="Arial" w:cs="Arial" w:eastAsia="Arial" w:hAnsi="Arial"/>
                <w:sz w:val="12"/>
                <w:szCs w:val="12"/>
                <w:b w:val="1"/>
                <w:bCs w:val="1"/>
                <w:color w:val="2D64AF"/>
              </w:rPr>
              <w:t>Compensation Table</w:t>
            </w:r>
          </w:p>
        </w:tc>
        <w:tc>
          <w:tcPr>
            <w:tcW w:w="260" w:type="dxa"/>
            <w:vAlign w:val="bottom"/>
          </w:tcPr>
          <w:p>
            <w:pPr>
              <w:spacing w:after="0"/>
              <w:rPr>
                <w:sz w:val="11"/>
                <w:szCs w:val="11"/>
                <w:color w:val="auto"/>
              </w:rPr>
            </w:pPr>
          </w:p>
        </w:tc>
        <w:tc>
          <w:tcPr>
            <w:tcW w:w="142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Unvested Equity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Vested during the</w:t>
            </w:r>
          </w:p>
        </w:tc>
        <w:tc>
          <w:tcPr>
            <w:tcW w:w="260" w:type="dxa"/>
            <w:vAlign w:val="bottom"/>
          </w:tcPr>
          <w:p>
            <w:pPr>
              <w:spacing w:after="0"/>
              <w:rPr>
                <w:sz w:val="11"/>
                <w:szCs w:val="11"/>
                <w:color w:val="auto"/>
              </w:rPr>
            </w:pPr>
          </w:p>
        </w:tc>
        <w:tc>
          <w:tcPr>
            <w:tcW w:w="1020" w:type="dxa"/>
            <w:vAlign w:val="bottom"/>
            <w:gridSpan w:val="2"/>
          </w:tcPr>
          <w:p>
            <w:pPr>
              <w:jc w:val="right"/>
              <w:ind w:right="1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54"/>
        </w:trPr>
        <w:tc>
          <w:tcPr>
            <w:tcW w:w="52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b w:val="1"/>
                <w:bCs w:val="1"/>
                <w:color w:val="2D64AF"/>
              </w:rPr>
              <w:t>Total for NEOs</w:t>
            </w:r>
          </w:p>
        </w:tc>
        <w:tc>
          <w:tcPr>
            <w:tcW w:w="260" w:type="dxa"/>
            <w:vAlign w:val="bottom"/>
          </w:tcPr>
          <w:p>
            <w:pPr>
              <w:spacing w:after="0"/>
              <w:rPr>
                <w:sz w:val="13"/>
                <w:szCs w:val="13"/>
                <w:color w:val="auto"/>
              </w:rPr>
            </w:pPr>
          </w:p>
        </w:tc>
        <w:tc>
          <w:tcPr>
            <w:tcW w:w="1420" w:type="dxa"/>
            <w:vAlign w:val="bottom"/>
          </w:tcPr>
          <w:p>
            <w:pPr>
              <w:jc w:val="right"/>
              <w:ind w:right="82"/>
              <w:spacing w:after="0"/>
              <w:rPr>
                <w:sz w:val="20"/>
                <w:szCs w:val="20"/>
                <w:color w:val="auto"/>
              </w:rPr>
            </w:pPr>
            <w:r>
              <w:rPr>
                <w:rFonts w:ascii="Arial" w:cs="Arial" w:eastAsia="Arial" w:hAnsi="Arial"/>
                <w:sz w:val="12"/>
                <w:szCs w:val="12"/>
                <w:b w:val="1"/>
                <w:bCs w:val="1"/>
                <w:color w:val="2D64AF"/>
              </w:rPr>
              <w:t>for NEO</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2D64AF"/>
              </w:rPr>
              <w:t>Awards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Year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2"/>
              <w:spacing w:after="0"/>
              <w:rPr>
                <w:sz w:val="20"/>
                <w:szCs w:val="20"/>
                <w:color w:val="auto"/>
              </w:rPr>
            </w:pPr>
            <w:r>
              <w:rPr>
                <w:rFonts w:ascii="Arial" w:cs="Arial" w:eastAsia="Arial" w:hAnsi="Arial"/>
                <w:sz w:val="12"/>
                <w:szCs w:val="12"/>
                <w:b w:val="1"/>
                <w:bCs w:val="1"/>
                <w:color w:val="2D64AF"/>
              </w:rPr>
              <w:t>to NEOs</w:t>
            </w:r>
          </w:p>
        </w:tc>
      </w:tr>
      <w:tr>
        <w:trPr>
          <w:trHeight w:val="74"/>
        </w:trPr>
        <w:tc>
          <w:tcPr>
            <w:tcW w:w="520" w:type="dxa"/>
            <w:vAlign w:val="bottom"/>
            <w:tcBorders>
              <w:bottom w:val="single" w:sz="8" w:color="2D64AF"/>
            </w:tcBorders>
          </w:tcPr>
          <w:p>
            <w:pPr>
              <w:spacing w:after="0"/>
              <w:rPr>
                <w:sz w:val="6"/>
                <w:szCs w:val="6"/>
                <w:color w:val="auto"/>
              </w:rPr>
            </w:pPr>
          </w:p>
        </w:tc>
        <w:tc>
          <w:tcPr>
            <w:tcW w:w="32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40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420" w:type="dxa"/>
            <w:vAlign w:val="bottom"/>
            <w:tcBorders>
              <w:bottom w:val="single" w:sz="8" w:color="2D64AF"/>
            </w:tcBorders>
          </w:tcPr>
          <w:p>
            <w:pPr>
              <w:spacing w:after="0"/>
              <w:rPr>
                <w:sz w:val="6"/>
                <w:szCs w:val="6"/>
                <w:color w:val="auto"/>
              </w:rPr>
            </w:pPr>
          </w:p>
        </w:tc>
        <w:tc>
          <w:tcPr>
            <w:tcW w:w="280" w:type="dxa"/>
            <w:vAlign w:val="bottom"/>
            <w:tcBorders>
              <w:bottom w:val="single" w:sz="8" w:color="2D64AF"/>
            </w:tcBorders>
          </w:tcPr>
          <w:p>
            <w:pPr>
              <w:spacing w:after="0"/>
              <w:rPr>
                <w:sz w:val="6"/>
                <w:szCs w:val="6"/>
                <w:color w:val="auto"/>
              </w:rPr>
            </w:pPr>
          </w:p>
        </w:tc>
        <w:tc>
          <w:tcPr>
            <w:tcW w:w="720" w:type="dxa"/>
            <w:vAlign w:val="bottom"/>
            <w:tcBorders>
              <w:bottom w:val="single" w:sz="8" w:color="2D64AF"/>
            </w:tcBorders>
          </w:tcPr>
          <w:p>
            <w:pPr>
              <w:spacing w:after="0"/>
              <w:rPr>
                <w:sz w:val="6"/>
                <w:szCs w:val="6"/>
                <w:color w:val="auto"/>
              </w:rPr>
            </w:pPr>
          </w:p>
        </w:tc>
        <w:tc>
          <w:tcPr>
            <w:tcW w:w="700" w:type="dxa"/>
            <w:vAlign w:val="bottom"/>
            <w:tcBorders>
              <w:bottom w:val="single" w:sz="8" w:color="2D64AF"/>
            </w:tcBorders>
            <w:gridSpan w:val="2"/>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1340" w:type="dxa"/>
            <w:vAlign w:val="bottom"/>
            <w:tcBorders>
              <w:bottom w:val="single" w:sz="8" w:color="2D64AF"/>
            </w:tcBorders>
          </w:tcPr>
          <w:p>
            <w:pPr>
              <w:spacing w:after="0"/>
              <w:rPr>
                <w:sz w:val="6"/>
                <w:szCs w:val="6"/>
                <w:color w:val="auto"/>
              </w:rPr>
            </w:pPr>
          </w:p>
        </w:tc>
        <w:tc>
          <w:tcPr>
            <w:tcW w:w="260" w:type="dxa"/>
            <w:vAlign w:val="bottom"/>
            <w:tcBorders>
              <w:bottom w:val="single" w:sz="8" w:color="2D64AF"/>
            </w:tcBorders>
          </w:tcPr>
          <w:p>
            <w:pPr>
              <w:spacing w:after="0"/>
              <w:rPr>
                <w:sz w:val="6"/>
                <w:szCs w:val="6"/>
                <w:color w:val="auto"/>
              </w:rPr>
            </w:pPr>
          </w:p>
        </w:tc>
        <w:tc>
          <w:tcPr>
            <w:tcW w:w="460" w:type="dxa"/>
            <w:vAlign w:val="bottom"/>
            <w:tcBorders>
              <w:bottom w:val="single" w:sz="8" w:color="2D64AF"/>
            </w:tcBorders>
          </w:tcPr>
          <w:p>
            <w:pPr>
              <w:spacing w:after="0"/>
              <w:rPr>
                <w:sz w:val="6"/>
                <w:szCs w:val="6"/>
                <w:color w:val="auto"/>
              </w:rPr>
            </w:pPr>
          </w:p>
        </w:tc>
        <w:tc>
          <w:tcPr>
            <w:tcW w:w="560" w:type="dxa"/>
            <w:vAlign w:val="bottom"/>
            <w:tcBorders>
              <w:bottom w:val="single" w:sz="8" w:color="2D64AF"/>
            </w:tcBorders>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2018</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$535,686</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color w:val="auto"/>
              </w:rPr>
              <w:t>$105,155</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spacing w:after="0"/>
              <w:rPr>
                <w:sz w:val="18"/>
                <w:szCs w:val="18"/>
                <w:color w:val="auto"/>
              </w:rPr>
            </w:pPr>
          </w:p>
        </w:tc>
        <w:tc>
          <w:tcPr>
            <w:tcW w:w="700" w:type="dxa"/>
            <w:vAlign w:val="bottom"/>
            <w:gridSpan w:val="2"/>
          </w:tcPr>
          <w:p>
            <w:pPr>
              <w:jc w:val="right"/>
              <w:ind w:right="102"/>
              <w:spacing w:after="0"/>
              <w:rPr>
                <w:sz w:val="20"/>
                <w:szCs w:val="20"/>
                <w:color w:val="auto"/>
              </w:rPr>
            </w:pPr>
            <w:r>
              <w:rPr>
                <w:rFonts w:ascii="Arial" w:cs="Arial" w:eastAsia="Arial" w:hAnsi="Arial"/>
                <w:sz w:val="12"/>
                <w:szCs w:val="12"/>
                <w:color w:val="auto"/>
                <w:w w:val="96"/>
              </w:rPr>
              <w:t xml:space="preserve">$ (11,958) </w:t>
            </w:r>
            <w:r>
              <w:rPr>
                <w:rFonts w:ascii="Arial" w:cs="Arial" w:eastAsia="Arial" w:hAnsi="Arial"/>
                <w:sz w:val="3"/>
                <w:szCs w:val="3"/>
                <w:color w:val="auto"/>
                <w:w w:val="96"/>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$156,757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575,330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6"/>
        </w:trPr>
        <w:tc>
          <w:tcPr>
            <w:tcW w:w="520" w:type="dxa"/>
            <w:vAlign w:val="bottom"/>
          </w:tcPr>
          <w:p>
            <w:pPr>
              <w:ind w:left="40"/>
              <w:spacing w:after="0"/>
              <w:rPr>
                <w:sz w:val="20"/>
                <w:szCs w:val="20"/>
                <w:color w:val="auto"/>
              </w:rPr>
            </w:pPr>
            <w:r>
              <w:rPr>
                <w:rFonts w:ascii="Arial" w:cs="Arial" w:eastAsia="Arial" w:hAnsi="Arial"/>
                <w:sz w:val="12"/>
                <w:szCs w:val="12"/>
                <w:color w:val="auto"/>
              </w:rPr>
              <w:t>2019</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$918,896</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color w:val="auto"/>
              </w:rPr>
              <w:t>$326,370</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w w:val="95"/>
              </w:rPr>
              <w:t>$155,045</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$147,400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894,971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2020</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$743,587</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color w:val="auto"/>
              </w:rPr>
              <w:t>$288,721</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w w:val="95"/>
              </w:rPr>
              <w:t>$150,173</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$142,140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747,179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2021</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$779,180</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color w:val="auto"/>
              </w:rPr>
              <w:t>$168,090</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w w:val="95"/>
              </w:rPr>
              <w:t>$130,416</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$297,244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$1,038,750 </w:t>
            </w:r>
            <w:r>
              <w:rPr>
                <w:rFonts w:ascii="Arial" w:cs="Arial" w:eastAsia="Arial" w:hAnsi="Arial"/>
                <w:sz w:val="3"/>
                <w:szCs w:val="3"/>
                <w:color w:val="auto"/>
              </w:rPr>
              <w:t>​</w:t>
            </w:r>
          </w:p>
        </w:tc>
      </w:tr>
      <w:tr>
        <w:trPr>
          <w:trHeight w:val="74"/>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2"/>
                <w:szCs w:val="12"/>
                <w:color w:val="auto"/>
              </w:rPr>
              <w:t>2022</w:t>
            </w: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$786,565</w:t>
            </w:r>
            <w:r>
              <w:rPr>
                <w:rFonts w:ascii="Arial" w:cs="Arial" w:eastAsia="Arial" w:hAnsi="Arial"/>
                <w:sz w:val="3"/>
                <w:szCs w:val="3"/>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420" w:type="dxa"/>
            <w:vAlign w:val="bottom"/>
          </w:tcPr>
          <w:p>
            <w:pPr>
              <w:jc w:val="right"/>
              <w:ind w:right="82"/>
              <w:spacing w:after="0"/>
              <w:rPr>
                <w:sz w:val="20"/>
                <w:szCs w:val="20"/>
                <w:color w:val="auto"/>
              </w:rPr>
            </w:pPr>
            <w:r>
              <w:rPr>
                <w:rFonts w:ascii="Arial" w:cs="Arial" w:eastAsia="Arial" w:hAnsi="Arial"/>
                <w:sz w:val="12"/>
                <w:szCs w:val="12"/>
                <w:color w:val="auto"/>
              </w:rPr>
              <w:t>$221,130</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720" w:type="dxa"/>
            <w:vAlign w:val="bottom"/>
          </w:tcPr>
          <w:p>
            <w:pPr>
              <w:spacing w:after="0"/>
              <w:rPr>
                <w:sz w:val="18"/>
                <w:szCs w:val="18"/>
                <w:color w:val="auto"/>
              </w:rPr>
            </w:pPr>
          </w:p>
        </w:tc>
        <w:tc>
          <w:tcPr>
            <w:tcW w:w="700" w:type="dxa"/>
            <w:vAlign w:val="bottom"/>
            <w:gridSpan w:val="2"/>
          </w:tcPr>
          <w:p>
            <w:pPr>
              <w:jc w:val="right"/>
              <w:ind w:right="102"/>
              <w:spacing w:after="0"/>
              <w:rPr>
                <w:sz w:val="20"/>
                <w:szCs w:val="20"/>
                <w:color w:val="auto"/>
              </w:rPr>
            </w:pPr>
            <w:r>
              <w:rPr>
                <w:rFonts w:ascii="Arial" w:cs="Arial" w:eastAsia="Arial" w:hAnsi="Arial"/>
                <w:sz w:val="12"/>
                <w:szCs w:val="12"/>
                <w:color w:val="auto"/>
                <w:w w:val="96"/>
              </w:rPr>
              <w:t xml:space="preserve">$ (66,237) </w:t>
            </w:r>
            <w:r>
              <w:rPr>
                <w:rFonts w:ascii="Arial" w:cs="Arial" w:eastAsia="Arial" w:hAnsi="Arial"/>
                <w:sz w:val="3"/>
                <w:szCs w:val="3"/>
                <w:color w:val="auto"/>
                <w:w w:val="96"/>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$237,801 </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736,999 </w:t>
            </w:r>
            <w:r>
              <w:rPr>
                <w:rFonts w:ascii="Arial" w:cs="Arial" w:eastAsia="Arial" w:hAnsi="Arial"/>
                <w:sz w:val="3"/>
                <w:szCs w:val="3"/>
                <w:color w:val="auto"/>
              </w:rPr>
              <w:t>​</w:t>
            </w:r>
          </w:p>
        </w:tc>
      </w:tr>
      <w:tr>
        <w:trPr>
          <w:trHeight w:val="27"/>
        </w:trPr>
        <w:tc>
          <w:tcPr>
            <w:tcW w:w="520" w:type="dxa"/>
            <w:vAlign w:val="bottom"/>
            <w:tcBorders>
              <w:bottom w:val="single" w:sz="8" w:color="2D64AF"/>
            </w:tcBorders>
          </w:tcPr>
          <w:p>
            <w:pPr>
              <w:spacing w:after="0"/>
              <w:rPr>
                <w:sz w:val="2"/>
                <w:szCs w:val="2"/>
                <w:color w:val="auto"/>
              </w:rPr>
            </w:pPr>
          </w:p>
        </w:tc>
        <w:tc>
          <w:tcPr>
            <w:tcW w:w="320" w:type="dxa"/>
            <w:vAlign w:val="bottom"/>
            <w:tcBorders>
              <w:bottom w:val="single" w:sz="8" w:color="2D64AF"/>
            </w:tcBorders>
          </w:tcPr>
          <w:p>
            <w:pPr>
              <w:spacing w:after="0"/>
              <w:rPr>
                <w:sz w:val="2"/>
                <w:szCs w:val="2"/>
                <w:color w:val="auto"/>
              </w:rPr>
            </w:pPr>
          </w:p>
        </w:tc>
        <w:tc>
          <w:tcPr>
            <w:tcW w:w="260" w:type="dxa"/>
            <w:vAlign w:val="bottom"/>
            <w:tcBorders>
              <w:bottom w:val="single" w:sz="8" w:color="2D64AF"/>
            </w:tcBorders>
          </w:tcPr>
          <w:p>
            <w:pPr>
              <w:spacing w:after="0"/>
              <w:rPr>
                <w:sz w:val="2"/>
                <w:szCs w:val="2"/>
                <w:color w:val="auto"/>
              </w:rPr>
            </w:pPr>
          </w:p>
        </w:tc>
        <w:tc>
          <w:tcPr>
            <w:tcW w:w="1400" w:type="dxa"/>
            <w:vAlign w:val="bottom"/>
            <w:tcBorders>
              <w:bottom w:val="single" w:sz="8" w:color="2D64AF"/>
            </w:tcBorders>
          </w:tcPr>
          <w:p>
            <w:pPr>
              <w:spacing w:after="0"/>
              <w:rPr>
                <w:sz w:val="2"/>
                <w:szCs w:val="2"/>
                <w:color w:val="auto"/>
              </w:rPr>
            </w:pPr>
          </w:p>
        </w:tc>
        <w:tc>
          <w:tcPr>
            <w:tcW w:w="260" w:type="dxa"/>
            <w:vAlign w:val="bottom"/>
            <w:tcBorders>
              <w:bottom w:val="single" w:sz="8" w:color="2D64AF"/>
            </w:tcBorders>
          </w:tcPr>
          <w:p>
            <w:pPr>
              <w:spacing w:after="0"/>
              <w:rPr>
                <w:sz w:val="2"/>
                <w:szCs w:val="2"/>
                <w:color w:val="auto"/>
              </w:rPr>
            </w:pPr>
          </w:p>
        </w:tc>
        <w:tc>
          <w:tcPr>
            <w:tcW w:w="1420" w:type="dxa"/>
            <w:vAlign w:val="bottom"/>
            <w:tcBorders>
              <w:bottom w:val="single" w:sz="8" w:color="2D64AF"/>
            </w:tcBorders>
          </w:tcPr>
          <w:p>
            <w:pPr>
              <w:spacing w:after="0"/>
              <w:rPr>
                <w:sz w:val="2"/>
                <w:szCs w:val="2"/>
                <w:color w:val="auto"/>
              </w:rPr>
            </w:pPr>
          </w:p>
        </w:tc>
        <w:tc>
          <w:tcPr>
            <w:tcW w:w="280" w:type="dxa"/>
            <w:vAlign w:val="bottom"/>
            <w:tcBorders>
              <w:bottom w:val="single" w:sz="8" w:color="2D64AF"/>
            </w:tcBorders>
          </w:tcPr>
          <w:p>
            <w:pPr>
              <w:spacing w:after="0"/>
              <w:rPr>
                <w:sz w:val="2"/>
                <w:szCs w:val="2"/>
                <w:color w:val="auto"/>
              </w:rPr>
            </w:pPr>
          </w:p>
        </w:tc>
        <w:tc>
          <w:tcPr>
            <w:tcW w:w="720" w:type="dxa"/>
            <w:vAlign w:val="bottom"/>
            <w:tcBorders>
              <w:bottom w:val="single" w:sz="8" w:color="2D64AF"/>
            </w:tcBorders>
          </w:tcPr>
          <w:p>
            <w:pPr>
              <w:spacing w:after="0"/>
              <w:rPr>
                <w:sz w:val="2"/>
                <w:szCs w:val="2"/>
                <w:color w:val="auto"/>
              </w:rPr>
            </w:pPr>
          </w:p>
        </w:tc>
        <w:tc>
          <w:tcPr>
            <w:tcW w:w="580" w:type="dxa"/>
            <w:vAlign w:val="bottom"/>
            <w:tcBorders>
              <w:bottom w:val="single" w:sz="8" w:color="2D64AF"/>
            </w:tcBorders>
          </w:tcPr>
          <w:p>
            <w:pPr>
              <w:spacing w:after="0"/>
              <w:rPr>
                <w:sz w:val="2"/>
                <w:szCs w:val="2"/>
                <w:color w:val="auto"/>
              </w:rPr>
            </w:pPr>
          </w:p>
        </w:tc>
        <w:tc>
          <w:tcPr>
            <w:tcW w:w="120" w:type="dxa"/>
            <w:vAlign w:val="bottom"/>
            <w:tcBorders>
              <w:bottom w:val="single" w:sz="8" w:color="2D64AF"/>
            </w:tcBorders>
          </w:tcPr>
          <w:p>
            <w:pPr>
              <w:spacing w:after="0"/>
              <w:rPr>
                <w:sz w:val="2"/>
                <w:szCs w:val="2"/>
                <w:color w:val="auto"/>
              </w:rPr>
            </w:pPr>
          </w:p>
        </w:tc>
        <w:tc>
          <w:tcPr>
            <w:tcW w:w="260" w:type="dxa"/>
            <w:vAlign w:val="bottom"/>
            <w:tcBorders>
              <w:bottom w:val="single" w:sz="8" w:color="2D64AF"/>
            </w:tcBorders>
          </w:tcPr>
          <w:p>
            <w:pPr>
              <w:spacing w:after="0"/>
              <w:rPr>
                <w:sz w:val="2"/>
                <w:szCs w:val="2"/>
                <w:color w:val="auto"/>
              </w:rPr>
            </w:pPr>
          </w:p>
        </w:tc>
        <w:tc>
          <w:tcPr>
            <w:tcW w:w="1340" w:type="dxa"/>
            <w:vAlign w:val="bottom"/>
            <w:tcBorders>
              <w:bottom w:val="single" w:sz="8" w:color="2D64AF"/>
            </w:tcBorders>
          </w:tcPr>
          <w:p>
            <w:pPr>
              <w:spacing w:after="0"/>
              <w:rPr>
                <w:sz w:val="2"/>
                <w:szCs w:val="2"/>
                <w:color w:val="auto"/>
              </w:rPr>
            </w:pPr>
          </w:p>
        </w:tc>
        <w:tc>
          <w:tcPr>
            <w:tcW w:w="260" w:type="dxa"/>
            <w:vAlign w:val="bottom"/>
            <w:tcBorders>
              <w:bottom w:val="single" w:sz="8" w:color="2D64AF"/>
            </w:tcBorders>
          </w:tcPr>
          <w:p>
            <w:pPr>
              <w:spacing w:after="0"/>
              <w:rPr>
                <w:sz w:val="2"/>
                <w:szCs w:val="2"/>
                <w:color w:val="auto"/>
              </w:rPr>
            </w:pPr>
          </w:p>
        </w:tc>
        <w:tc>
          <w:tcPr>
            <w:tcW w:w="460" w:type="dxa"/>
            <w:vAlign w:val="bottom"/>
            <w:tcBorders>
              <w:bottom w:val="single" w:sz="8" w:color="2D64AF"/>
            </w:tcBorders>
          </w:tcPr>
          <w:p>
            <w:pPr>
              <w:spacing w:after="0"/>
              <w:rPr>
                <w:sz w:val="2"/>
                <w:szCs w:val="2"/>
                <w:color w:val="auto"/>
              </w:rPr>
            </w:pPr>
          </w:p>
        </w:tc>
        <w:tc>
          <w:tcPr>
            <w:tcW w:w="560" w:type="dxa"/>
            <w:vAlign w:val="bottom"/>
            <w:tcBorders>
              <w:bottom w:val="single" w:sz="8" w:color="2D64AF"/>
            </w:tcBorders>
          </w:tcPr>
          <w:p>
            <w:pPr>
              <w:spacing w:after="0"/>
              <w:rPr>
                <w:sz w:val="2"/>
                <w:szCs w:val="2"/>
                <w:color w:val="auto"/>
              </w:rPr>
            </w:pPr>
          </w:p>
        </w:tc>
      </w:tr>
    </w:tbl>
    <w:p>
      <w:pPr>
        <w:spacing w:after="0" w:line="148" w:lineRule="exact"/>
        <w:rPr>
          <w:sz w:val="20"/>
          <w:szCs w:val="20"/>
          <w:color w:val="auto"/>
        </w:rPr>
      </w:pPr>
    </w:p>
    <w:p>
      <w:pPr>
        <w:ind w:left="1420" w:right="640" w:hanging="359"/>
        <w:spacing w:after="0" w:line="258" w:lineRule="auto"/>
        <w:tabs>
          <w:tab w:leader="none" w:pos="14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Peer Group is disclosed in the “Peer Group Analysis” section and is further reflected in the Performance Graph of SEC Form 10-K, filed March 7, 2023.</w:t>
      </w:r>
    </w:p>
    <w:p>
      <w:pPr>
        <w:spacing w:after="0" w:line="29" w:lineRule="exact"/>
        <w:rPr>
          <w:rFonts w:ascii="Arial" w:cs="Arial" w:eastAsia="Arial" w:hAnsi="Arial"/>
          <w:sz w:val="13"/>
          <w:szCs w:val="13"/>
          <w:color w:val="auto"/>
        </w:rPr>
      </w:pPr>
    </w:p>
    <w:p>
      <w:pPr>
        <w:ind w:left="1420" w:right="340" w:hanging="359"/>
        <w:spacing w:after="0" w:line="245" w:lineRule="auto"/>
        <w:tabs>
          <w:tab w:leader="none" w:pos="14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EBITDA, or earnings before interest expense, tax expense (provision), depreciation, and amortization, and Adjusted Diluted Earnings Per Share, are non-GAAP measures, which management believes are important in evaluating the operating results of the Company. EBITDA and Adjusted Diluted Earnings Per Share are non-GAAP financial metrics linked to the annual cash incentive plan. The reconciliation of such is available in the Management’s Discussion &amp; Analysis section of SEC Form 10-K, filed March 7, 2023.</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80"/>
          </w:cols>
          <w:pgMar w:left="320" w:top="140" w:right="119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Allied Motion utilizes key financial performance metrics in determination of target and actual compensation of the PEO and NEOs. As shown in the above table, as well as the following graphs, Allied Motion utilizes an extensive planning and assessment process to ensure that compensation remains aligned with the overall success of the Company. The Human Capital and Compensation Committee of the Board of Directors maintains oversight and governance over the compensation of the PEO and NEOs.</w:t>
      </w:r>
    </w:p>
    <w:p>
      <w:pPr>
        <w:spacing w:after="0" w:line="36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graphs will show the correlation of the key financial metrics to the compensation of the PEO and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156210</wp:posOffset>
            </wp:positionV>
            <wp:extent cx="3677285" cy="2100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7728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156210</wp:posOffset>
            </wp:positionV>
            <wp:extent cx="3703320" cy="2194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03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260"/>
          </w:cols>
          <w:pgMar w:left="1280" w:top="265" w:right="1359" w:bottom="1440" w:gutter="0" w:footer="0" w:header="0"/>
        </w:sectPr>
      </w:pPr>
    </w:p>
    <w:p>
      <w:pPr>
        <w:spacing w:after="0" w:line="267" w:lineRule="exact"/>
        <w:rPr>
          <w:sz w:val="20"/>
          <w:szCs w:val="20"/>
          <w:color w:val="auto"/>
        </w:rPr>
      </w:pPr>
    </w:p>
    <w:p>
      <w:pPr>
        <w:ind w:left="220" w:hanging="214"/>
        <w:spacing w:after="0"/>
        <w:tabs>
          <w:tab w:leader="none" w:pos="220"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80" w:top="265" w:right="1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92075</wp:posOffset>
            </wp:positionV>
            <wp:extent cx="3703320" cy="2306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0332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156210</wp:posOffset>
            </wp:positionV>
            <wp:extent cx="3694430" cy="2297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9443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45085</wp:posOffset>
            </wp:positionV>
            <wp:extent cx="4406265"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06265" cy="325755"/>
                    </a:xfrm>
                    <a:prstGeom prst="rect">
                      <a:avLst/>
                    </a:prstGeom>
                    <a:noFill/>
                  </pic:spPr>
                </pic:pic>
              </a:graphicData>
            </a:graphic>
          </wp:anchor>
        </w:drawing>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FFFFFF"/>
        </w:rPr>
        <w:t>Most Important Company Performance Measures for Linking</w:t>
      </w:r>
    </w:p>
    <w:p>
      <w:pPr>
        <w:ind w:left="1080"/>
        <w:spacing w:after="0"/>
        <w:rPr>
          <w:sz w:val="20"/>
          <w:szCs w:val="20"/>
          <w:color w:val="auto"/>
        </w:rPr>
      </w:pPr>
      <w:r>
        <w:rPr>
          <w:rFonts w:ascii="Arial" w:cs="Arial" w:eastAsia="Arial" w:hAnsi="Arial"/>
          <w:sz w:val="2"/>
          <w:szCs w:val="2"/>
          <w:color w:val="auto"/>
        </w:rPr>
        <w:t>​</w:t>
      </w:r>
    </w:p>
    <w:p>
      <w:pPr>
        <w:spacing w:after="0" w:line="8"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FFFFFF"/>
        </w:rPr>
        <w:t>Executive Compensation to Company Performance</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96520</wp:posOffset>
            </wp:positionV>
            <wp:extent cx="44062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15" w:lineRule="exact"/>
        <w:rPr>
          <w:sz w:val="20"/>
          <w:szCs w:val="20"/>
          <w:color w:val="auto"/>
        </w:rPr>
      </w:pPr>
    </w:p>
    <w:p>
      <w:pPr>
        <w:ind w:left="1140" w:hanging="58"/>
        <w:spacing w:after="0"/>
        <w:tabs>
          <w:tab w:leader="none" w:pos="1140" w:val="left"/>
        </w:tabs>
        <w:numPr>
          <w:ilvl w:val="0"/>
          <w:numId w:val="51"/>
        </w:numPr>
        <w:rPr>
          <w:rFonts w:ascii="Arial" w:cs="Arial" w:eastAsia="Arial" w:hAnsi="Arial"/>
          <w:sz w:val="4"/>
          <w:szCs w:val="4"/>
          <w:color w:val="auto"/>
        </w:rPr>
      </w:pPr>
      <w:r>
        <w:rPr>
          <w:rFonts w:ascii="Arial" w:cs="Arial" w:eastAsia="Arial" w:hAnsi="Arial"/>
          <w:sz w:val="16"/>
          <w:szCs w:val="16"/>
          <w:color w:val="auto"/>
        </w:rPr>
        <w:t>Total Shareholder Return</w:t>
      </w:r>
    </w:p>
    <w:p>
      <w:pPr>
        <w:spacing w:after="0" w:line="153" w:lineRule="exact"/>
        <w:rPr>
          <w:rFonts w:ascii="Arial" w:cs="Arial" w:eastAsia="Arial" w:hAnsi="Arial"/>
          <w:sz w:val="4"/>
          <w:szCs w:val="4"/>
          <w:color w:val="auto"/>
        </w:rPr>
      </w:pPr>
    </w:p>
    <w:p>
      <w:pPr>
        <w:ind w:left="1140" w:hanging="58"/>
        <w:spacing w:after="0"/>
        <w:tabs>
          <w:tab w:leader="none" w:pos="1140" w:val="left"/>
        </w:tabs>
        <w:numPr>
          <w:ilvl w:val="0"/>
          <w:numId w:val="51"/>
        </w:numPr>
        <w:rPr>
          <w:rFonts w:ascii="Arial" w:cs="Arial" w:eastAsia="Arial" w:hAnsi="Arial"/>
          <w:sz w:val="4"/>
          <w:szCs w:val="4"/>
          <w:color w:val="auto"/>
        </w:rPr>
      </w:pPr>
      <w:r>
        <w:rPr>
          <w:rFonts w:ascii="Arial" w:cs="Arial" w:eastAsia="Arial" w:hAnsi="Arial"/>
          <w:sz w:val="16"/>
          <w:szCs w:val="16"/>
          <w:color w:val="auto"/>
        </w:rPr>
        <w:t>Net Income</w:t>
      </w:r>
    </w:p>
    <w:p>
      <w:pPr>
        <w:spacing w:after="0" w:line="153" w:lineRule="exact"/>
        <w:rPr>
          <w:rFonts w:ascii="Arial" w:cs="Arial" w:eastAsia="Arial" w:hAnsi="Arial"/>
          <w:sz w:val="4"/>
          <w:szCs w:val="4"/>
          <w:color w:val="auto"/>
        </w:rPr>
      </w:pPr>
    </w:p>
    <w:p>
      <w:pPr>
        <w:ind w:left="1140" w:hanging="58"/>
        <w:spacing w:after="0"/>
        <w:tabs>
          <w:tab w:leader="none" w:pos="1140" w:val="left"/>
        </w:tabs>
        <w:numPr>
          <w:ilvl w:val="0"/>
          <w:numId w:val="51"/>
        </w:numPr>
        <w:rPr>
          <w:rFonts w:ascii="Arial" w:cs="Arial" w:eastAsia="Arial" w:hAnsi="Arial"/>
          <w:sz w:val="4"/>
          <w:szCs w:val="4"/>
          <w:color w:val="auto"/>
        </w:rPr>
      </w:pPr>
      <w:r>
        <w:rPr>
          <w:rFonts w:ascii="Arial" w:cs="Arial" w:eastAsia="Arial" w:hAnsi="Arial"/>
          <w:sz w:val="16"/>
          <w:szCs w:val="16"/>
          <w:color w:val="auto"/>
        </w:rPr>
        <w:t>EBITDA</w:t>
      </w:r>
    </w:p>
    <w:p>
      <w:pPr>
        <w:spacing w:after="0" w:line="153" w:lineRule="exact"/>
        <w:rPr>
          <w:rFonts w:ascii="Arial" w:cs="Arial" w:eastAsia="Arial" w:hAnsi="Arial"/>
          <w:sz w:val="4"/>
          <w:szCs w:val="4"/>
          <w:color w:val="auto"/>
        </w:rPr>
      </w:pPr>
    </w:p>
    <w:p>
      <w:pPr>
        <w:ind w:left="1140" w:hanging="58"/>
        <w:spacing w:after="0"/>
        <w:tabs>
          <w:tab w:leader="none" w:pos="1140" w:val="left"/>
        </w:tabs>
        <w:numPr>
          <w:ilvl w:val="0"/>
          <w:numId w:val="51"/>
        </w:numPr>
        <w:rPr>
          <w:rFonts w:ascii="Arial" w:cs="Arial" w:eastAsia="Arial" w:hAnsi="Arial"/>
          <w:sz w:val="4"/>
          <w:szCs w:val="4"/>
          <w:color w:val="auto"/>
        </w:rPr>
      </w:pPr>
      <w:r>
        <w:rPr>
          <w:rFonts w:ascii="Arial" w:cs="Arial" w:eastAsia="Arial" w:hAnsi="Arial"/>
          <w:sz w:val="16"/>
          <w:szCs w:val="16"/>
          <w:color w:val="auto"/>
        </w:rPr>
        <w:t>Revenue</w:t>
      </w:r>
    </w:p>
    <w:p>
      <w:pPr>
        <w:spacing w:after="0" w:line="153" w:lineRule="exact"/>
        <w:rPr>
          <w:rFonts w:ascii="Arial" w:cs="Arial" w:eastAsia="Arial" w:hAnsi="Arial"/>
          <w:sz w:val="4"/>
          <w:szCs w:val="4"/>
          <w:color w:val="auto"/>
        </w:rPr>
      </w:pPr>
    </w:p>
    <w:p>
      <w:pPr>
        <w:ind w:left="1140" w:hanging="58"/>
        <w:spacing w:after="0"/>
        <w:tabs>
          <w:tab w:leader="none" w:pos="1140" w:val="left"/>
        </w:tabs>
        <w:numPr>
          <w:ilvl w:val="0"/>
          <w:numId w:val="51"/>
        </w:numPr>
        <w:rPr>
          <w:rFonts w:ascii="Arial" w:cs="Arial" w:eastAsia="Arial" w:hAnsi="Arial"/>
          <w:sz w:val="4"/>
          <w:szCs w:val="4"/>
          <w:color w:val="auto"/>
        </w:rPr>
      </w:pPr>
      <w:r>
        <w:rPr>
          <w:rFonts w:ascii="Arial" w:cs="Arial" w:eastAsia="Arial" w:hAnsi="Arial"/>
          <w:sz w:val="16"/>
          <w:szCs w:val="16"/>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19050</wp:posOffset>
            </wp:positionV>
            <wp:extent cx="44062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-168910</wp:posOffset>
            </wp:positionV>
            <wp:extent cx="44062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06265" cy="8890"/>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-382905</wp:posOffset>
            </wp:positionV>
            <wp:extent cx="44062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06265" cy="8890"/>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-597535</wp:posOffset>
            </wp:positionV>
            <wp:extent cx="44062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06265" cy="8890"/>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-811530</wp:posOffset>
            </wp:positionV>
            <wp:extent cx="44062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34"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Allied Motion has provided the above key performance metrics in our tabular and graphical Pay versus Performance information as shown above. In addition to the key performance metrics listed, the Company utilizes several additional metrics, both financial and non-financial, in determination of compensation for the Principal Executive Officer and Named Executive Officers.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Potential Payments upon Termination or Change in Control</w:t>
      </w:r>
    </w:p>
    <w:p>
      <w:pPr>
        <w:spacing w:after="0" w:line="150"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11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2D64AF"/>
              </w:rPr>
              <w:t>Richard S.</w:t>
            </w:r>
          </w:p>
        </w:tc>
        <w:tc>
          <w:tcPr>
            <w:tcW w:w="920" w:type="dxa"/>
            <w:vAlign w:val="bottom"/>
            <w:gridSpan w:val="2"/>
          </w:tcPr>
          <w:p>
            <w:pPr>
              <w:ind w:left="80"/>
              <w:spacing w:after="0"/>
              <w:rPr>
                <w:sz w:val="20"/>
                <w:szCs w:val="20"/>
                <w:color w:val="auto"/>
              </w:rPr>
            </w:pPr>
            <w:r>
              <w:rPr>
                <w:rFonts w:ascii="Arial" w:cs="Arial" w:eastAsia="Arial" w:hAnsi="Arial"/>
                <w:sz w:val="15"/>
                <w:szCs w:val="15"/>
                <w:b w:val="1"/>
                <w:bCs w:val="1"/>
                <w:color w:val="2D64AF"/>
              </w:rPr>
              <w:t>Michael R.</w:t>
            </w:r>
          </w:p>
        </w:tc>
        <w:tc>
          <w:tcPr>
            <w:tcW w:w="160" w:type="dxa"/>
            <w:vAlign w:val="bottom"/>
          </w:tcPr>
          <w:p>
            <w:pPr>
              <w:spacing w:after="0"/>
              <w:rPr>
                <w:sz w:val="14"/>
                <w:szCs w:val="14"/>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b w:val="1"/>
                <w:bCs w:val="1"/>
                <w:color w:val="2D64AF"/>
                <w:w w:val="98"/>
              </w:rPr>
              <w:t>Robert P.</w:t>
            </w:r>
          </w:p>
        </w:tc>
        <w:tc>
          <w:tcPr>
            <w:tcW w:w="880" w:type="dxa"/>
            <w:vAlign w:val="bottom"/>
            <w:gridSpan w:val="2"/>
          </w:tcPr>
          <w:p>
            <w:pPr>
              <w:jc w:val="right"/>
              <w:ind w:right="4"/>
              <w:spacing w:after="0"/>
              <w:rPr>
                <w:sz w:val="20"/>
                <w:szCs w:val="20"/>
                <w:color w:val="auto"/>
              </w:rPr>
            </w:pPr>
            <w:r>
              <w:rPr>
                <w:rFonts w:ascii="Arial" w:cs="Arial" w:eastAsia="Arial" w:hAnsi="Arial"/>
                <w:sz w:val="15"/>
                <w:szCs w:val="15"/>
                <w:b w:val="1"/>
                <w:bCs w:val="1"/>
                <w:color w:val="2D64AF"/>
              </w:rPr>
              <w:t>Ashish R.</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D64AF"/>
              </w:rPr>
              <w:t>Helmut D.</w:t>
            </w:r>
          </w:p>
        </w:tc>
      </w:tr>
      <w:tr>
        <w:trPr>
          <w:trHeight w:val="202"/>
        </w:trPr>
        <w:tc>
          <w:tcPr>
            <w:tcW w:w="4320" w:type="dxa"/>
            <w:vAlign w:val="bottom"/>
          </w:tcPr>
          <w:p>
            <w:pPr>
              <w:ind w:left="40"/>
              <w:spacing w:after="0"/>
              <w:rPr>
                <w:sz w:val="20"/>
                <w:szCs w:val="20"/>
                <w:color w:val="auto"/>
              </w:rPr>
            </w:pPr>
            <w:r>
              <w:rPr>
                <w:rFonts w:ascii="Arial" w:cs="Arial" w:eastAsia="Arial" w:hAnsi="Arial"/>
                <w:sz w:val="15"/>
                <w:szCs w:val="15"/>
                <w:b w:val="1"/>
                <w:bCs w:val="1"/>
                <w:color w:val="2D64AF"/>
              </w:rPr>
              <w:t>Event</w:t>
            </w:r>
          </w:p>
        </w:tc>
        <w:tc>
          <w:tcPr>
            <w:tcW w:w="300" w:type="dxa"/>
            <w:vAlign w:val="bottom"/>
          </w:tcPr>
          <w:p>
            <w:pPr>
              <w:spacing w:after="0"/>
              <w:rPr>
                <w:sz w:val="17"/>
                <w:szCs w:val="17"/>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b w:val="1"/>
                <w:bCs w:val="1"/>
                <w:color w:val="2D64AF"/>
              </w:rPr>
              <w:t>Warzala</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2D64AF"/>
              </w:rPr>
              <w:t>Leach</w:t>
            </w:r>
          </w:p>
        </w:tc>
        <w:tc>
          <w:tcPr>
            <w:tcW w:w="16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2D64AF"/>
              </w:rPr>
              <w:t>Maida</w:t>
            </w:r>
          </w:p>
        </w:tc>
        <w:tc>
          <w:tcPr>
            <w:tcW w:w="2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b w:val="1"/>
                <w:bCs w:val="1"/>
                <w:color w:val="2D64AF"/>
              </w:rPr>
              <w:t>Bendre</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D64AF"/>
              </w:rPr>
              <w:t>Pirthauer</w:t>
            </w:r>
          </w:p>
        </w:tc>
      </w:tr>
      <w:tr>
        <w:trPr>
          <w:trHeight w:val="62"/>
        </w:trPr>
        <w:tc>
          <w:tcPr>
            <w:tcW w:w="4320" w:type="dxa"/>
            <w:vAlign w:val="bottom"/>
            <w:tcBorders>
              <w:bottom w:val="single" w:sz="8" w:color="2D64AF"/>
            </w:tcBorders>
          </w:tcPr>
          <w:p>
            <w:pPr>
              <w:spacing w:after="0"/>
              <w:rPr>
                <w:sz w:val="5"/>
                <w:szCs w:val="5"/>
                <w:color w:val="auto"/>
              </w:rPr>
            </w:pPr>
          </w:p>
        </w:tc>
        <w:tc>
          <w:tcPr>
            <w:tcW w:w="300" w:type="dxa"/>
            <w:vAlign w:val="bottom"/>
            <w:tcBorders>
              <w:bottom w:val="single" w:sz="8" w:color="2D64AF"/>
            </w:tcBorders>
          </w:tcPr>
          <w:p>
            <w:pPr>
              <w:spacing w:after="0"/>
              <w:rPr>
                <w:sz w:val="5"/>
                <w:szCs w:val="5"/>
                <w:color w:val="auto"/>
              </w:rPr>
            </w:pPr>
          </w:p>
        </w:tc>
        <w:tc>
          <w:tcPr>
            <w:tcW w:w="860" w:type="dxa"/>
            <w:vAlign w:val="bottom"/>
            <w:tcBorders>
              <w:bottom w:val="single" w:sz="8" w:color="2D64AF"/>
            </w:tcBorders>
          </w:tcPr>
          <w:p>
            <w:pPr>
              <w:spacing w:after="0"/>
              <w:rPr>
                <w:sz w:val="5"/>
                <w:szCs w:val="5"/>
                <w:color w:val="auto"/>
              </w:rPr>
            </w:pPr>
          </w:p>
        </w:tc>
        <w:tc>
          <w:tcPr>
            <w:tcW w:w="160" w:type="dxa"/>
            <w:vAlign w:val="bottom"/>
            <w:tcBorders>
              <w:bottom w:val="single" w:sz="8" w:color="2D64AF"/>
            </w:tcBorders>
          </w:tcPr>
          <w:p>
            <w:pPr>
              <w:spacing w:after="0"/>
              <w:rPr>
                <w:sz w:val="5"/>
                <w:szCs w:val="5"/>
                <w:color w:val="auto"/>
              </w:rPr>
            </w:pPr>
          </w:p>
        </w:tc>
        <w:tc>
          <w:tcPr>
            <w:tcW w:w="760" w:type="dxa"/>
            <w:vAlign w:val="bottom"/>
            <w:tcBorders>
              <w:bottom w:val="single" w:sz="8" w:color="2D64AF"/>
            </w:tcBorders>
          </w:tcPr>
          <w:p>
            <w:pPr>
              <w:spacing w:after="0"/>
              <w:rPr>
                <w:sz w:val="5"/>
                <w:szCs w:val="5"/>
                <w:color w:val="auto"/>
              </w:rPr>
            </w:pPr>
          </w:p>
        </w:tc>
        <w:tc>
          <w:tcPr>
            <w:tcW w:w="160" w:type="dxa"/>
            <w:vAlign w:val="bottom"/>
            <w:tcBorders>
              <w:bottom w:val="single" w:sz="8" w:color="2D64AF"/>
            </w:tcBorders>
          </w:tcPr>
          <w:p>
            <w:pPr>
              <w:spacing w:after="0"/>
              <w:rPr>
                <w:sz w:val="5"/>
                <w:szCs w:val="5"/>
                <w:color w:val="auto"/>
              </w:rPr>
            </w:pPr>
          </w:p>
        </w:tc>
        <w:tc>
          <w:tcPr>
            <w:tcW w:w="820" w:type="dxa"/>
            <w:vAlign w:val="bottom"/>
            <w:tcBorders>
              <w:bottom w:val="single" w:sz="8" w:color="2D64AF"/>
            </w:tcBorders>
          </w:tcPr>
          <w:p>
            <w:pPr>
              <w:spacing w:after="0"/>
              <w:rPr>
                <w:sz w:val="5"/>
                <w:szCs w:val="5"/>
                <w:color w:val="auto"/>
              </w:rPr>
            </w:pPr>
          </w:p>
        </w:tc>
        <w:tc>
          <w:tcPr>
            <w:tcW w:w="220" w:type="dxa"/>
            <w:vAlign w:val="bottom"/>
            <w:tcBorders>
              <w:bottom w:val="single" w:sz="8" w:color="2D64AF"/>
            </w:tcBorders>
          </w:tcPr>
          <w:p>
            <w:pPr>
              <w:spacing w:after="0"/>
              <w:rPr>
                <w:sz w:val="5"/>
                <w:szCs w:val="5"/>
                <w:color w:val="auto"/>
              </w:rPr>
            </w:pPr>
          </w:p>
        </w:tc>
        <w:tc>
          <w:tcPr>
            <w:tcW w:w="660" w:type="dxa"/>
            <w:vAlign w:val="bottom"/>
            <w:tcBorders>
              <w:bottom w:val="single" w:sz="8" w:color="2D64AF"/>
            </w:tcBorders>
          </w:tcPr>
          <w:p>
            <w:pPr>
              <w:spacing w:after="0"/>
              <w:rPr>
                <w:sz w:val="5"/>
                <w:szCs w:val="5"/>
                <w:color w:val="auto"/>
              </w:rPr>
            </w:pPr>
          </w:p>
        </w:tc>
        <w:tc>
          <w:tcPr>
            <w:tcW w:w="840" w:type="dxa"/>
            <w:vAlign w:val="bottom"/>
            <w:tcBorders>
              <w:bottom w:val="single" w:sz="8" w:color="2D64AF"/>
            </w:tcBorders>
          </w:tcPr>
          <w:p>
            <w:pPr>
              <w:spacing w:after="0"/>
              <w:rPr>
                <w:sz w:val="5"/>
                <w:szCs w:val="5"/>
                <w:color w:val="auto"/>
              </w:rPr>
            </w:pPr>
          </w:p>
        </w:tc>
      </w:tr>
      <w:tr>
        <w:trPr>
          <w:trHeight w:val="256"/>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Death:</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162,500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91,250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83,750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94,500</w:t>
            </w:r>
          </w:p>
        </w:tc>
        <w:tc>
          <w:tcPr>
            <w:tcW w:w="840" w:type="dxa"/>
            <w:vAlign w:val="bottom"/>
          </w:tcPr>
          <w:p>
            <w:pPr>
              <w:jc w:val="right"/>
              <w:spacing w:after="0"/>
              <w:rPr>
                <w:sz w:val="20"/>
                <w:szCs w:val="20"/>
                <w:color w:val="auto"/>
              </w:rPr>
            </w:pPr>
            <w:r>
              <w:rPr>
                <w:rFonts w:ascii="Arial" w:cs="Arial" w:eastAsia="Arial" w:hAnsi="Arial"/>
                <w:sz w:val="15"/>
                <w:szCs w:val="15"/>
                <w:color w:val="auto"/>
              </w:rPr>
              <w:t>$161,950</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812,500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182,500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167,500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75,600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1,314,600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238,274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184,354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39,092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4,881,650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802,301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674,653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139,867</w:t>
            </w:r>
          </w:p>
        </w:tc>
        <w:tc>
          <w:tcPr>
            <w:tcW w:w="840" w:type="dxa"/>
            <w:vAlign w:val="bottom"/>
          </w:tcPr>
          <w:p>
            <w:pPr>
              <w:jc w:val="right"/>
              <w:spacing w:after="0"/>
              <w:rPr>
                <w:sz w:val="20"/>
                <w:szCs w:val="20"/>
                <w:color w:val="auto"/>
              </w:rPr>
            </w:pPr>
            <w:r>
              <w:rPr>
                <w:rFonts w:ascii="Arial" w:cs="Arial" w:eastAsia="Arial" w:hAnsi="Arial"/>
                <w:sz w:val="15"/>
                <w:szCs w:val="15"/>
                <w:color w:val="auto"/>
              </w:rPr>
              <w:t>$185,607</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4320" w:type="dxa"/>
            <w:vAlign w:val="bottom"/>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7,171,250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1,314,325</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$1,110,257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349,059</w:t>
            </w:r>
          </w:p>
        </w:tc>
        <w:tc>
          <w:tcPr>
            <w:tcW w:w="840" w:type="dxa"/>
            <w:vAlign w:val="bottom"/>
          </w:tcPr>
          <w:p>
            <w:pPr>
              <w:jc w:val="right"/>
              <w:spacing w:after="0"/>
              <w:rPr>
                <w:sz w:val="20"/>
                <w:szCs w:val="20"/>
                <w:color w:val="auto"/>
              </w:rPr>
            </w:pPr>
            <w:r>
              <w:rPr>
                <w:rFonts w:ascii="Arial" w:cs="Arial" w:eastAsia="Arial" w:hAnsi="Arial"/>
                <w:sz w:val="15"/>
                <w:szCs w:val="15"/>
                <w:color w:val="auto"/>
              </w:rPr>
              <w:t>$347,557</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Disability:</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$161,950</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812,500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182,500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167,500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75,600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1,314,600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238,274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184,354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39,092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4,881,650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802,301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674,653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139,867</w:t>
            </w:r>
          </w:p>
        </w:tc>
        <w:tc>
          <w:tcPr>
            <w:tcW w:w="840" w:type="dxa"/>
            <w:vAlign w:val="bottom"/>
          </w:tcPr>
          <w:p>
            <w:pPr>
              <w:jc w:val="right"/>
              <w:spacing w:after="0"/>
              <w:rPr>
                <w:sz w:val="20"/>
                <w:szCs w:val="20"/>
                <w:color w:val="auto"/>
              </w:rPr>
            </w:pPr>
            <w:r>
              <w:rPr>
                <w:rFonts w:ascii="Arial" w:cs="Arial" w:eastAsia="Arial" w:hAnsi="Arial"/>
                <w:sz w:val="15"/>
                <w:szCs w:val="15"/>
                <w:color w:val="auto"/>
              </w:rPr>
              <w:t>$185,607</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4320" w:type="dxa"/>
            <w:vAlign w:val="bottom"/>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7,008,750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1,223,075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1,026,507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254,559</w:t>
            </w:r>
          </w:p>
        </w:tc>
        <w:tc>
          <w:tcPr>
            <w:tcW w:w="840" w:type="dxa"/>
            <w:vAlign w:val="bottom"/>
          </w:tcPr>
          <w:p>
            <w:pPr>
              <w:jc w:val="right"/>
              <w:spacing w:after="0"/>
              <w:rPr>
                <w:sz w:val="20"/>
                <w:szCs w:val="20"/>
                <w:color w:val="auto"/>
              </w:rPr>
            </w:pPr>
            <w:r>
              <w:rPr>
                <w:rFonts w:ascii="Arial" w:cs="Arial" w:eastAsia="Arial" w:hAnsi="Arial"/>
                <w:sz w:val="15"/>
                <w:szCs w:val="15"/>
                <w:color w:val="auto"/>
              </w:rPr>
              <w:t>$347,557</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5"/>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without Good Reason or</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2"/>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Termination for Cause: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No payments</w:t>
            </w:r>
          </w:p>
        </w:tc>
        <w:tc>
          <w:tcPr>
            <w:tcW w:w="300" w:type="dxa"/>
            <w:vAlign w:val="bottom"/>
          </w:tcPr>
          <w:p>
            <w:pPr>
              <w:spacing w:after="0"/>
              <w:rPr>
                <w:sz w:val="21"/>
                <w:szCs w:val="21"/>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21"/>
                <w:szCs w:val="21"/>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N/A</w:t>
            </w:r>
          </w:p>
        </w:tc>
        <w:tc>
          <w:tcPr>
            <w:tcW w:w="2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N/A</w:t>
            </w:r>
          </w:p>
        </w:tc>
        <w:tc>
          <w:tcPr>
            <w:tcW w:w="8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5"/>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2"/>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Termination Without Cause:</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650,000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365,000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335,000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378,000</w:t>
            </w:r>
          </w:p>
        </w:tc>
        <w:tc>
          <w:tcPr>
            <w:tcW w:w="840" w:type="dxa"/>
            <w:vAlign w:val="bottom"/>
          </w:tcPr>
          <w:p>
            <w:pPr>
              <w:jc w:val="right"/>
              <w:spacing w:after="0"/>
              <w:rPr>
                <w:sz w:val="20"/>
                <w:szCs w:val="20"/>
                <w:color w:val="auto"/>
              </w:rPr>
            </w:pPr>
            <w:r>
              <w:rPr>
                <w:rFonts w:ascii="Arial" w:cs="Arial" w:eastAsia="Arial" w:hAnsi="Arial"/>
                <w:sz w:val="15"/>
                <w:szCs w:val="15"/>
                <w:color w:val="auto"/>
              </w:rPr>
              <w:t>$485,850</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585,000</w:t>
            </w:r>
          </w:p>
        </w:tc>
        <w:tc>
          <w:tcPr>
            <w:tcW w:w="160" w:type="dxa"/>
            <w:vAlign w:val="bottom"/>
          </w:tcPr>
          <w:p>
            <w:pPr>
              <w:spacing w:after="0"/>
              <w:rPr>
                <w:sz w:val="21"/>
                <w:szCs w:val="21"/>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1,314,600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238,274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184,354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39,092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4,881,650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802,301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674,653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139,867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45,000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45,000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4320" w:type="dxa"/>
            <w:vAlign w:val="bottom"/>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7,476,250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1,450,575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1,239,007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601,959</w:t>
            </w:r>
          </w:p>
        </w:tc>
        <w:tc>
          <w:tcPr>
            <w:tcW w:w="840" w:type="dxa"/>
            <w:vAlign w:val="bottom"/>
          </w:tcPr>
          <w:p>
            <w:pPr>
              <w:jc w:val="right"/>
              <w:spacing w:after="0"/>
              <w:rPr>
                <w:sz w:val="20"/>
                <w:szCs w:val="20"/>
                <w:color w:val="auto"/>
              </w:rPr>
            </w:pPr>
            <w:r>
              <w:rPr>
                <w:rFonts w:ascii="Arial" w:cs="Arial" w:eastAsia="Arial" w:hAnsi="Arial"/>
                <w:sz w:val="15"/>
                <w:szCs w:val="15"/>
                <w:color w:val="auto"/>
              </w:rPr>
              <w:t>$485,850</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5"/>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32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Termination Without Cause within 90 days prior to or 24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2"/>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months following a change in control:</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5,560,260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742,785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638,754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482,997</w:t>
            </w:r>
          </w:p>
        </w:tc>
        <w:tc>
          <w:tcPr>
            <w:tcW w:w="840" w:type="dxa"/>
            <w:vAlign w:val="bottom"/>
          </w:tcPr>
          <w:p>
            <w:pPr>
              <w:jc w:val="right"/>
              <w:spacing w:after="0"/>
              <w:rPr>
                <w:sz w:val="20"/>
                <w:szCs w:val="20"/>
                <w:color w:val="auto"/>
              </w:rPr>
            </w:pPr>
            <w:r>
              <w:rPr>
                <w:rFonts w:ascii="Arial" w:cs="Arial" w:eastAsia="Arial" w:hAnsi="Arial"/>
                <w:sz w:val="15"/>
                <w:szCs w:val="15"/>
                <w:color w:val="auto"/>
              </w:rPr>
              <w:t>$485,850</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1,236,550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182,500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167,500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75,600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1,314,600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238,274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184,354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39,092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4,881,650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802,301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674,653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139,867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325,000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182,500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167,500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189,000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4320" w:type="dxa"/>
            <w:vAlign w:val="bottom"/>
            <w:tcBorders>
              <w:bottom w:val="single" w:sz="8" w:color="2D64AF"/>
            </w:tcBorders>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w w:val="98"/>
              </w:rPr>
              <w:t>13,318,060</w:t>
            </w:r>
          </w:p>
        </w:tc>
        <w:tc>
          <w:tcPr>
            <w:tcW w:w="160" w:type="dxa"/>
            <w:vAlign w:val="bottom"/>
            <w:tcBorders>
              <w:bottom w:val="single" w:sz="8" w:color="2D64AF"/>
            </w:tcBorders>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color w:val="auto"/>
                <w:w w:val="98"/>
              </w:rPr>
              <w:t>2,148,360</w:t>
            </w:r>
          </w:p>
        </w:tc>
        <w:tc>
          <w:tcPr>
            <w:tcW w:w="1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2D64AF"/>
            </w:tcBorders>
          </w:tcPr>
          <w:p>
            <w:pPr>
              <w:jc w:val="right"/>
              <w:ind w:right="64"/>
              <w:spacing w:after="0"/>
              <w:rPr>
                <w:sz w:val="20"/>
                <w:szCs w:val="20"/>
                <w:color w:val="auto"/>
              </w:rPr>
            </w:pPr>
            <w:r>
              <w:rPr>
                <w:rFonts w:ascii="Arial" w:cs="Arial" w:eastAsia="Arial" w:hAnsi="Arial"/>
                <w:sz w:val="15"/>
                <w:szCs w:val="15"/>
                <w:color w:val="auto"/>
                <w:w w:val="98"/>
              </w:rPr>
              <w:t>1,832,761</w:t>
            </w:r>
          </w:p>
        </w:tc>
        <w:tc>
          <w:tcPr>
            <w:tcW w:w="2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w w:val="95"/>
              </w:rPr>
              <w:t>926,556</w:t>
            </w:r>
          </w:p>
        </w:tc>
        <w:tc>
          <w:tcPr>
            <w:tcW w:w="8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$485,850</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below for descriptions of terms used.</w:t>
      </w:r>
    </w:p>
    <w:p>
      <w:pPr>
        <w:sectPr>
          <w:pgSz w:w="11900" w:h="16838" w:orient="portrait"/>
          <w:cols w:equalWidth="0" w:num="1">
            <w:col w:w="9320"/>
          </w:cols>
          <w:pgMar w:left="1280" w:top="118" w:right="1299" w:bottom="1440" w:gutter="0" w:footer="0" w:header="0"/>
        </w:sectPr>
      </w:pPr>
    </w:p>
    <w:p>
      <w:pPr>
        <w:spacing w:after="0" w:line="113"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with Messrs. Warzala, Leach, Maida and Bendre, if the executive’s employment terminates as a result of retirement upon attaining age 65 years of age and</w:t>
      </w:r>
    </w:p>
    <w:p>
      <w:pPr>
        <w:spacing w:after="0" w:line="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10 years of continual employment (or on or after January 2, 2024 for Mr.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time only (“Time-Based Awards”) or PSP and LTIP awards that vest on the basis of performance criteria (“Performance-Based Awards”) that have been earned but are still subject to time-based vesting outstanding on the date of retirement. At December 31, 2022, no Named Executive Officer was eligible for retirement under the terms of his respective employment agreement.</w:t>
      </w:r>
    </w:p>
    <w:p>
      <w:pPr>
        <w:spacing w:after="0" w:line="87" w:lineRule="exact"/>
        <w:rPr>
          <w:sz w:val="20"/>
          <w:szCs w:val="20"/>
          <w:color w:val="auto"/>
        </w:rPr>
      </w:pPr>
    </w:p>
    <w:p>
      <w:pPr>
        <w:ind w:left="220" w:right="20"/>
        <w:spacing w:after="0" w:line="281" w:lineRule="auto"/>
        <w:rPr>
          <w:sz w:val="20"/>
          <w:szCs w:val="20"/>
          <w:color w:val="auto"/>
        </w:rPr>
      </w:pPr>
      <w:r>
        <w:rPr>
          <w:rFonts w:ascii="Arial" w:cs="Arial" w:eastAsia="Arial" w:hAnsi="Arial"/>
          <w:sz w:val="16"/>
          <w:szCs w:val="16"/>
          <w:i w:val="1"/>
          <w:iCs w:val="1"/>
          <w:color w:val="auto"/>
        </w:rPr>
        <w:t>Payments upon Death</w:t>
      </w:r>
      <w:r>
        <w:rPr>
          <w:rFonts w:ascii="Arial" w:cs="Arial" w:eastAsia="Arial" w:hAnsi="Arial"/>
          <w:sz w:val="16"/>
          <w:szCs w:val="16"/>
          <w:color w:val="auto"/>
        </w:rPr>
        <w:t>. Under the terms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Messrs. Warzala, Leach, Maida and Bendre,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the event of the 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salary continuation to the end of the month containing the date of death and for six subsequent months. In addition, pursuant to the award agreement under the 2017 Omnibus Incentive Plan, Mr. Pirthauer will receive immediate vesting of all of his outstanding Time-Based Awards.</w:t>
      </w:r>
    </w:p>
    <w:p>
      <w:pPr>
        <w:spacing w:after="0" w:line="8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Payments upon Disability</w:t>
      </w:r>
      <w:r>
        <w:rPr>
          <w:rFonts w:ascii="Arial" w:cs="Arial" w:eastAsia="Arial" w:hAnsi="Arial"/>
          <w:sz w:val="16"/>
          <w:szCs w:val="16"/>
          <w:color w:val="auto"/>
        </w:rPr>
        <w:t>. Under the terms of Mr.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in the case of disability, salary is continued until the end of the term of the employment agreement, as adjusted for any compensation payable under</w:t>
      </w:r>
    </w:p>
    <w:p>
      <w:pPr>
        <w:spacing w:after="0" w:line="217" w:lineRule="exact"/>
        <w:rPr>
          <w:sz w:val="20"/>
          <w:szCs w:val="20"/>
          <w:color w:val="auto"/>
        </w:rPr>
      </w:pPr>
    </w:p>
    <w:p>
      <w:pPr>
        <w:sectPr>
          <w:pgSz w:w="11900" w:h="16838" w:orient="portrait"/>
          <w:cols w:equalWidth="0" w:num="2">
            <w:col w:w="4660" w:space="220"/>
            <w:col w:w="4440"/>
          </w:cols>
          <w:pgMar w:left="1280" w:top="118" w:right="1299" w:bottom="1440" w:gutter="0" w:footer="0" w:header="0"/>
          <w:type w:val="continuous"/>
        </w:sectPr>
      </w:pPr>
    </w:p>
    <w:p>
      <w:pPr>
        <w:spacing w:after="0" w:line="25" w:lineRule="exact"/>
        <w:rPr>
          <w:sz w:val="20"/>
          <w:szCs w:val="20"/>
          <w:color w:val="auto"/>
        </w:rPr>
      </w:pPr>
    </w:p>
    <w:p>
      <w:pPr>
        <w:ind w:left="220" w:hanging="214"/>
        <w:spacing w:after="0"/>
        <w:tabs>
          <w:tab w:leader="none" w:pos="22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8" w:right="12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5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any Company paid disability plan, or until long-term disability insurance becomes effective. Benefits are continued as generally provided by the Company to its employees in accordance with the Company’s disability plan. Under the terms of the employment agreements with Messrs. Leach, Maida and Bendre, the executive is entitled to the benefits under any disability insurance policies maintained by the Company for the benefit of the executive. In addition, Messrs. Warzala, Leach, Maida and Bendre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Time-Based Awards.</w:t>
      </w:r>
    </w:p>
    <w:p>
      <w:pPr>
        <w:spacing w:after="0" w:line="8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Payments upon Voluntary Resignation without Good Reason or Involuntary Termination with Cause</w:t>
      </w:r>
      <w:r>
        <w:rPr>
          <w:rFonts w:ascii="Arial" w:cs="Arial" w:eastAsia="Arial" w:hAnsi="Arial"/>
          <w:sz w:val="16"/>
          <w:szCs w:val="16"/>
          <w:color w:val="auto"/>
        </w:rPr>
        <w:t>.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is not entitled to receive any additional forms of severance payments or benefits upon his voluntary decision to terminate employment with the Company prior to being eligible for retirement or upon termination for cause.</w:t>
      </w:r>
    </w:p>
    <w:p>
      <w:pPr>
        <w:spacing w:after="0" w:line="78"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Payments upon Voluntary Resignation with Good Reason or Involuntary Termination Without Cause</w:t>
      </w:r>
      <w:r>
        <w:rPr>
          <w:rFonts w:ascii="Arial" w:cs="Arial" w:eastAsia="Arial" w:hAnsi="Arial"/>
          <w:sz w:val="16"/>
          <w:szCs w:val="16"/>
          <w:color w:val="auto"/>
        </w:rPr>
        <w:t>. 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Mr. Warzala’s employment agreement, if he is involuntarily terminated without cause or he terminates his employment for good reason, the employment agreement entitles him to:</w:t>
      </w:r>
    </w:p>
    <w:p>
      <w:pPr>
        <w:spacing w:after="0" w:line="3" w:lineRule="exact"/>
        <w:rPr>
          <w:sz w:val="20"/>
          <w:szCs w:val="20"/>
          <w:color w:val="auto"/>
        </w:rPr>
      </w:pPr>
    </w:p>
    <w:p>
      <w:pPr>
        <w:ind w:firstLine="2"/>
        <w:spacing w:after="0" w:line="248" w:lineRule="auto"/>
        <w:tabs>
          <w:tab w:leader="none" w:pos="1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Time-Based Awards and Performance-Based Awards that have been earned but are still subject to time-based vesting and, prorated vesting of his unearned Performance-Based Awards.</w:t>
      </w:r>
    </w:p>
    <w:p>
      <w:pPr>
        <w:spacing w:after="0" w:line="9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Under the terms of the employment agreements with Messrs. Leach, Maida and Bendre,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Time-Based Awards and Performance-Based Awards that have been earned but are still subject to time-based vesting, and prorated vesting of his unearned Performance-Based Awards.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81" w:lineRule="exact"/>
        <w:rPr>
          <w:sz w:val="20"/>
          <w:szCs w:val="20"/>
          <w:color w:val="auto"/>
        </w:rPr>
      </w:pPr>
    </w:p>
    <w:p>
      <w:pPr>
        <w:ind w:right="680"/>
        <w:spacing w:after="0" w:line="256" w:lineRule="auto"/>
        <w:rPr>
          <w:sz w:val="20"/>
          <w:szCs w:val="20"/>
          <w:color w:val="auto"/>
        </w:rPr>
      </w:pPr>
      <w:r>
        <w:rPr>
          <w:rFonts w:ascii="Arial" w:cs="Arial" w:eastAsia="Arial" w:hAnsi="Arial"/>
          <w:sz w:val="16"/>
          <w:szCs w:val="16"/>
          <w:i w:val="1"/>
          <w:iCs w:val="1"/>
          <w:color w:val="auto"/>
        </w:rPr>
        <w:t>Voluntary Resignation with Good Reason or Involuntary Termination Without Cause within 90 days prior to or</w:t>
      </w:r>
    </w:p>
    <w:p>
      <w:pPr>
        <w:spacing w:after="0" w:line="1"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i w:val="1"/>
          <w:iCs w:val="1"/>
          <w:color w:val="auto"/>
        </w:rPr>
        <w:t>24 months following a change in control</w:t>
      </w:r>
      <w:r>
        <w:rPr>
          <w:rFonts w:ascii="Arial" w:cs="Arial" w:eastAsia="Arial" w:hAnsi="Arial"/>
          <w:sz w:val="16"/>
          <w:szCs w:val="16"/>
          <w:color w:val="auto"/>
        </w:rPr>
        <w:t>. Mr.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agreement and Messrs. Leach, Maida and Bendre’s employment agreements provide for certain payments upon termination of employment resulting within</w:t>
      </w:r>
    </w:p>
    <w:p>
      <w:pPr>
        <w:spacing w:after="0" w:line="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98"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Under the terms of Mr. Warzala’s change in control agreement, he is entitled to (i) a severance payment equal to 2.5 times his annual Base Salary plus the highest</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6"/>
          <w:szCs w:val="16"/>
          <w:color w:val="auto"/>
        </w:rPr>
        <w:t>amount paid or payable pursuant to the Annual Cash Incentive plan applicable to the executive for any of the</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3 prior fiscal years; (ii) a benefit payment equal to 25% of annual salary for 24 months to purchase healthcare and other insurance benefits; (iii) payment of all legal fees and expenses incurred as a result of termination; and (iv) a prorata payment for the current year benefit pursuant to any annual or long-term incentive plan applicable to the executive for the year that includes the Date of Termination.</w:t>
      </w:r>
    </w:p>
    <w:p>
      <w:pPr>
        <w:spacing w:after="0" w:line="100"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Under the terms of the employment agreements with Messrs. Leach, Maida and Bendre, the executive is entitled to (i) a cash payment equal to 100% of the executive’s then current Base Salary plus the target Annual Cash Incentive for the year of termination (or if greater, the year immediately preceding the year in which the Change in Control occurred);</w:t>
      </w:r>
    </w:p>
    <w:p>
      <w:pPr>
        <w:spacing w:after="0" w:line="2" w:lineRule="exact"/>
        <w:rPr>
          <w:sz w:val="20"/>
          <w:szCs w:val="20"/>
          <w:color w:val="auto"/>
        </w:rPr>
      </w:pPr>
    </w:p>
    <w:p>
      <w:pPr>
        <w:jc w:val="both"/>
        <w:ind w:right="280" w:firstLine="4"/>
        <w:spacing w:after="0" w:line="246" w:lineRule="auto"/>
        <w:tabs>
          <w:tab w:leader="none" w:pos="2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additional amount equal to the executive’s target Annual Cash Incentive for the year of termination; (iii) a benefit payment equal to 25% of annual salary for 24 months to purchase healthcare and other insurance benefits; and</w:t>
      </w:r>
    </w:p>
    <w:p>
      <w:pPr>
        <w:spacing w:after="0" w:line="1" w:lineRule="exact"/>
        <w:rPr>
          <w:rFonts w:ascii="Arial" w:cs="Arial" w:eastAsia="Arial" w:hAnsi="Arial"/>
          <w:sz w:val="16"/>
          <w:szCs w:val="16"/>
          <w:color w:val="auto"/>
        </w:rPr>
      </w:pPr>
    </w:p>
    <w:p>
      <w:pPr>
        <w:ind w:right="220" w:firstLine="4"/>
        <w:spacing w:after="0" w:line="251" w:lineRule="auto"/>
        <w:tabs>
          <w:tab w:leader="none" w:pos="2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immediate vesting of all of his outstanding Time-Based Awards and Performance-Based Awards that have been earned but are still subject to time-based vesting, and prorated vesting of his unearned Performance-Based Awards.</w:t>
      </w:r>
    </w:p>
    <w:p>
      <w:pPr>
        <w:spacing w:after="0" w:line="94"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166" w:lineRule="exact"/>
        <w:rPr>
          <w:sz w:val="20"/>
          <w:szCs w:val="20"/>
          <w:color w:val="auto"/>
        </w:rPr>
      </w:pPr>
    </w:p>
    <w:p>
      <w:pPr>
        <w:sectPr>
          <w:pgSz w:w="11900" w:h="16838" w:orient="portrait"/>
          <w:cols w:equalWidth="0" w:num="2">
            <w:col w:w="4440" w:space="220"/>
            <w:col w:w="4660"/>
          </w:cols>
          <w:pgMar w:left="1280" w:top="265" w:right="1299" w:bottom="1440" w:gutter="0" w:footer="0" w:header="0"/>
        </w:sectPr>
      </w:pPr>
    </w:p>
    <w:p>
      <w:pPr>
        <w:spacing w:after="0"/>
        <w:rPr>
          <w:sz w:val="20"/>
          <w:szCs w:val="20"/>
          <w:color w:val="auto"/>
        </w:rPr>
      </w:pPr>
      <w:r>
        <w:rPr>
          <w:rFonts w:ascii="Arial" w:cs="Arial" w:eastAsia="Arial" w:hAnsi="Arial"/>
          <w:sz w:val="17"/>
          <w:szCs w:val="17"/>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777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agreement relied upon and sets forth in reasonable detail the facts and circumstances claimed to provide a basis for Termination of employment under the provision indicated.</w:t>
      </w:r>
    </w:p>
    <w:p>
      <w:pPr>
        <w:spacing w:after="0" w:line="9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“Base Salary” means an amount equal to the annual base salary in effect immediately prior to the Notice of Termination.</w:t>
      </w:r>
    </w:p>
    <w:p>
      <w:pPr>
        <w:spacing w:after="0" w:line="389" w:lineRule="exact"/>
        <w:rPr>
          <w:sz w:val="20"/>
          <w:szCs w:val="20"/>
          <w:color w:val="auto"/>
        </w:rPr>
      </w:pPr>
    </w:p>
    <w:p>
      <w:pPr>
        <w:sectPr>
          <w:pgSz w:w="11900" w:h="16838" w:orient="portrait"/>
          <w:cols w:equalWidth="0" w:num="2">
            <w:col w:w="4360" w:space="300"/>
            <w:col w:w="4660"/>
          </w:cols>
          <w:pgMar w:left="1280" w:top="265" w:right="1299" w:bottom="1440" w:gutter="0" w:footer="0" w:header="0"/>
          <w:type w:val="continuous"/>
        </w:sectPr>
      </w:pPr>
    </w:p>
    <w:p>
      <w:pPr>
        <w:spacing w:after="0" w:line="2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2023 Proxy Statement | </w:t>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149225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55"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w:t>
      </w:r>
    </w:p>
    <w:p>
      <w:pPr>
        <w:spacing w:after="0" w:line="7" w:lineRule="exact"/>
        <w:rPr>
          <w:sz w:val="20"/>
          <w:szCs w:val="20"/>
          <w:color w:val="auto"/>
        </w:rPr>
      </w:pPr>
    </w:p>
    <w:p>
      <w:pPr>
        <w:ind w:left="220" w:right="240" w:hanging="2"/>
        <w:spacing w:after="0" w:line="246" w:lineRule="auto"/>
        <w:tabs>
          <w:tab w:leader="none" w:pos="4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certain exceptions; or</w:t>
      </w:r>
    </w:p>
    <w:p>
      <w:pPr>
        <w:ind w:left="220" w:hanging="2"/>
        <w:spacing w:after="0" w:line="249" w:lineRule="auto"/>
        <w:tabs>
          <w:tab w:leader="none" w:pos="45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97" w:lineRule="exact"/>
        <w:rPr>
          <w:sz w:val="20"/>
          <w:szCs w:val="20"/>
          <w:color w:val="auto"/>
        </w:rPr>
      </w:pPr>
    </w:p>
    <w:p>
      <w:pPr>
        <w:ind w:left="220" w:right="60"/>
        <w:spacing w:after="0" w:line="246"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w:t>
      </w:r>
    </w:p>
    <w:p>
      <w:pPr>
        <w:spacing w:after="0" w:line="3" w:lineRule="exact"/>
        <w:rPr>
          <w:sz w:val="20"/>
          <w:szCs w:val="20"/>
          <w:color w:val="auto"/>
        </w:rPr>
      </w:pPr>
    </w:p>
    <w:p>
      <w:pPr>
        <w:ind w:left="220" w:right="40" w:hanging="2"/>
        <w:spacing w:after="0" w:line="248" w:lineRule="auto"/>
        <w:tabs>
          <w:tab w:leader="none" w:pos="4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254" w:lineRule="exact"/>
        <w:rPr>
          <w:sz w:val="20"/>
          <w:szCs w:val="20"/>
          <w:color w:val="auto"/>
        </w:rPr>
      </w:pPr>
    </w:p>
    <w:p>
      <w:pPr>
        <w:ind w:left="220" w:hanging="214"/>
        <w:spacing w:after="0"/>
        <w:tabs>
          <w:tab w:leader="none" w:pos="220" w:val="left"/>
        </w:tabs>
        <w:numPr>
          <w:ilvl w:val="0"/>
          <w:numId w:val="58"/>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131445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w:t>
      </w:r>
    </w:p>
    <w:p>
      <w:pPr>
        <w:spacing w:after="0" w:line="8" w:lineRule="exact"/>
        <w:rPr>
          <w:sz w:val="20"/>
          <w:szCs w:val="20"/>
          <w:color w:val="auto"/>
        </w:rPr>
      </w:pPr>
    </w:p>
    <w:p>
      <w:pPr>
        <w:spacing w:after="0" w:line="246" w:lineRule="auto"/>
        <w:tabs>
          <w:tab w:leader="none" w:pos="2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w:t>
      </w:r>
    </w:p>
    <w:p>
      <w:pPr>
        <w:spacing w:after="0" w:line="5" w:lineRule="exact"/>
        <w:rPr>
          <w:rFonts w:ascii="Arial" w:cs="Arial" w:eastAsia="Arial" w:hAnsi="Arial"/>
          <w:sz w:val="16"/>
          <w:szCs w:val="16"/>
          <w:color w:val="auto"/>
        </w:rPr>
      </w:pPr>
    </w:p>
    <w:p>
      <w:pPr>
        <w:ind w:right="180"/>
        <w:spacing w:after="0" w:line="260" w:lineRule="auto"/>
        <w:tabs>
          <w:tab w:leader="none" w:pos="34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breach of duty; or (ix) any termination of employment without a Notice of Termination.</w:t>
      </w:r>
    </w:p>
    <w:p>
      <w:pPr>
        <w:sectPr>
          <w:pgSz w:w="11900" w:h="16838" w:orient="portrait"/>
          <w:cols w:equalWidth="0" w:num="2">
            <w:col w:w="4640" w:space="240"/>
            <w:col w:w="4440"/>
          </w:cols>
          <w:pgMar w:left="1280" w:top="265" w:right="129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CERTAIN TRANSACTIONS AND RELATIONSHIPS</w:t>
      </w:r>
    </w:p>
    <w:p>
      <w:pPr>
        <w:spacing w:after="0" w:line="156"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9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Company has entered into an employment agreement with each of the Company’s executive officers. See “Employment Agreements and Related Arrangements” and “Potential Payments Upon Termination or Change in Control” above.</w:t>
      </w:r>
    </w:p>
    <w:p>
      <w:pPr>
        <w:spacing w:after="0" w:line="8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The Company leases certain facilities from a company for which Helmut D. Pirthauer, one of the Company’s executive officers, is a part owner. In connection with such leases, the Company made payments to the lessor of approximately $630,000 during the year ended December 31, 2022. Future minimum lease payments under these leases as of December 31, 2022 are approximately $6,400,000 and is subject to normal price escalation clauses. The Company believes that the terms of the leases above are comparable to the terms that would be available from an unrelated third party under the same or similar circumstances.</w:t>
      </w:r>
    </w:p>
    <w:p>
      <w:pPr>
        <w:spacing w:after="0" w:line="9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During fiscal 2022, the adult son of Richard S. Warzala was employed by the Company as Director of New Business Development, a position which reports directly to the Company’s Chief Financial Officer. His total compensation for 2022, which was reviewed and approved by the Human Capital and Compensation Committee, was approximately $361,000 and he was eligible for company benefits available to all other employees in a similar position.</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OWNERSHIP OF COMPANY STOCK</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Certain Beneficial Owners</w:t>
      </w:r>
    </w:p>
    <w:p>
      <w:pPr>
        <w:spacing w:after="0" w:line="150"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March 9, 2023,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3380" w:type="dxa"/>
            <w:vAlign w:val="bottom"/>
          </w:tcPr>
          <w:p>
            <w:pPr>
              <w:jc w:val="right"/>
              <w:ind w:right="404"/>
              <w:spacing w:after="0"/>
              <w:rPr>
                <w:sz w:val="20"/>
                <w:szCs w:val="20"/>
                <w:color w:val="auto"/>
              </w:rPr>
            </w:pPr>
            <w:r>
              <w:rPr>
                <w:rFonts w:ascii="Arial" w:cs="Arial" w:eastAsia="Arial" w:hAnsi="Arial"/>
                <w:sz w:val="15"/>
                <w:szCs w:val="15"/>
                <w:b w:val="1"/>
                <w:bCs w:val="1"/>
                <w:color w:val="2D64AF"/>
              </w:rPr>
              <w:t>Amount of Common</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2D64AF"/>
              </w:rPr>
              <w:t>Percent of</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2D64AF"/>
            </w:tcBorders>
          </w:tcPr>
          <w:p>
            <w:pPr>
              <w:ind w:left="40"/>
              <w:spacing w:after="0"/>
              <w:rPr>
                <w:sz w:val="20"/>
                <w:szCs w:val="20"/>
                <w:color w:val="auto"/>
              </w:rPr>
            </w:pPr>
            <w:r>
              <w:rPr>
                <w:rFonts w:ascii="Arial" w:cs="Arial" w:eastAsia="Arial" w:hAnsi="Arial"/>
                <w:sz w:val="15"/>
                <w:szCs w:val="15"/>
                <w:b w:val="1"/>
                <w:bCs w:val="1"/>
                <w:color w:val="2D64AF"/>
              </w:rPr>
              <w:t>Name and Address of Beneficial Owner</w:t>
            </w:r>
          </w:p>
        </w:tc>
        <w:tc>
          <w:tcPr>
            <w:tcW w:w="338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Stock Beneficially Owned</w:t>
            </w:r>
          </w:p>
        </w:tc>
        <w:tc>
          <w:tcPr>
            <w:tcW w:w="1740" w:type="dxa"/>
            <w:vAlign w:val="bottom"/>
            <w:tcBorders>
              <w:bottom w:val="single" w:sz="8" w:color="2D64AF"/>
            </w:tcBorders>
          </w:tcPr>
          <w:p>
            <w:pPr>
              <w:jc w:val="right"/>
              <w:spacing w:after="0" w:line="270"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233"/>
        </w:trPr>
        <w:tc>
          <w:tcPr>
            <w:tcW w:w="39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3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495 Commerce Drive, Suite 3</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1,570,264</w:t>
            </w:r>
            <w:r>
              <w:rPr>
                <w:rFonts w:ascii="Arial" w:cs="Arial" w:eastAsia="Arial" w:hAnsi="Arial"/>
                <w:sz w:val="25"/>
                <w:szCs w:val="25"/>
                <w:color w:val="auto"/>
                <w:vertAlign w:val="superscript"/>
              </w:rPr>
              <w:t>(2)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Amherst, NY 14228</w:t>
            </w:r>
          </w:p>
        </w:tc>
        <w:tc>
          <w:tcPr>
            <w:tcW w:w="3380" w:type="dxa"/>
            <w:vAlign w:val="bottom"/>
            <w:tcBorders>
              <w:bottom w:val="single" w:sz="8" w:color="2D64AF"/>
            </w:tcBorders>
            <w:vMerge w:val="continue"/>
          </w:tcPr>
          <w:p>
            <w:pPr>
              <w:spacing w:after="0"/>
              <w:rPr>
                <w:sz w:val="17"/>
                <w:szCs w:val="17"/>
                <w:color w:val="auto"/>
              </w:rPr>
            </w:pPr>
          </w:p>
        </w:tc>
        <w:tc>
          <w:tcPr>
            <w:tcW w:w="1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60" w:hanging="342"/>
        <w:spacing w:after="0"/>
        <w:tabs>
          <w:tab w:leader="none" w:pos="5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percentages are based upon 16,081,195 shares of Common Stock outstanding as of the Record Date.</w:t>
      </w:r>
    </w:p>
    <w:p>
      <w:pPr>
        <w:spacing w:after="0" w:line="53" w:lineRule="exact"/>
        <w:rPr>
          <w:rFonts w:ascii="Arial" w:cs="Arial" w:eastAsia="Arial" w:hAnsi="Arial"/>
          <w:sz w:val="13"/>
          <w:szCs w:val="13"/>
          <w:color w:val="auto"/>
        </w:rPr>
      </w:pPr>
    </w:p>
    <w:p>
      <w:pPr>
        <w:ind w:left="560" w:right="260" w:hanging="342"/>
        <w:spacing w:after="0" w:line="248" w:lineRule="auto"/>
        <w:tabs>
          <w:tab w:leader="none" w:pos="5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191,674 shares of Common Stock granted as incentive restricted shares under the Company’s stock incentive plans that have not yet vested and 25,089 shares of Common Stock credited to the Company’s Employee Stock Ownership Plan (“ESOP”) account of Mr. Warzala. Except as set forth in this note (2), does not include shares held by the ESOP as to which Mr. Warzala serves as one of four trustees.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Management and Directors</w:t>
      </w:r>
    </w:p>
    <w:p>
      <w:pPr>
        <w:spacing w:after="0" w:line="150"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4774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980" w:type="dxa"/>
            <w:vAlign w:val="bottom"/>
          </w:tcPr>
          <w:p>
            <w:pPr>
              <w:spacing w:after="0"/>
              <w:rPr>
                <w:sz w:val="17"/>
                <w:szCs w:val="17"/>
                <w:color w:val="auto"/>
              </w:rPr>
            </w:pPr>
          </w:p>
        </w:tc>
        <w:tc>
          <w:tcPr>
            <w:tcW w:w="4540" w:type="dxa"/>
            <w:vAlign w:val="bottom"/>
            <w:gridSpan w:val="3"/>
          </w:tcPr>
          <w:p>
            <w:pPr>
              <w:jc w:val="right"/>
              <w:ind w:right="64"/>
              <w:spacing w:after="0"/>
              <w:rPr>
                <w:sz w:val="20"/>
                <w:szCs w:val="20"/>
                <w:color w:val="auto"/>
              </w:rPr>
            </w:pPr>
            <w:r>
              <w:rPr>
                <w:rFonts w:ascii="Arial" w:cs="Arial" w:eastAsia="Arial" w:hAnsi="Arial"/>
                <w:sz w:val="15"/>
                <w:szCs w:val="15"/>
                <w:b w:val="1"/>
                <w:bCs w:val="1"/>
                <w:color w:val="2D64AF"/>
              </w:rPr>
              <w:t>Amount and Nature of Beneficial Ownership</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2980" w:type="dxa"/>
            <w:vAlign w:val="bottom"/>
          </w:tcPr>
          <w:p>
            <w:pPr>
              <w:spacing w:after="0"/>
              <w:rPr>
                <w:sz w:val="5"/>
                <w:szCs w:val="5"/>
                <w:color w:val="auto"/>
              </w:rPr>
            </w:pPr>
          </w:p>
        </w:tc>
        <w:tc>
          <w:tcPr>
            <w:tcW w:w="1440" w:type="dxa"/>
            <w:vAlign w:val="bottom"/>
            <w:tcBorders>
              <w:bottom w:val="single" w:sz="8" w:color="2D64AF"/>
            </w:tcBorders>
          </w:tcPr>
          <w:p>
            <w:pPr>
              <w:spacing w:after="0"/>
              <w:rPr>
                <w:sz w:val="5"/>
                <w:szCs w:val="5"/>
                <w:color w:val="auto"/>
              </w:rPr>
            </w:pPr>
          </w:p>
        </w:tc>
        <w:tc>
          <w:tcPr>
            <w:tcW w:w="1580" w:type="dxa"/>
            <w:vAlign w:val="bottom"/>
            <w:tcBorders>
              <w:bottom w:val="single" w:sz="8" w:color="2D64AF"/>
            </w:tcBorders>
          </w:tcPr>
          <w:p>
            <w:pPr>
              <w:spacing w:after="0"/>
              <w:rPr>
                <w:sz w:val="5"/>
                <w:szCs w:val="5"/>
                <w:color w:val="auto"/>
              </w:rPr>
            </w:pPr>
          </w:p>
        </w:tc>
        <w:tc>
          <w:tcPr>
            <w:tcW w:w="1520" w:type="dxa"/>
            <w:vAlign w:val="bottom"/>
            <w:tcBorders>
              <w:bottom w:val="single" w:sz="8" w:color="2D64AF"/>
            </w:tcBorders>
          </w:tcPr>
          <w:p>
            <w:pPr>
              <w:spacing w:after="0"/>
              <w:rPr>
                <w:sz w:val="5"/>
                <w:szCs w:val="5"/>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Percentage of</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jc w:val="right"/>
              <w:ind w:right="184"/>
              <w:spacing w:after="0"/>
              <w:rPr>
                <w:sz w:val="20"/>
                <w:szCs w:val="20"/>
                <w:color w:val="auto"/>
              </w:rPr>
            </w:pPr>
            <w:r>
              <w:rPr>
                <w:rFonts w:ascii="Arial" w:cs="Arial" w:eastAsia="Arial" w:hAnsi="Arial"/>
                <w:sz w:val="15"/>
                <w:szCs w:val="15"/>
                <w:b w:val="1"/>
                <w:bCs w:val="1"/>
                <w:color w:val="2D64AF"/>
              </w:rPr>
              <w:t>Unvested</w:t>
            </w:r>
          </w:p>
        </w:tc>
        <w:tc>
          <w:tcPr>
            <w:tcW w:w="1520" w:type="dxa"/>
            <w:vAlign w:val="bottom"/>
          </w:tcPr>
          <w:p>
            <w:pPr>
              <w:jc w:val="right"/>
              <w:ind w:right="104"/>
              <w:spacing w:after="0"/>
              <w:rPr>
                <w:sz w:val="20"/>
                <w:szCs w:val="20"/>
                <w:color w:val="auto"/>
              </w:rPr>
            </w:pPr>
            <w:r>
              <w:rPr>
                <w:rFonts w:ascii="Arial" w:cs="Arial" w:eastAsia="Arial" w:hAnsi="Arial"/>
                <w:sz w:val="15"/>
                <w:szCs w:val="15"/>
                <w:b w:val="1"/>
                <w:bCs w:val="1"/>
                <w:color w:val="2D64AF"/>
              </w:rPr>
              <w:t>Total Beneficial</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80" w:type="dxa"/>
            <w:vAlign w:val="bottom"/>
            <w:tcBorders>
              <w:bottom w:val="single" w:sz="8" w:color="2D64AF"/>
            </w:tcBorders>
          </w:tcPr>
          <w:p>
            <w:pPr>
              <w:ind w:left="40"/>
              <w:spacing w:after="0"/>
              <w:rPr>
                <w:sz w:val="20"/>
                <w:szCs w:val="20"/>
                <w:color w:val="auto"/>
              </w:rPr>
            </w:pPr>
            <w:r>
              <w:rPr>
                <w:rFonts w:ascii="Arial" w:cs="Arial" w:eastAsia="Arial" w:hAnsi="Arial"/>
                <w:sz w:val="15"/>
                <w:szCs w:val="15"/>
                <w:b w:val="1"/>
                <w:bCs w:val="1"/>
                <w:color w:val="2D64AF"/>
              </w:rPr>
              <w:t>Name</w:t>
            </w:r>
          </w:p>
        </w:tc>
        <w:tc>
          <w:tcPr>
            <w:tcW w:w="144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b w:val="1"/>
                <w:bCs w:val="1"/>
                <w:color w:val="2D64AF"/>
              </w:rPr>
              <w:t>Common Stock</w:t>
            </w:r>
          </w:p>
        </w:tc>
        <w:tc>
          <w:tcPr>
            <w:tcW w:w="158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b w:val="1"/>
                <w:bCs w:val="1"/>
                <w:color w:val="2D64AF"/>
              </w:rPr>
              <w:t>Restricted Stock</w:t>
            </w:r>
          </w:p>
        </w:tc>
        <w:tc>
          <w:tcPr>
            <w:tcW w:w="1520" w:type="dxa"/>
            <w:vAlign w:val="bottom"/>
            <w:tcBorders>
              <w:bottom w:val="single" w:sz="8" w:color="2D64AF"/>
            </w:tcBorders>
          </w:tcPr>
          <w:p>
            <w:pPr>
              <w:jc w:val="right"/>
              <w:ind w:right="64"/>
              <w:spacing w:after="0"/>
              <w:rPr>
                <w:sz w:val="20"/>
                <w:szCs w:val="20"/>
                <w:color w:val="auto"/>
              </w:rPr>
            </w:pPr>
            <w:r>
              <w:rPr>
                <w:rFonts w:ascii="Arial" w:cs="Arial" w:eastAsia="Arial" w:hAnsi="Arial"/>
                <w:sz w:val="15"/>
                <w:szCs w:val="15"/>
                <w:b w:val="1"/>
                <w:bCs w:val="1"/>
                <w:color w:val="2D64AF"/>
              </w:rPr>
              <w:t>Ownership</w:t>
            </w:r>
          </w:p>
        </w:tc>
        <w:tc>
          <w:tcPr>
            <w:tcW w:w="1580" w:type="dxa"/>
            <w:vAlign w:val="bottom"/>
            <w:tcBorders>
              <w:bottom w:val="single" w:sz="8" w:color="2D64AF"/>
            </w:tcBorders>
          </w:tcPr>
          <w:p>
            <w:pPr>
              <w:jc w:val="right"/>
              <w:spacing w:after="0" w:line="270"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42,994</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6,925</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49,919</w:t>
            </w:r>
            <w:r>
              <w:rPr>
                <w:rFonts w:ascii="Arial" w:cs="Arial" w:eastAsia="Arial" w:hAnsi="Arial"/>
                <w:sz w:val="25"/>
                <w:szCs w:val="25"/>
                <w:color w:val="auto"/>
                <w:vertAlign w:val="superscript"/>
              </w:rPr>
              <w:t>(2)</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Robert B. Engel</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28,557</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64"/>
              <w:spacing w:after="0"/>
              <w:rPr>
                <w:sz w:val="20"/>
                <w:szCs w:val="20"/>
                <w:color w:val="auto"/>
              </w:rPr>
            </w:pPr>
            <w:r>
              <w:rPr>
                <w:rFonts w:ascii="Arial" w:cs="Arial" w:eastAsia="Arial" w:hAnsi="Arial"/>
                <w:sz w:val="15"/>
                <w:szCs w:val="15"/>
                <w:color w:val="auto"/>
              </w:rPr>
              <w:t>29,248</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Richard D. Federico</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67,795</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64"/>
              <w:spacing w:after="0"/>
              <w:rPr>
                <w:sz w:val="20"/>
                <w:szCs w:val="20"/>
                <w:color w:val="auto"/>
              </w:rPr>
            </w:pPr>
            <w:r>
              <w:rPr>
                <w:rFonts w:ascii="Arial" w:cs="Arial" w:eastAsia="Arial" w:hAnsi="Arial"/>
                <w:sz w:val="15"/>
                <w:szCs w:val="15"/>
                <w:color w:val="auto"/>
              </w:rPr>
              <w:t>68,486</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Steven C. Finch</w:t>
            </w:r>
          </w:p>
        </w:tc>
        <w:tc>
          <w:tcPr>
            <w:tcW w:w="1440" w:type="dxa"/>
            <w:vAlign w:val="bottom"/>
          </w:tcPr>
          <w:p>
            <w:pPr>
              <w:jc w:val="right"/>
              <w:ind w:right="84"/>
              <w:spacing w:after="0"/>
              <w:rPr>
                <w:sz w:val="20"/>
                <w:szCs w:val="20"/>
                <w:color w:val="auto"/>
              </w:rPr>
            </w:pPr>
            <w:r>
              <w:rPr>
                <w:rFonts w:ascii="Arial" w:cs="Arial" w:eastAsia="Arial" w:hAnsi="Arial"/>
                <w:sz w:val="15"/>
                <w:szCs w:val="15"/>
                <w:color w:val="auto"/>
              </w:rPr>
              <w:t>4,461</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5,152</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Leach</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57,810</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32,177</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90,787</w:t>
            </w:r>
            <w:r>
              <w:rPr>
                <w:rFonts w:ascii="Arial" w:cs="Arial" w:eastAsia="Arial" w:hAnsi="Arial"/>
                <w:sz w:val="25"/>
                <w:szCs w:val="25"/>
                <w:color w:val="auto"/>
                <w:vertAlign w:val="superscript"/>
              </w:rPr>
              <w:t>(3)</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P. Maida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87,541</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28,194</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115,735</w:t>
            </w:r>
            <w:r>
              <w:rPr>
                <w:rFonts w:ascii="Arial" w:cs="Arial" w:eastAsia="Arial" w:hAnsi="Arial"/>
                <w:sz w:val="25"/>
                <w:szCs w:val="25"/>
                <w:color w:val="auto"/>
                <w:vertAlign w:val="superscript"/>
              </w:rPr>
              <w:t>(4)</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Kenneth A. May</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4,220</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8,518</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12,738</w:t>
            </w:r>
            <w:r>
              <w:rPr>
                <w:rFonts w:ascii="Arial" w:cs="Arial" w:eastAsia="Arial" w:hAnsi="Arial"/>
                <w:sz w:val="25"/>
                <w:szCs w:val="25"/>
                <w:color w:val="auto"/>
                <w:vertAlign w:val="superscript"/>
              </w:rPr>
              <w:t>(5)</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35,268</w:t>
            </w:r>
          </w:p>
        </w:tc>
        <w:tc>
          <w:tcPr>
            <w:tcW w:w="1580" w:type="dxa"/>
            <w:vAlign w:val="bottom"/>
          </w:tcPr>
          <w:p>
            <w:pPr>
              <w:jc w:val="right"/>
              <w:ind w:right="164"/>
              <w:spacing w:after="0"/>
              <w:rPr>
                <w:sz w:val="20"/>
                <w:szCs w:val="20"/>
                <w:color w:val="auto"/>
              </w:rPr>
            </w:pPr>
            <w:r>
              <w:rPr>
                <w:rFonts w:ascii="Arial" w:cs="Arial" w:eastAsia="Arial" w:hAnsi="Arial"/>
                <w:sz w:val="15"/>
                <w:szCs w:val="15"/>
                <w:color w:val="auto"/>
              </w:rPr>
              <w:t>6,960</w:t>
            </w:r>
          </w:p>
        </w:tc>
        <w:tc>
          <w:tcPr>
            <w:tcW w:w="1520" w:type="dxa"/>
            <w:vAlign w:val="bottom"/>
          </w:tcPr>
          <w:p>
            <w:pPr>
              <w:jc w:val="right"/>
              <w:ind w:right="264"/>
              <w:spacing w:after="0"/>
              <w:rPr>
                <w:sz w:val="20"/>
                <w:szCs w:val="20"/>
                <w:color w:val="auto"/>
              </w:rPr>
            </w:pPr>
            <w:r>
              <w:rPr>
                <w:rFonts w:ascii="Arial" w:cs="Arial" w:eastAsia="Arial" w:hAnsi="Arial"/>
                <w:sz w:val="15"/>
                <w:szCs w:val="15"/>
                <w:color w:val="auto"/>
              </w:rPr>
              <w:t>42,228</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Geoffery C. Rondeau</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9,244</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5,983</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15,227</w:t>
            </w:r>
            <w:r>
              <w:rPr>
                <w:rFonts w:ascii="Arial" w:cs="Arial" w:eastAsia="Arial" w:hAnsi="Arial"/>
                <w:sz w:val="25"/>
                <w:szCs w:val="25"/>
                <w:color w:val="auto"/>
                <w:vertAlign w:val="superscript"/>
              </w:rPr>
              <w:t>(6)</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James J. Tanous</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31,681</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64"/>
              <w:spacing w:after="0"/>
              <w:rPr>
                <w:sz w:val="20"/>
                <w:szCs w:val="20"/>
                <w:color w:val="auto"/>
              </w:rPr>
            </w:pPr>
            <w:r>
              <w:rPr>
                <w:rFonts w:ascii="Arial" w:cs="Arial" w:eastAsia="Arial" w:hAnsi="Arial"/>
                <w:sz w:val="15"/>
                <w:szCs w:val="15"/>
                <w:color w:val="auto"/>
              </w:rPr>
              <w:t>32,372</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Nicole R. Tzetzo</w:t>
            </w:r>
          </w:p>
        </w:tc>
        <w:tc>
          <w:tcPr>
            <w:tcW w:w="1440" w:type="dxa"/>
            <w:vAlign w:val="bottom"/>
          </w:tcPr>
          <w:p>
            <w:pPr>
              <w:jc w:val="right"/>
              <w:ind w:right="84"/>
              <w:spacing w:after="0"/>
              <w:rPr>
                <w:sz w:val="20"/>
                <w:szCs w:val="20"/>
                <w:color w:val="auto"/>
              </w:rPr>
            </w:pPr>
            <w:r>
              <w:rPr>
                <w:rFonts w:ascii="Arial" w:cs="Arial" w:eastAsia="Arial" w:hAnsi="Arial"/>
                <w:sz w:val="15"/>
                <w:szCs w:val="15"/>
                <w:color w:val="auto"/>
              </w:rPr>
              <w:t>5,261</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5,952</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1,378,590</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191,674</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1,570,264</w:t>
            </w:r>
            <w:r>
              <w:rPr>
                <w:rFonts w:ascii="Arial" w:cs="Arial" w:eastAsia="Arial" w:hAnsi="Arial"/>
                <w:sz w:val="25"/>
                <w:szCs w:val="25"/>
                <w:color w:val="auto"/>
                <w:vertAlign w:val="superscript"/>
              </w:rPr>
              <w:t>(7)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5"/>
                <w:szCs w:val="15"/>
                <w:color w:val="auto"/>
              </w:rPr>
              <w:t>Michael R. Winter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31,644</w:t>
            </w:r>
          </w:p>
        </w:tc>
        <w:tc>
          <w:tcPr>
            <w:tcW w:w="1580" w:type="dxa"/>
            <w:vAlign w:val="bottom"/>
          </w:tcPr>
          <w:p>
            <w:pPr>
              <w:jc w:val="right"/>
              <w:ind w:right="144"/>
              <w:spacing w:after="0"/>
              <w:rPr>
                <w:sz w:val="20"/>
                <w:szCs w:val="20"/>
                <w:color w:val="auto"/>
              </w:rPr>
            </w:pPr>
            <w:r>
              <w:rPr>
                <w:rFonts w:ascii="Arial" w:cs="Arial" w:eastAsia="Arial" w:hAnsi="Arial"/>
                <w:sz w:val="15"/>
                <w:szCs w:val="15"/>
                <w:color w:val="auto"/>
              </w:rPr>
              <w:t>691</w:t>
            </w:r>
          </w:p>
        </w:tc>
        <w:tc>
          <w:tcPr>
            <w:tcW w:w="1520" w:type="dxa"/>
            <w:vAlign w:val="bottom"/>
          </w:tcPr>
          <w:p>
            <w:pPr>
              <w:jc w:val="right"/>
              <w:ind w:right="264"/>
              <w:spacing w:after="0"/>
              <w:rPr>
                <w:sz w:val="20"/>
                <w:szCs w:val="20"/>
                <w:color w:val="auto"/>
              </w:rPr>
            </w:pPr>
            <w:r>
              <w:rPr>
                <w:rFonts w:ascii="Arial" w:cs="Arial" w:eastAsia="Arial" w:hAnsi="Arial"/>
                <w:sz w:val="15"/>
                <w:szCs w:val="15"/>
                <w:color w:val="auto"/>
              </w:rPr>
              <w:t>32,335</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Employee Stock Ownership Plan</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630,361</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630,361</w:t>
            </w:r>
            <w:r>
              <w:rPr>
                <w:rFonts w:ascii="Arial" w:cs="Arial" w:eastAsia="Arial" w:hAnsi="Arial"/>
                <w:sz w:val="25"/>
                <w:szCs w:val="25"/>
                <w:color w:val="auto"/>
                <w:vertAlign w:val="superscript"/>
              </w:rPr>
              <w:t>(8)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3"/>
        </w:trPr>
        <w:tc>
          <w:tcPr>
            <w:tcW w:w="2980" w:type="dxa"/>
            <w:vAlign w:val="bottom"/>
          </w:tcPr>
          <w:p>
            <w:pPr>
              <w:ind w:left="40"/>
              <w:spacing w:after="0"/>
              <w:rPr>
                <w:sz w:val="20"/>
                <w:szCs w:val="20"/>
                <w:color w:val="auto"/>
              </w:rPr>
            </w:pPr>
            <w:r>
              <w:rPr>
                <w:rFonts w:ascii="Arial" w:cs="Arial" w:eastAsia="Arial" w:hAnsi="Arial"/>
                <w:sz w:val="15"/>
                <w:szCs w:val="15"/>
                <w:color w:val="auto"/>
              </w:rPr>
              <w:t>All directors, nominees and executive</w:t>
            </w: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officers as a group</w:t>
            </w:r>
          </w:p>
        </w:tc>
        <w:tc>
          <w:tcPr>
            <w:tcW w:w="144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color w:val="auto"/>
              </w:rPr>
              <w:t>2,380,760</w:t>
            </w:r>
          </w:p>
        </w:tc>
        <w:tc>
          <w:tcPr>
            <w:tcW w:w="158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285,577</w:t>
            </w:r>
          </w:p>
        </w:tc>
        <w:tc>
          <w:tcPr>
            <w:tcW w:w="1520" w:type="dxa"/>
            <w:vAlign w:val="bottom"/>
            <w:tcBorders>
              <w:bottom w:val="single" w:sz="8" w:color="2D64AF"/>
            </w:tcBorders>
          </w:tcPr>
          <w:p>
            <w:pPr>
              <w:jc w:val="right"/>
              <w:ind w:right="244"/>
              <w:spacing w:after="0"/>
              <w:rPr>
                <w:sz w:val="20"/>
                <w:szCs w:val="20"/>
                <w:color w:val="auto"/>
              </w:rPr>
            </w:pPr>
            <w:r>
              <w:rPr>
                <w:rFonts w:ascii="Arial" w:cs="Arial" w:eastAsia="Arial" w:hAnsi="Arial"/>
                <w:sz w:val="15"/>
                <w:szCs w:val="15"/>
                <w:color w:val="auto"/>
              </w:rPr>
              <w:t>2,666,337</w:t>
            </w:r>
          </w:p>
        </w:tc>
        <w:tc>
          <w:tcPr>
            <w:tcW w:w="1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60" w:hanging="342"/>
        <w:spacing w:after="0"/>
        <w:tabs>
          <w:tab w:leader="none" w:pos="5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560" w:hanging="342"/>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percentages are based upon 16,081,195 shares of Common Stock outstanding as of the Record Date.</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463 shares of Common Stock credited to the ESOP account of Mr. Bendre.</w:t>
      </w:r>
    </w:p>
    <w:p>
      <w:pPr>
        <w:spacing w:after="0" w:line="53" w:lineRule="exact"/>
        <w:rPr>
          <w:rFonts w:ascii="Arial" w:cs="Arial" w:eastAsia="Arial" w:hAnsi="Arial"/>
          <w:sz w:val="13"/>
          <w:szCs w:val="13"/>
          <w:color w:val="auto"/>
        </w:rPr>
      </w:pPr>
    </w:p>
    <w:p>
      <w:pPr>
        <w:ind w:left="560" w:right="140" w:hanging="342"/>
        <w:spacing w:after="0" w:line="258" w:lineRule="auto"/>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2,024 shares of Common Stock credited to the ESOP account of Mr. Leach. Except as set forth in this note (3), does not include shares held by the ESOP as to which Mr. Leach serves as one of four trustees.</w:t>
      </w:r>
    </w:p>
    <w:p>
      <w:pPr>
        <w:spacing w:after="0" w:line="29" w:lineRule="exact"/>
        <w:rPr>
          <w:rFonts w:ascii="Arial" w:cs="Arial" w:eastAsia="Arial" w:hAnsi="Arial"/>
          <w:sz w:val="13"/>
          <w:szCs w:val="13"/>
          <w:color w:val="auto"/>
        </w:rPr>
      </w:pPr>
    </w:p>
    <w:p>
      <w:pPr>
        <w:ind w:left="560" w:hanging="342"/>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4,534 shares of Common Stock credited to the ESOP account of Mr. Maida.</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597 shares of Common Stock credited to the ESOP account of Mr. May.</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1,960 shares of Common Stock credited to the ESOP account of Mr. Rondeau.</w:t>
      </w:r>
    </w:p>
    <w:p>
      <w:pPr>
        <w:spacing w:after="0" w:line="53" w:lineRule="exact"/>
        <w:rPr>
          <w:rFonts w:ascii="Arial" w:cs="Arial" w:eastAsia="Arial" w:hAnsi="Arial"/>
          <w:sz w:val="13"/>
          <w:szCs w:val="13"/>
          <w:color w:val="auto"/>
        </w:rPr>
      </w:pPr>
    </w:p>
    <w:p>
      <w:pPr>
        <w:ind w:left="560" w:right="380" w:hanging="342"/>
        <w:spacing w:after="0" w:line="258" w:lineRule="auto"/>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25,089 shares of Common Stock credited to the ESOP account of Mr. Warzala. Except as set forth in this note (6), does not include shares held by the ESOP as to which Mr. Warzala serves as one of four trustees.</w:t>
      </w:r>
    </w:p>
    <w:p>
      <w:pPr>
        <w:sectPr>
          <w:pgSz w:w="11900" w:h="16838" w:orient="portrait"/>
          <w:cols w:equalWidth="0" w:num="1">
            <w:col w:w="9320"/>
          </w:cols>
          <w:pgMar w:left="1280" w:top="265" w:right="1299" w:bottom="1440" w:gutter="0" w:footer="0" w:header="0"/>
        </w:sectPr>
      </w:pPr>
    </w:p>
    <w:p>
      <w:pPr>
        <w:spacing w:after="0" w:line="240" w:lineRule="exact"/>
        <w:rPr>
          <w:sz w:val="20"/>
          <w:szCs w:val="20"/>
          <w:color w:val="auto"/>
        </w:rPr>
      </w:pPr>
    </w:p>
    <w:p>
      <w:pPr>
        <w:ind w:left="220" w:hanging="214"/>
        <w:spacing w:after="0"/>
        <w:tabs>
          <w:tab w:leader="none" w:pos="220" w:val="left"/>
        </w:tabs>
        <w:numPr>
          <w:ilvl w:val="0"/>
          <w:numId w:val="64"/>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130175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2D64AF"/>
        </w:rPr>
        <w:t>Ownership of Company Stock</w:t>
      </w:r>
    </w:p>
    <w:p>
      <w:pPr>
        <w:spacing w:after="0" w:line="143" w:lineRule="exact"/>
        <w:rPr>
          <w:sz w:val="20"/>
          <w:szCs w:val="20"/>
          <w:color w:val="auto"/>
        </w:rPr>
      </w:pPr>
    </w:p>
    <w:p>
      <w:pPr>
        <w:ind w:left="360" w:right="240" w:hanging="358"/>
        <w:spacing w:after="0" w:line="238" w:lineRule="auto"/>
        <w:tabs>
          <w:tab w:leader="none" w:pos="3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Messrs. Warzala and Leach are trustees of the ESOP and could be deemed to have shared investment power over those shares. The ESOP holds an aggregate of 630,361 shares of Common Stock, including 463 shares credited to the ESOP account of Mr. Bendre, 2,024 shares credited to the ESOP account of Mr. Leach, 4,534 shares credited to the ESOP account of Mr. Maida, 597 shares credited to the ESOP account of</w:t>
      </w:r>
    </w:p>
    <w:p>
      <w:pPr>
        <w:ind w:left="360" w:right="300"/>
        <w:spacing w:after="0" w:line="258" w:lineRule="auto"/>
        <w:rPr>
          <w:rFonts w:ascii="Arial" w:cs="Arial" w:eastAsia="Arial" w:hAnsi="Arial"/>
          <w:sz w:val="13"/>
          <w:szCs w:val="13"/>
          <w:color w:val="auto"/>
        </w:rPr>
      </w:pPr>
      <w:r>
        <w:rPr>
          <w:rFonts w:ascii="Arial" w:cs="Arial" w:eastAsia="Arial" w:hAnsi="Arial"/>
          <w:sz w:val="13"/>
          <w:szCs w:val="13"/>
          <w:color w:val="auto"/>
        </w:rPr>
        <w:t>Mr. May, 1,960 shares credited to the ESOP account of Mr. Rondeau and 25,089 shares credited to the ESOP account of Mr. Warzala, previously reported in this table.</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Delinquent Section 16(a) Reports</w:t>
      </w:r>
    </w:p>
    <w:p>
      <w:pPr>
        <w:spacing w:after="0" w:line="15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 </w:t>
      </w:r>
    </w:p>
    <w:p>
      <w:pPr>
        <w:spacing w:after="0" w:line="36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AUDIT COMMITTEE MATTERS</w:t>
      </w:r>
    </w:p>
    <w:p>
      <w:pPr>
        <w:spacing w:after="0" w:line="2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Audit Committee Report</w:t>
      </w:r>
    </w:p>
    <w:p>
      <w:pPr>
        <w:spacing w:after="0" w:line="134" w:lineRule="exact"/>
        <w:rPr>
          <w:sz w:val="20"/>
          <w:szCs w:val="20"/>
          <w:color w:val="auto"/>
        </w:rPr>
      </w:pPr>
    </w:p>
    <w:p>
      <w:pPr>
        <w:ind w:left="220" w:right="20"/>
        <w:spacing w:after="0" w:line="263"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86" w:lineRule="exact"/>
        <w:rPr>
          <w:sz w:val="20"/>
          <w:szCs w:val="20"/>
          <w:color w:val="auto"/>
        </w:rPr>
      </w:pPr>
    </w:p>
    <w:p>
      <w:pPr>
        <w:ind w:left="220" w:right="220"/>
        <w:spacing w:after="0" w:line="251"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94"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2022 prior to year-end and all Charter tasks scheduled to be performed in 2023 prior to the filing of this proxy statement. Our work included, among other procedures:</w:t>
      </w:r>
    </w:p>
    <w:p>
      <w:pPr>
        <w:spacing w:after="0" w:line="121" w:lineRule="exact"/>
        <w:rPr>
          <w:sz w:val="20"/>
          <w:szCs w:val="20"/>
          <w:color w:val="auto"/>
        </w:rPr>
      </w:pPr>
    </w:p>
    <w:p>
      <w:pPr>
        <w:ind w:left="460" w:hanging="24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pre-approved audit and permitted non-audit services of the Company’s independent auditors.</w:t>
      </w:r>
    </w:p>
    <w:p>
      <w:pPr>
        <w:spacing w:after="0" w:line="113" w:lineRule="exact"/>
        <w:rPr>
          <w:rFonts w:ascii="Arial" w:cs="Arial" w:eastAsia="Arial" w:hAnsi="Arial"/>
          <w:sz w:val="16"/>
          <w:szCs w:val="16"/>
          <w:color w:val="auto"/>
        </w:rPr>
      </w:pPr>
    </w:p>
    <w:p>
      <w:pPr>
        <w:ind w:left="220" w:right="280" w:hanging="2"/>
        <w:spacing w:after="0" w:line="260" w:lineRule="auto"/>
        <w:tabs>
          <w:tab w:leader="none" w:pos="4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met with management and the independent auditors on a quarterly basis to discuss financial statements and related reports and to review significant accounting and reporting matters.</w:t>
      </w:r>
    </w:p>
    <w:p>
      <w:pPr>
        <w:spacing w:after="0" w:line="87" w:lineRule="exact"/>
        <w:rPr>
          <w:rFonts w:ascii="Arial" w:cs="Arial" w:eastAsia="Arial" w:hAnsi="Arial"/>
          <w:sz w:val="16"/>
          <w:szCs w:val="16"/>
          <w:color w:val="auto"/>
        </w:rPr>
      </w:pPr>
    </w:p>
    <w:p>
      <w:pPr>
        <w:jc w:val="both"/>
        <w:ind w:left="220" w:right="380" w:hanging="2"/>
        <w:spacing w:after="0" w:line="253" w:lineRule="auto"/>
        <w:tabs>
          <w:tab w:leader="none" w:pos="4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93" w:lineRule="exact"/>
        <w:rPr>
          <w:rFonts w:ascii="Arial" w:cs="Arial" w:eastAsia="Arial" w:hAnsi="Arial"/>
          <w:sz w:val="16"/>
          <w:szCs w:val="16"/>
          <w:color w:val="auto"/>
        </w:rPr>
      </w:pPr>
    </w:p>
    <w:p>
      <w:pPr>
        <w:ind w:left="220" w:right="240" w:hanging="2"/>
        <w:spacing w:after="0" w:line="253" w:lineRule="auto"/>
        <w:tabs>
          <w:tab w:leader="none" w:pos="4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their publication, we reviewed and discussed with management and the independent auditors the Company’s December 31, 2022, audited financial statements, the related audit report, and the applicable management’s discussion and analysis.</w:t>
      </w:r>
    </w:p>
    <w:p>
      <w:pPr>
        <w:spacing w:after="0" w:line="93"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2022, for filing with the SEC.</w:t>
      </w:r>
    </w:p>
    <w:p>
      <w:pPr>
        <w:spacing w:after="0" w:line="10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AUDIT COMMITTEE</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Michael R. Winter, Chairman</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James J. Tanous</w:t>
      </w:r>
    </w:p>
    <w:p>
      <w:pPr>
        <w:spacing w:after="0" w:line="294" w:lineRule="exact"/>
        <w:rPr>
          <w:sz w:val="20"/>
          <w:szCs w:val="20"/>
          <w:color w:val="auto"/>
        </w:rPr>
      </w:pPr>
    </w:p>
    <w:p>
      <w:pPr>
        <w:ind w:left="220" w:hanging="214"/>
        <w:spacing w:after="0"/>
        <w:tabs>
          <w:tab w:leader="none" w:pos="22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520"/>
        <w:spacing w:after="0"/>
        <w:rPr>
          <w:sz w:val="20"/>
          <w:szCs w:val="20"/>
          <w:color w:val="auto"/>
        </w:rPr>
      </w:pPr>
      <w:r>
        <w:rPr>
          <w:rFonts w:ascii="Arial" w:cs="Arial" w:eastAsia="Arial" w:hAnsi="Arial"/>
          <w:sz w:val="23"/>
          <w:szCs w:val="23"/>
          <w:b w:val="1"/>
          <w:bCs w:val="1"/>
          <w:color w:val="2D64AF"/>
        </w:rPr>
        <w:t>Audit Committee Matters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Policy for Pre-Approval of Audit and Permitted Non-Audit Services</w:t>
      </w:r>
    </w:p>
    <w:p>
      <w:pPr>
        <w:spacing w:after="0" w:line="150"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full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Auditor Fees and Services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fees for the audit and other services provided by Deloitte &amp; Touche LLP for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5777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60" w:type="dxa"/>
            <w:vAlign w:val="bottom"/>
          </w:tcPr>
          <w:p>
            <w:pPr>
              <w:jc w:val="right"/>
              <w:ind w:right="704"/>
              <w:spacing w:after="0"/>
              <w:rPr>
                <w:sz w:val="20"/>
                <w:szCs w:val="20"/>
                <w:color w:val="auto"/>
              </w:rPr>
            </w:pPr>
            <w:r>
              <w:rPr>
                <w:rFonts w:ascii="Arial" w:cs="Arial" w:eastAsia="Arial" w:hAnsi="Arial"/>
                <w:sz w:val="15"/>
                <w:szCs w:val="15"/>
                <w:b w:val="1"/>
                <w:bCs w:val="1"/>
                <w:color w:val="2D64AF"/>
              </w:rPr>
              <w:t>2022</w:t>
            </w:r>
          </w:p>
        </w:tc>
        <w:tc>
          <w:tcPr>
            <w:tcW w:w="8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2D64AF"/>
              </w:rPr>
              <w:t>2021</w:t>
            </w:r>
          </w:p>
        </w:tc>
      </w:tr>
      <w:tr>
        <w:trPr>
          <w:trHeight w:val="62"/>
        </w:trPr>
        <w:tc>
          <w:tcPr>
            <w:tcW w:w="3740" w:type="dxa"/>
            <w:vAlign w:val="bottom"/>
            <w:tcBorders>
              <w:bottom w:val="single" w:sz="8" w:color="2D64AF"/>
            </w:tcBorders>
          </w:tcPr>
          <w:p>
            <w:pPr>
              <w:spacing w:after="0"/>
              <w:rPr>
                <w:sz w:val="5"/>
                <w:szCs w:val="5"/>
                <w:color w:val="auto"/>
              </w:rPr>
            </w:pPr>
          </w:p>
        </w:tc>
        <w:tc>
          <w:tcPr>
            <w:tcW w:w="2300" w:type="dxa"/>
            <w:vAlign w:val="bottom"/>
            <w:tcBorders>
              <w:bottom w:val="single" w:sz="8" w:color="2D64AF"/>
            </w:tcBorders>
          </w:tcPr>
          <w:p>
            <w:pPr>
              <w:spacing w:after="0"/>
              <w:rPr>
                <w:sz w:val="5"/>
                <w:szCs w:val="5"/>
                <w:color w:val="auto"/>
              </w:rPr>
            </w:pPr>
          </w:p>
        </w:tc>
        <w:tc>
          <w:tcPr>
            <w:tcW w:w="1460" w:type="dxa"/>
            <w:vAlign w:val="bottom"/>
            <w:tcBorders>
              <w:bottom w:val="single" w:sz="8" w:color="2D64AF"/>
            </w:tcBorders>
          </w:tcPr>
          <w:p>
            <w:pPr>
              <w:spacing w:after="0"/>
              <w:rPr>
                <w:sz w:val="5"/>
                <w:szCs w:val="5"/>
                <w:color w:val="auto"/>
              </w:rPr>
            </w:pPr>
          </w:p>
        </w:tc>
        <w:tc>
          <w:tcPr>
            <w:tcW w:w="880" w:type="dxa"/>
            <w:vAlign w:val="bottom"/>
            <w:tcBorders>
              <w:bottom w:val="single" w:sz="8" w:color="2D64AF"/>
            </w:tcBorders>
          </w:tcPr>
          <w:p>
            <w:pPr>
              <w:spacing w:after="0"/>
              <w:rPr>
                <w:sz w:val="5"/>
                <w:szCs w:val="5"/>
                <w:color w:val="auto"/>
              </w:rPr>
            </w:pPr>
          </w:p>
        </w:tc>
        <w:tc>
          <w:tcPr>
            <w:tcW w:w="720" w:type="dxa"/>
            <w:vAlign w:val="bottom"/>
            <w:tcBorders>
              <w:bottom w:val="single" w:sz="8" w:color="2D64AF"/>
            </w:tcBorders>
          </w:tcPr>
          <w:p>
            <w:pPr>
              <w:spacing w:after="0"/>
              <w:rPr>
                <w:sz w:val="5"/>
                <w:szCs w:val="5"/>
                <w:color w:val="auto"/>
              </w:rPr>
            </w:pPr>
          </w:p>
        </w:tc>
      </w:tr>
      <w:tr>
        <w:trPr>
          <w:trHeight w:val="35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w w:val="98"/>
              </w:rPr>
              <w:t>1,420,950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1,265,925</w:t>
            </w:r>
          </w:p>
        </w:tc>
      </w:tr>
      <w:tr>
        <w:trPr>
          <w:trHeight w:val="35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w:t>
            </w:r>
          </w:p>
        </w:tc>
      </w:tr>
      <w:tr>
        <w:trPr>
          <w:trHeight w:val="35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(3)</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40,085</w:t>
            </w:r>
          </w:p>
        </w:tc>
      </w:tr>
      <w:tr>
        <w:trPr>
          <w:trHeight w:val="271"/>
        </w:trPr>
        <w:tc>
          <w:tcPr>
            <w:tcW w:w="374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Total</w:t>
            </w:r>
          </w:p>
        </w:tc>
        <w:tc>
          <w:tcPr>
            <w:tcW w:w="23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2D64AF"/>
            </w:tcBorders>
          </w:tcPr>
          <w:p>
            <w:pPr>
              <w:jc w:val="right"/>
              <w:ind w:right="704"/>
              <w:spacing w:after="0"/>
              <w:rPr>
                <w:sz w:val="20"/>
                <w:szCs w:val="20"/>
                <w:color w:val="auto"/>
              </w:rPr>
            </w:pPr>
            <w:r>
              <w:rPr>
                <w:rFonts w:ascii="Arial" w:cs="Arial" w:eastAsia="Arial" w:hAnsi="Arial"/>
                <w:sz w:val="15"/>
                <w:szCs w:val="15"/>
                <w:color w:val="auto"/>
                <w:w w:val="98"/>
              </w:rPr>
              <w:t>1,420,950</w:t>
            </w:r>
          </w:p>
        </w:tc>
        <w:tc>
          <w:tcPr>
            <w:tcW w:w="8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1,331,010</w:t>
            </w:r>
          </w:p>
        </w:tc>
      </w:tr>
    </w:tbl>
    <w:p>
      <w:pPr>
        <w:spacing w:after="0" w:line="134" w:lineRule="exact"/>
        <w:rPr>
          <w:sz w:val="20"/>
          <w:szCs w:val="20"/>
          <w:color w:val="auto"/>
        </w:rPr>
      </w:pPr>
    </w:p>
    <w:p>
      <w:pPr>
        <w:ind w:left="360" w:right="300" w:hanging="358"/>
        <w:spacing w:after="0" w:line="248" w:lineRule="auto"/>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36" w:lineRule="exact"/>
        <w:rPr>
          <w:rFonts w:ascii="Arial" w:cs="Arial" w:eastAsia="Arial" w:hAnsi="Arial"/>
          <w:sz w:val="13"/>
          <w:szCs w:val="13"/>
          <w:color w:val="auto"/>
        </w:rPr>
      </w:pPr>
    </w:p>
    <w:p>
      <w:pPr>
        <w:ind w:left="360" w:hanging="358"/>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Audit-related fees for 2021 consist of fees related to the filing of a registration statement on Form S-3.</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Tax fees for 2021 consists of fees for tax consulting services.</w:t>
      </w:r>
    </w:p>
    <w:p>
      <w:pPr>
        <w:spacing w:after="0" w:line="110"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Deloitte &amp; Touche LLP’s independence.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2023 Proxy Statement | </w:t>
      </w:r>
      <w:r>
        <w:rPr>
          <w:rFonts w:ascii="Arial" w:cs="Arial" w:eastAsia="Arial" w:hAnsi="Arial"/>
          <w:sz w:val="13"/>
          <w:szCs w:val="13"/>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141605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2D64AF"/>
        </w:rPr>
        <w:t> </w:t>
      </w:r>
    </w:p>
    <w:p>
      <w:pPr>
        <w:spacing w:after="0" w:line="36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OTHER MATTERS</w:t>
      </w:r>
    </w:p>
    <w:p>
      <w:pPr>
        <w:spacing w:after="0" w:line="156"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Our management does not know of any other matters to come before the 2023 Annual Meeting. However, if any other matters come before the Annual Meeting, it is the intention of the persons designated as proxies to vote in accordance with their judgment on such matters.</w:t>
      </w:r>
    </w:p>
    <w:p>
      <w:pPr>
        <w:spacing w:after="0" w:line="123" w:lineRule="exact"/>
        <w:rPr>
          <w:sz w:val="20"/>
          <w:szCs w:val="20"/>
          <w:color w:val="auto"/>
        </w:rPr>
      </w:pPr>
    </w:p>
    <w:p>
      <w:pPr>
        <w:ind w:left="220" w:right="700"/>
        <w:spacing w:after="0" w:line="286" w:lineRule="auto"/>
        <w:rPr>
          <w:sz w:val="20"/>
          <w:szCs w:val="20"/>
          <w:color w:val="auto"/>
        </w:rPr>
      </w:pPr>
      <w:r>
        <w:rPr>
          <w:rFonts w:ascii="Arial" w:cs="Arial" w:eastAsia="Arial" w:hAnsi="Arial"/>
          <w:sz w:val="32"/>
          <w:szCs w:val="32"/>
          <w:b w:val="1"/>
          <w:bCs w:val="1"/>
          <w:color w:val="2D64AF"/>
        </w:rPr>
        <w:t>SHAREHOLDER PROPOSALS FOR THE 2024 ANNUAL MEETING</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Proposals for the Company’s Proxy Material</w:t>
      </w:r>
    </w:p>
    <w:p>
      <w:pPr>
        <w:spacing w:after="0" w:line="150" w:lineRule="exact"/>
        <w:rPr>
          <w:sz w:val="20"/>
          <w:szCs w:val="20"/>
          <w:color w:val="auto"/>
        </w:rPr>
      </w:pPr>
    </w:p>
    <w:p>
      <w:pPr>
        <w:jc w:val="both"/>
        <w:ind w:left="220" w:right="400"/>
        <w:spacing w:after="0" w:line="251" w:lineRule="auto"/>
        <w:rPr>
          <w:sz w:val="20"/>
          <w:szCs w:val="20"/>
          <w:color w:val="auto"/>
        </w:rPr>
      </w:pPr>
      <w:r>
        <w:rPr>
          <w:rFonts w:ascii="Arial" w:cs="Arial" w:eastAsia="Arial" w:hAnsi="Arial"/>
          <w:sz w:val="16"/>
          <w:szCs w:val="16"/>
          <w:color w:val="auto"/>
        </w:rPr>
        <w:t>Any Company shareholder who wishes to submit a proposal to be included in the Proxy Material for the Company’s 2024 Annual Meeting of Shareholders must submit such proposal to the Company at its office at 495 Commerce Drive, Suite 3, Amherst, New York 14228, Attention: Secretary, no later than December 1, 2023, in order to be considered for inclusion, if appropriate, in the Company’s proxy statement and form of proxy relating to its 2024 Annual Meeting of Shareholders.</w:t>
      </w:r>
    </w:p>
    <w:p>
      <w:pPr>
        <w:spacing w:after="0" w:line="170" w:lineRule="exact"/>
        <w:rPr>
          <w:sz w:val="20"/>
          <w:szCs w:val="20"/>
          <w:color w:val="auto"/>
        </w:rPr>
      </w:pPr>
    </w:p>
    <w:p>
      <w:pPr>
        <w:ind w:left="220" w:right="440"/>
        <w:spacing w:after="0" w:line="288" w:lineRule="auto"/>
        <w:rPr>
          <w:sz w:val="20"/>
          <w:szCs w:val="20"/>
          <w:color w:val="auto"/>
        </w:rPr>
      </w:pPr>
      <w:r>
        <w:rPr>
          <w:rFonts w:ascii="Arial" w:cs="Arial" w:eastAsia="Arial" w:hAnsi="Arial"/>
          <w:sz w:val="25"/>
          <w:szCs w:val="25"/>
          <w:b w:val="1"/>
          <w:bCs w:val="1"/>
          <w:color w:val="2D64AF"/>
        </w:rPr>
        <w:t>Proposals to be Introduced at the Annual Meeting but not Intended to be Included in the Company’s Proxy Material</w:t>
      </w:r>
    </w:p>
    <w:p>
      <w:pPr>
        <w:spacing w:after="0" w:line="44"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auto"/>
        </w:rPr>
        <w:t>For any shareholder proposal to be presented in connection with the 2024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98"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Based upon a meeting date of May 3, 2023 for the 2023 Annual Meeting of Shareholders, a qualified shareholder intending to introduce a proposal or nominate a director at the 2024 Annual Meeting of Shareholders should give written notice to the Company’s Secretary not later than March 4, 2024 and not earlier than February 2, 2024.</w:t>
      </w:r>
    </w:p>
    <w:p>
      <w:pPr>
        <w:spacing w:after="0" w:line="93" w:lineRule="exact"/>
        <w:rPr>
          <w:sz w:val="20"/>
          <w:szCs w:val="20"/>
          <w:color w:val="auto"/>
        </w:rPr>
      </w:pPr>
    </w:p>
    <w:p>
      <w:pPr>
        <w:ind w:left="220" w:right="120"/>
        <w:spacing w:after="0" w:line="260" w:lineRule="auto"/>
        <w:rPr>
          <w:sz w:val="20"/>
          <w:szCs w:val="20"/>
          <w:color w:val="auto"/>
        </w:rPr>
      </w:pPr>
      <w:r>
        <w:rPr>
          <w:rFonts w:ascii="Arial" w:cs="Arial" w:eastAsia="Arial" w:hAnsi="Arial"/>
          <w:sz w:val="16"/>
          <w:szCs w:val="16"/>
          <w:color w:val="auto"/>
        </w:rPr>
        <w:t>The specific requirements of these advance notice and eligibility provisions are set forth in Article II of the Company’s Bylaws, a copy of which is available upon request.</w:t>
      </w:r>
    </w:p>
    <w:p>
      <w:pPr>
        <w:spacing w:after="0" w:line="87"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Such requests and any shareholder proposals should be sent to the Secretary of the Company at Allied Motion Technologies Inc., 495 Commerce Drive, Suite 3, Amherst, New York 14228.</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Compliance with Universal Proxy Rules for Director Nominations</w:t>
      </w:r>
    </w:p>
    <w:p>
      <w:pPr>
        <w:spacing w:after="0" w:line="150"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In addition to satisfying the requirements under the Company’s Bylaws, if a shareholder intends to comply with the universal proxy rules (once effective) and to solicit proxies in support of director nominees other than the Company’s nominees, the shareholder must provide notice that sets forth the information required by Rule 14a-19 under the Exchange Act, which notice must be postmarked or transmitted electronically to the Secretary of the Company at Allied Motion Technologies Inc., 495 Commerce Drive, Suite 3, Amherst, New York 14228 no later than 60 calendar days prior to the one-year anniversary date of the annual meeting (for the 2024 annual meeting, no later than March 4, 2024). If the date of the 2024 annual meeting is changed by more than 30 calendar days from such anniversary date, however, then the shareholder must provide notice by the later of 60 calendar days prior to the date of the 2024 annual meeting and the 10th calendar day following the date on which public announcement of the date of the 2024 annual meeting is first made.</w:t>
      </w:r>
    </w:p>
    <w:p>
      <w:pPr>
        <w:spacing w:after="0" w:line="11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259080</wp:posOffset>
            </wp:positionV>
            <wp:extent cx="1089025" cy="4546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890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JOSEPH P. KUBAREK</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Secretary</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March 30, 2023</w:t>
      </w:r>
    </w:p>
    <w:p>
      <w:pPr>
        <w:sectPr>
          <w:pgSz w:w="11900" w:h="16838" w:orient="portrait"/>
          <w:cols w:equalWidth="0" w:num="1">
            <w:col w:w="9320"/>
          </w:cols>
          <w:pgMar w:left="1280" w:top="265" w:right="1299" w:bottom="1440" w:gutter="0" w:footer="0" w:header="0"/>
        </w:sectPr>
      </w:pPr>
    </w:p>
    <w:p>
      <w:pPr>
        <w:spacing w:after="0" w:line="267" w:lineRule="exact"/>
        <w:rPr>
          <w:sz w:val="20"/>
          <w:szCs w:val="20"/>
          <w:color w:val="auto"/>
        </w:rPr>
      </w:pPr>
    </w:p>
    <w:p>
      <w:pPr>
        <w:ind w:left="220" w:hanging="214"/>
        <w:spacing w:after="0"/>
        <w:tabs>
          <w:tab w:leader="none" w:pos="220" w:val="left"/>
        </w:tabs>
        <w:numPr>
          <w:ilvl w:val="0"/>
          <w:numId w:val="69"/>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117475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lvl w:ilvl="1">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2"/>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4"/>
      <w:numFmt w:val="bullet"/>
      <w:start w:val="1"/>
    </w:lvl>
  </w:abstractNum>
  <w:abstractNum w:abstractNumId="9">
    <w:nsid w:val="51EAD36B"/>
    <w:multiLevelType w:val="hybridMultilevel"/>
    <w:lvl w:ilvl="0">
      <w:lvlJc w:val="left"/>
      <w:lvlText w:val="6"/>
      <w:numFmt w:val="bullet"/>
      <w:start w:val="1"/>
    </w:lvl>
  </w:abstractNum>
  <w:abstractNum w:abstractNumId="10">
    <w:nsid w:val="2D517796"/>
    <w:multiLevelType w:val="hybridMultilevel"/>
    <w:lvl w:ilvl="0">
      <w:lvlJc w:val="left"/>
      <w:lvlText w:val="(%1)"/>
      <w:numFmt w:val="lowerRoman"/>
      <w:start w:val="2"/>
    </w:lvl>
  </w:abstractNum>
  <w:abstractNum w:abstractNumId="11">
    <w:nsid w:val="580BD78F"/>
    <w:multiLevelType w:val="hybridMultilevel"/>
    <w:lvl w:ilvl="0">
      <w:lvlJc w:val="left"/>
      <w:lvlText w:val="8"/>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0"/>
    </w:lvl>
  </w:abstractNum>
  <w:abstractNum w:abstractNumId="18">
    <w:nsid w:val="725A06FB"/>
    <w:multiLevelType w:val="hybridMultilevel"/>
    <w:lvl w:ilvl="0">
      <w:lvlJc w:val="left"/>
      <w:lvlText w:val="(%1)"/>
      <w:numFmt w:val="decimal"/>
      <w:start w:val="2"/>
    </w:lvl>
  </w:abstractNum>
  <w:abstractNum w:abstractNumId="19">
    <w:nsid w:val="2CD89A32"/>
    <w:multiLevelType w:val="hybridMultilevel"/>
    <w:lvl w:ilvl="0">
      <w:lvlJc w:val="left"/>
      <w:lvlText w:val="%1"/>
      <w:numFmt w:val="decimal"/>
      <w:start w:val="12"/>
    </w:lvl>
  </w:abstractNum>
  <w:abstractNum w:abstractNumId="20">
    <w:nsid w:val="57E4CCAF"/>
    <w:multiLevelType w:val="hybridMultilevel"/>
    <w:lvl w:ilvl="0">
      <w:lvlJc w:val="left"/>
      <w:lvlText w:val="%1"/>
      <w:numFmt w:val="decimal"/>
      <w:start w:val="14"/>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
      <w:numFmt w:val="bullet"/>
      <w:start w:val="1"/>
    </w:lvl>
  </w:abstractNum>
  <w:abstractNum w:abstractNumId="23">
    <w:nsid w:val="542289EC"/>
    <w:multiLevelType w:val="hybridMultilevel"/>
    <w:lvl w:ilvl="0">
      <w:lvlJc w:val="left"/>
      <w:lvlText w:val=" "/>
      <w:numFmt w:val="bullet"/>
      <w:start w:val="1"/>
    </w:lvl>
  </w:abstractNum>
  <w:abstractNum w:abstractNumId="24">
    <w:nsid w:val="6DE91B18"/>
    <w:multiLevelType w:val="hybridMultilevel"/>
    <w:lvl w:ilvl="0">
      <w:lvlJc w:val="left"/>
      <w:lvlText w:val=" "/>
      <w:numFmt w:val="bullet"/>
      <w:start w:val="1"/>
    </w:lvl>
  </w:abstractNum>
  <w:abstractNum w:abstractNumId="25">
    <w:nsid w:val="38437FDB"/>
    <w:multiLevelType w:val="hybridMultilevel"/>
    <w:lvl w:ilvl="0">
      <w:lvlJc w:val="left"/>
      <w:lvlText w:val=" "/>
      <w:numFmt w:val="bullet"/>
      <w:start w:val="1"/>
    </w:lvl>
  </w:abstractNum>
  <w:abstractNum w:abstractNumId="26">
    <w:nsid w:val="7644A45C"/>
    <w:multiLevelType w:val="hybridMultilevel"/>
    <w:lvl w:ilvl="0">
      <w:lvlJc w:val="left"/>
      <w:lvlText w:val=" "/>
      <w:numFmt w:val="bullet"/>
      <w:start w:val="1"/>
    </w:lvl>
  </w:abstractNum>
  <w:abstractNum w:abstractNumId="27">
    <w:nsid w:val="32FFF902"/>
    <w:multiLevelType w:val="hybridMultilevel"/>
    <w:lvl w:ilvl="0">
      <w:lvlJc w:val="left"/>
      <w:lvlText w:val=" "/>
      <w:numFmt w:val="bullet"/>
      <w:start w:val="1"/>
    </w:lvl>
  </w:abstractNum>
  <w:abstractNum w:abstractNumId="28">
    <w:nsid w:val="684A481A"/>
    <w:multiLevelType w:val="hybridMultilevel"/>
    <w:lvl w:ilvl="0">
      <w:lvlJc w:val="left"/>
      <w:lvlText w:val=" "/>
      <w:numFmt w:val="bullet"/>
      <w:start w:val="1"/>
    </w:lvl>
  </w:abstractNum>
  <w:abstractNum w:abstractNumId="29">
    <w:nsid w:val="579478FE"/>
    <w:multiLevelType w:val="hybridMultilevel"/>
    <w:lvl w:ilvl="0">
      <w:lvlJc w:val="left"/>
      <w:lvlText w:val=" "/>
      <w:numFmt w:val="bullet"/>
      <w:start w:val="1"/>
    </w:lvl>
  </w:abstractNum>
  <w:abstractNum w:abstractNumId="30">
    <w:nsid w:val="749ABB43"/>
    <w:multiLevelType w:val="hybridMultilevel"/>
    <w:lvl w:ilvl="0">
      <w:lvlJc w:val="left"/>
      <w:lvlText w:val="%1"/>
      <w:numFmt w:val="decimal"/>
      <w:start w:val="16"/>
    </w:lvl>
  </w:abstractNum>
  <w:abstractNum w:abstractNumId="31">
    <w:nsid w:val="3DC240FB"/>
    <w:multiLevelType w:val="hybridMultilevel"/>
    <w:lvl w:ilvl="0">
      <w:lvlJc w:val="left"/>
      <w:lvlText w:val="%1"/>
      <w:numFmt w:val="decimal"/>
      <w:start w:val="18"/>
    </w:lvl>
  </w:abstractNum>
  <w:abstractNum w:abstractNumId="32">
    <w:nsid w:val="1BA026FA"/>
    <w:multiLevelType w:val="hybridMultilevel"/>
    <w:lvl w:ilvl="0">
      <w:lvlJc w:val="left"/>
      <w:lvlText w:val="•"/>
      <w:numFmt w:val="bullet"/>
      <w:start w:val="1"/>
    </w:lvl>
    <w:lvl w:ilvl="1">
      <w:lvlJc w:val="left"/>
      <w:lvlText w:val="•"/>
      <w:numFmt w:val="bullet"/>
      <w:start w:val="1"/>
    </w:lvl>
  </w:abstractNum>
  <w:abstractNum w:abstractNumId="33">
    <w:nsid w:val="79A1DEAA"/>
    <w:multiLevelType w:val="hybridMultilevel"/>
    <w:lvl w:ilvl="0">
      <w:lvlJc w:val="left"/>
      <w:lvlText w:val="(%1)"/>
      <w:numFmt w:val="lowerRoman"/>
      <w:start w:val="2"/>
    </w:lvl>
  </w:abstractNum>
  <w:abstractNum w:abstractNumId="34">
    <w:nsid w:val="75C6C33A"/>
    <w:multiLevelType w:val="hybridMultilevel"/>
    <w:lvl w:ilvl="0">
      <w:lvlJc w:val="left"/>
      <w:lvlText w:val="%1"/>
      <w:numFmt w:val="decimal"/>
      <w:start w:val="20"/>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1"/>
      <w:numFmt w:val="decimal"/>
      <w:start w:val="22"/>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24"/>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4"/>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26"/>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28"/>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4"/>
    </w:lvl>
  </w:abstractNum>
  <w:abstractNum w:abstractNumId="49">
    <w:nsid w:val="15B5AF5C"/>
    <w:multiLevelType w:val="hybridMultilevel"/>
    <w:lvl w:ilvl="0">
      <w:lvlJc w:val="left"/>
      <w:lvlText w:val="%1"/>
      <w:numFmt w:val="decimal"/>
      <w:start w:val="30"/>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32"/>
    </w:lvl>
  </w:abstractNum>
  <w:abstractNum w:abstractNumId="52">
    <w:nsid w:val="10233C99"/>
    <w:multiLevelType w:val="hybridMultilevel"/>
    <w:lvl w:ilvl="0">
      <w:lvlJc w:val="left"/>
      <w:lvlText w:val="(%1)"/>
      <w:numFmt w:val="lowerRoman"/>
      <w:start w:val="1"/>
    </w:lvl>
  </w:abstractNum>
  <w:abstractNum w:abstractNumId="53">
    <w:nsid w:val="3F6AB60F"/>
    <w:multiLevelType w:val="hybridMultilevel"/>
    <w:lvl w:ilvl="0">
      <w:lvlJc w:val="left"/>
      <w:lvlText w:val="(%1)"/>
      <w:numFmt w:val="lowerRoman"/>
      <w:start w:val="2"/>
    </w:lvl>
  </w:abstractNum>
  <w:abstractNum w:abstractNumId="54">
    <w:nsid w:val="61574095"/>
    <w:multiLevelType w:val="hybridMultilevel"/>
    <w:lvl w:ilvl="0">
      <w:lvlJc w:val="left"/>
      <w:lvlText w:val="(%1)"/>
      <w:numFmt w:val="lowerRoman"/>
      <w:start w:val="4"/>
    </w:lvl>
  </w:abstractNum>
  <w:abstractNum w:abstractNumId="55">
    <w:nsid w:val="7E0C57B1"/>
    <w:multiLevelType w:val="hybridMultilevel"/>
    <w:lvl w:ilvl="0">
      <w:lvlJc w:val="left"/>
      <w:lvlText w:val="(%1)"/>
      <w:numFmt w:val="lowerRoman"/>
      <w:start w:val="4"/>
    </w:lvl>
  </w:abstractNum>
  <w:abstractNum w:abstractNumId="56">
    <w:nsid w:val="77AE35EB"/>
    <w:multiLevelType w:val="hybridMultilevel"/>
    <w:lvl w:ilvl="0">
      <w:lvlJc w:val="left"/>
      <w:lvlText w:val="(%1)"/>
      <w:numFmt w:val="lowerRoman"/>
      <w:start w:val="3"/>
    </w:lvl>
  </w:abstractNum>
  <w:abstractNum w:abstractNumId="57">
    <w:nsid w:val="579BE4F1"/>
    <w:multiLevelType w:val="hybridMultilevel"/>
    <w:lvl w:ilvl="0">
      <w:lvlJc w:val="left"/>
      <w:lvlText w:val="%1"/>
      <w:numFmt w:val="decimal"/>
      <w:start w:val="34"/>
    </w:lvl>
  </w:abstractNum>
  <w:abstractNum w:abstractNumId="58">
    <w:nsid w:val="310C50B3"/>
    <w:multiLevelType w:val="hybridMultilevel"/>
    <w:lvl w:ilvl="0">
      <w:lvlJc w:val="left"/>
      <w:lvlText w:val="(%1)"/>
      <w:numFmt w:val="lowerRoman"/>
      <w:start w:val="6"/>
    </w:lvl>
  </w:abstractNum>
  <w:abstractNum w:abstractNumId="59">
    <w:nsid w:val="5FF87E05"/>
    <w:multiLevelType w:val="hybridMultilevel"/>
    <w:lvl w:ilvl="0">
      <w:lvlJc w:val="left"/>
      <w:lvlText w:val="(%1)"/>
      <w:numFmt w:val="lowerRoman"/>
      <w:start w:val="8"/>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36"/>
    </w:lvl>
  </w:abstractNum>
  <w:abstractNum w:abstractNumId="64">
    <w:nsid w:val="1F48EAA1"/>
    <w:multiLevelType w:val="hybridMultilevel"/>
    <w:lvl w:ilvl="0">
      <w:lvlJc w:val="left"/>
      <w:lvlText w:val="(%1)"/>
      <w:numFmt w:val="decimal"/>
      <w:start w:val="8"/>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38"/>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2023-03-30T15:20:21Z</dcterms:created>
  <dcterms:modified xsi:type="dcterms:W3CDTF">2023-03-30T15:20:21Z</dcterms:modified>
</cp:coreProperties>
</file>