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Allient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John A. Bartholdson</w:t>
              <w:br/>
              <w:t>Juniper Investment Company, LLC, 555 Madison Avenue, 24th Floor</w:t>
              <w:br/>
              <w:t>New York, NY, 10022</w:t>
              <w:br/>
              <w:t>(212) 339-8500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Juniper Targeted Opportunity Fund,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591,704.00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591,704.00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591,704.00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Juniper HF Investors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591,704.00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591,704.00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591,704.00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Juniper Multi-Strategy Fund,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4,610.00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Juniper HF Investors,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4,610.00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4,610.00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Juniper Investment Company,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596,314.00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596,314.00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596,314.00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Alexis P. Michas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596,314.00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596,314.00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596,314.00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John A. Bartholdson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596,314.00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596,314.00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596,314.00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Item 1.</w:t>
            </w:r>
          </w:p>
        </w:tc>
        <w:tc>
          <w:tcPr>
            <w:tcW w:w="9041" w:type="dxa"/>
            <w:tcBorders/>
            <w:vAlign w:val="center"/>
          </w:tcPr>
          <w:p>
            <w:pPr>
              <w:pStyle w:val="TableContents"/>
              <w:bidi w:val="0"/>
              <w:spacing w:before="0" w:after="283"/>
              <w:jc w:val="left"/>
              <w:rPr/>
            </w:pPr>
            <w:r>
              <w:rPr/>
              <w:t>Security and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jc w:val="left"/>
              <w:rPr/>
            </w:pPr>
            <w:r>
              <w:rPr/>
              <w:t xml:space="preserve">Name of Issuer: </w:t>
            </w:r>
          </w:p>
          <w:p>
            <w:pPr>
              <w:pStyle w:val="TableContents"/>
              <w:bidi w:val="0"/>
              <w:spacing w:before="0" w:after="0"/>
              <w:jc w:val="left"/>
              <w:rPr/>
            </w:pPr>
            <w:r>
              <w:rPr/>
              <w:t>Allient Inc.</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6400 Main Street, Suite 150, Williamsville, NEW YORK , 14221.</w:t>
            </w:r>
          </w:p>
        </w:tc>
      </w:tr>
      <w:tr>
        <w:trPr/>
        <w:tc>
          <w:tcPr>
            <w:tcW w:w="1164" w:type="dxa"/>
            <w:tcBorders/>
            <w:vAlign w:val="center"/>
          </w:tcPr>
          <w:p>
            <w:pPr>
              <w:pStyle w:val="TableContents"/>
              <w:bidi w:val="0"/>
              <w:spacing w:before="0" w:after="283"/>
              <w:jc w:val="left"/>
              <w:rPr/>
            </w:pPr>
            <w:r>
              <w:rPr/>
              <w:t>Item 2.</w:t>
            </w:r>
          </w:p>
        </w:tc>
        <w:tc>
          <w:tcPr>
            <w:tcW w:w="9041" w:type="dxa"/>
            <w:tcBorders/>
            <w:vAlign w:val="center"/>
          </w:tcPr>
          <w:p>
            <w:pPr>
              <w:pStyle w:val="TableContents"/>
              <w:bidi w:val="0"/>
              <w:spacing w:before="0" w:after="283"/>
              <w:jc w:val="left"/>
              <w:rPr/>
            </w:pPr>
            <w:r>
              <w:rPr/>
              <w:t>Identity and Background</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This Schedule 13D is being filed by: (i) Juniper Targeted Opportunity Fund, L.P., a Delaware limited partnership ("Juniper Fund"). (ii) Juniper HF Investors II, LLC, a Delaware limited liability company and the general partner of Juniper Fund ("Juniper HF II"). (iii) Juniper Multi-Strategy Fund, L.P., a Delaware limited partnership ("Juniper Multi-Strategy"). (iv) Juniper HF Investors, LLC, a Delaware limited liability company and the general partner of Juniper Multi-Strategy ("Juniper HF"). (v) Juniper Investment Company, LLC, a Delaware limited liability company and the investment advisor to Juniper Fund and Juniper Multi-Strategy ("Juniper Investment Company"). (vi) Alexis P. Michas, as a managing member of each of Juniper HF II, Juniper HF, and Juniper Investment Company; and (vii) John A. Bartholdson, as a managing member of each of Juniper HF II, Juniper HF, and Juniper Investment Company.</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555 Madison Avenue, 24th Floor, New York, New York 10022</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The principal business of each Juniper Fund and Juniper Multi-Strategy is to invest in the capital stock of various companies. The principal business of Juniper HF II is to serve as the general partner of Juniper Fund. The principal business of Juniper HF is to serve as the general partner of Juniper Multi-Strategy. Juniper Investment Company provides investment advisory and management services and acts as the investment manager of Juniper Fund and Juniper Multi-Strategy. Each of Messrs. Michas and Bartholdson serves as managing member of Juniper HF II, Juniper HF, and Juniper Investment Company.</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During the past five years, none of the Reporting Persons has been convicted in a criminal proceeding (excluding traffic violations or similar misdemeanors).</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64" w:type="dxa"/>
            <w:tcBorders/>
            <w:vAlign w:val="center"/>
          </w:tcPr>
          <w:p>
            <w:pPr>
              <w:pStyle w:val="TableContents"/>
              <w:bidi w:val="0"/>
              <w:spacing w:before="0" w:after="283"/>
              <w:jc w:val="left"/>
              <w:rPr/>
            </w:pPr>
            <w:r>
              <w:rPr/>
              <w:t>(f)</w:t>
            </w:r>
          </w:p>
        </w:tc>
        <w:tc>
          <w:tcPr>
            <w:tcW w:w="9041" w:type="dxa"/>
            <w:tcBorders/>
            <w:vAlign w:val="center"/>
          </w:tcPr>
          <w:p>
            <w:pPr>
              <w:pStyle w:val="TableContents"/>
              <w:bidi w:val="0"/>
              <w:spacing w:before="0" w:after="0"/>
              <w:jc w:val="left"/>
              <w:rPr/>
            </w:pPr>
            <w:r>
              <w:rPr/>
              <w:t>Each of Messrs. Michas and Bartholdson is a United States citizen.</w:t>
            </w:r>
          </w:p>
        </w:tc>
      </w:tr>
      <w:tr>
        <w:trPr/>
        <w:tc>
          <w:tcPr>
            <w:tcW w:w="1164" w:type="dxa"/>
            <w:tcBorders/>
            <w:vAlign w:val="center"/>
          </w:tcPr>
          <w:p>
            <w:pPr>
              <w:pStyle w:val="TableContents"/>
              <w:bidi w:val="0"/>
              <w:spacing w:before="0" w:after="283"/>
              <w:jc w:val="left"/>
              <w:rPr/>
            </w:pPr>
            <w:r>
              <w:rPr/>
              <w:t>Item 3.</w:t>
            </w:r>
          </w:p>
        </w:tc>
        <w:tc>
          <w:tcPr>
            <w:tcW w:w="9041" w:type="dxa"/>
            <w:tcBorders/>
            <w:vAlign w:val="center"/>
          </w:tcPr>
          <w:p>
            <w:pPr>
              <w:pStyle w:val="TableContents"/>
              <w:bidi w:val="0"/>
              <w:spacing w:before="0" w:after="283"/>
              <w:jc w:val="left"/>
              <w:rPr/>
            </w:pPr>
            <w:r>
              <w:rPr/>
              <w:t>Source and Amount of Funds or Other Consideration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Item 3 is hereby amended and supplemented by adding the following information: As of the date hereof, the Reporting Persons are deemed to beneficially own the Subject Shares as detailed in Items 1 and 5.</w:t>
            </w:r>
          </w:p>
        </w:tc>
      </w:tr>
      <w:tr>
        <w:trPr/>
        <w:tc>
          <w:tcPr>
            <w:tcW w:w="1164" w:type="dxa"/>
            <w:tcBorders/>
            <w:vAlign w:val="center"/>
          </w:tcPr>
          <w:p>
            <w:pPr>
              <w:pStyle w:val="TableContents"/>
              <w:bidi w:val="0"/>
              <w:spacing w:before="0" w:after="283"/>
              <w:jc w:val="left"/>
              <w:rPr/>
            </w:pPr>
            <w:r>
              <w:rPr/>
              <w:t>Item 4.</w:t>
            </w:r>
          </w:p>
        </w:tc>
        <w:tc>
          <w:tcPr>
            <w:tcW w:w="9041" w:type="dxa"/>
            <w:tcBorders/>
            <w:vAlign w:val="center"/>
          </w:tcPr>
          <w:p>
            <w:pPr>
              <w:pStyle w:val="TableContents"/>
              <w:bidi w:val="0"/>
              <w:spacing w:before="0" w:after="283"/>
              <w:jc w:val="left"/>
              <w:rPr/>
            </w:pPr>
            <w:r>
              <w:rPr/>
              <w:t>Purpose of Transaction</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Item 4 is hereby amended and supplemented by adding the following information. Between August 11, 2026, and August 13, 2026, Juniper Targeted Opportunity Fund, L.P. sold 165,991 shares at an aggregate price of approximately $18,792,719, which includes brokerage commissions, in the open market.</w:t>
            </w:r>
          </w:p>
        </w:tc>
      </w:tr>
      <w:tr>
        <w:trPr/>
        <w:tc>
          <w:tcPr>
            <w:tcW w:w="1164" w:type="dxa"/>
            <w:tcBorders/>
            <w:vAlign w:val="center"/>
          </w:tcPr>
          <w:p>
            <w:pPr>
              <w:pStyle w:val="TableContents"/>
              <w:bidi w:val="0"/>
              <w:spacing w:before="0" w:after="283"/>
              <w:jc w:val="left"/>
              <w:rPr/>
            </w:pPr>
            <w:r>
              <w:rPr/>
              <w:t>Item 5.</w:t>
            </w:r>
          </w:p>
        </w:tc>
        <w:tc>
          <w:tcPr>
            <w:tcW w:w="9041" w:type="dxa"/>
            <w:tcBorders/>
            <w:vAlign w:val="center"/>
          </w:tcPr>
          <w:p>
            <w:pPr>
              <w:pStyle w:val="TableContents"/>
              <w:bidi w:val="0"/>
              <w:spacing w:before="0" w:after="283"/>
              <w:jc w:val="left"/>
              <w:rPr/>
            </w:pPr>
            <w:r>
              <w:rPr/>
              <w:t>Interest in Securities of the Issuer</w:t>
            </w:r>
          </w:p>
        </w:tc>
      </w:tr>
      <w:tr>
        <w:trPr/>
        <w:tc>
          <w:tcPr>
            <w:tcW w:w="1164" w:type="dxa"/>
            <w:tcBorders/>
            <w:vAlign w:val="center"/>
          </w:tcPr>
          <w:p>
            <w:pPr>
              <w:pStyle w:val="TableContents"/>
              <w:bidi w:val="0"/>
              <w:spacing w:before="0" w:after="283"/>
              <w:jc w:val="left"/>
              <w:rPr/>
            </w:pPr>
            <w:r>
              <w:rPr/>
              <w:t>(a)</w:t>
            </w:r>
          </w:p>
        </w:tc>
        <w:tc>
          <w:tcPr>
            <w:tcW w:w="9041" w:type="dxa"/>
            <w:tcBorders/>
            <w:vAlign w:val="center"/>
          </w:tcPr>
          <w:p>
            <w:pPr>
              <w:pStyle w:val="TableContents"/>
              <w:bidi w:val="0"/>
              <w:spacing w:before="0" w:after="0"/>
              <w:jc w:val="left"/>
              <w:rPr/>
            </w:pPr>
            <w:r>
              <w:rPr/>
              <w:t>The responses of the Reporting Persons to rows (7) through (13) of the cover pages of this Schedule 13D are incorporated herein by reference. (a) The percentages of ownership indicated in this Schedule 13D are calculated based on 17,002,511 Shares reported as outstanding as of August 5, 2026 (the "Record Date"), in the Issuer's Quarterly Report on Form 10-Q for the quarterly period ended June 30, 2026, as filed with the United States Securities and Exchange Commission on August 5, 2026. As of the date of this Schedule 13D, the Reporting Persons collectively held an aggregate of 596,314 Shares, constituting approximately 3.5% of the Issuer's outstanding Shares as of the Record Date. As of the date of this Schedule 13D, each Reporting Person may be deemed to have direct beneficial ownership of the Shares as follows: (i) Juniper Fund beneficially owned 591,704 Shares, constituting approximately 3.5% of the Issuer's outstanding Shares as of the Record Date. (ii) Juniper Multi-Strategy beneficially owned 4,610 Shares, constituting approximately 0.0% of the Issuer's outstanding Shares as of the Record Date. (iv) Juniper HF II, as the general partner of Juniper Fund, may be deemed to own beneficially (as that term is defined in Rule 13d-3 under the Securities Exchange Act of 1934) the 591,704 Shares held by Juniper Fund, constituting approximately 3.5% of the Issuer's outstanding Shares as of the Record Date. Juniper HF II disclaims beneficial ownership of such Shares for all other purposes. (vi) Juniper HF, as the general partner of Juniper Multi-Strategy, may be deemed to own beneficially (as that term is defined in Rule 13d-3 under the Securities Exchange Act of 1934) the 4,610 Shares held by Juniper Multi-Strategy, constituting approximately 0.0% of the Issuer's outstanding Shares as of the Record Date. Juniper HF disclaims beneficial ownership of such Shares for all other purposes. (v) Juniper Investment Company, as the investment advisor of Juniper Fund, Juniper and Juniper Multi-Strategy, may be deemed to own beneficially (as that term is defined in Rule 13-d under the Securities Exchange Act of 1934) the 596,314 Shares collectively and directly held by each of Juniper Fund and Juniper Multi-Strategy, constituting approximately 3.5% of the Issuer's outstanding Shares as of the Record Date. Juniper Investment Company disclaims beneficial ownership of such Shares for all other purposes. (vi) Each of Messrs. Michas and Bartholdson, as the managing member of Juniper HF II, Juniper HF, and Juniper Investment Company, may be deemed to own beneficially (as that term is defined in Rule 13d-3 under the Securities Exchange Act of 1934) the 596,314 Shares held by Juniper Fund, Juniper Multi-Strategy, and Juniper Investment Company, constituting approximately 3.5% of the then outstanding Shares. Each of Messrs. Michas and Bartholdson disclaims beneficial ownership of such Shares for all other purposes.</w:t>
            </w:r>
          </w:p>
        </w:tc>
      </w:tr>
      <w:tr>
        <w:trPr/>
        <w:tc>
          <w:tcPr>
            <w:tcW w:w="1164" w:type="dxa"/>
            <w:tcBorders/>
            <w:vAlign w:val="center"/>
          </w:tcPr>
          <w:p>
            <w:pPr>
              <w:pStyle w:val="TableContents"/>
              <w:bidi w:val="0"/>
              <w:spacing w:before="0" w:after="283"/>
              <w:jc w:val="left"/>
              <w:rPr/>
            </w:pPr>
            <w:r>
              <w:rPr/>
              <w:t>(b)</w:t>
            </w:r>
          </w:p>
        </w:tc>
        <w:tc>
          <w:tcPr>
            <w:tcW w:w="9041" w:type="dxa"/>
            <w:tcBorders/>
            <w:vAlign w:val="center"/>
          </w:tcPr>
          <w:p>
            <w:pPr>
              <w:pStyle w:val="TableContents"/>
              <w:bidi w:val="0"/>
              <w:spacing w:before="0" w:after="0"/>
              <w:jc w:val="left"/>
              <w:rPr/>
            </w:pPr>
            <w:r>
              <w:rPr/>
              <w:t>Juniper Fund and Juniper Multi-Strategy has the sole power to vote or direct their respective vote of 591,704 and 4,610 Shares and the sole power to dispose or direct the disposition of such Shares. Juniper HF II, Juniper HF, Juniper Investment Company and each of Messrs. Michas and Bartholdson may be deemed to share with Juniper Fund, Juniper and Juniper Multi-Strategy, as applicable, the power to vote or to direct the vote and to dispose or to direct the disposition of such Shares.</w:t>
            </w:r>
          </w:p>
        </w:tc>
      </w:tr>
      <w:tr>
        <w:trPr/>
        <w:tc>
          <w:tcPr>
            <w:tcW w:w="1164" w:type="dxa"/>
            <w:tcBorders/>
            <w:vAlign w:val="center"/>
          </w:tcPr>
          <w:p>
            <w:pPr>
              <w:pStyle w:val="TableContents"/>
              <w:bidi w:val="0"/>
              <w:spacing w:before="0" w:after="283"/>
              <w:jc w:val="left"/>
              <w:rPr/>
            </w:pPr>
            <w:r>
              <w:rPr/>
              <w:t>(c)</w:t>
            </w:r>
          </w:p>
        </w:tc>
        <w:tc>
          <w:tcPr>
            <w:tcW w:w="9041" w:type="dxa"/>
            <w:tcBorders/>
            <w:vAlign w:val="center"/>
          </w:tcPr>
          <w:p>
            <w:pPr>
              <w:pStyle w:val="TableContents"/>
              <w:bidi w:val="0"/>
              <w:spacing w:before="0" w:after="0"/>
              <w:jc w:val="left"/>
              <w:rPr/>
            </w:pPr>
            <w:r>
              <w:rPr/>
              <w:t>Set forth on Exhibit A to this Schedule 13D is a list of transactions in the Shares effected by the Reporting Persons since August 11, 2026. These transactions were all effected in the open market through a broker. Except for the foregoing, no other transactions in the Shares were affected by the Reporting Persons during the sixty days prior to the date of this Schedule 13D.</w:t>
            </w:r>
          </w:p>
        </w:tc>
      </w:tr>
      <w:tr>
        <w:trPr/>
        <w:tc>
          <w:tcPr>
            <w:tcW w:w="1164" w:type="dxa"/>
            <w:tcBorders/>
            <w:vAlign w:val="center"/>
          </w:tcPr>
          <w:p>
            <w:pPr>
              <w:pStyle w:val="TableContents"/>
              <w:bidi w:val="0"/>
              <w:spacing w:before="0" w:after="283"/>
              <w:jc w:val="left"/>
              <w:rPr/>
            </w:pPr>
            <w:r>
              <w:rPr/>
              <w:t>(d)</w:t>
            </w:r>
          </w:p>
        </w:tc>
        <w:tc>
          <w:tcPr>
            <w:tcW w:w="9041" w:type="dxa"/>
            <w:tcBorders/>
            <w:vAlign w:val="center"/>
          </w:tcPr>
          <w:p>
            <w:pPr>
              <w:pStyle w:val="TableContents"/>
              <w:bidi w:val="0"/>
              <w:spacing w:before="0" w:after="0"/>
              <w:jc w:val="left"/>
              <w:rPr/>
            </w:pPr>
            <w:r>
              <w:rPr/>
              <w:t>To the knowledge of the Reporting Persons, no person other than the Reporting Persons has the right to receive or the power to direct the receipt of dividends from, or proceeds from the sale of, the Shares that are the subject of this Schedule 13D.</w:t>
            </w:r>
          </w:p>
        </w:tc>
      </w:tr>
      <w:tr>
        <w:trPr/>
        <w:tc>
          <w:tcPr>
            <w:tcW w:w="1164" w:type="dxa"/>
            <w:tcBorders/>
            <w:vAlign w:val="center"/>
          </w:tcPr>
          <w:p>
            <w:pPr>
              <w:pStyle w:val="TableContents"/>
              <w:bidi w:val="0"/>
              <w:spacing w:before="0" w:after="283"/>
              <w:jc w:val="left"/>
              <w:rPr/>
            </w:pPr>
            <w:r>
              <w:rPr/>
              <w:t>(e)</w:t>
            </w:r>
          </w:p>
        </w:tc>
        <w:tc>
          <w:tcPr>
            <w:tcW w:w="9041" w:type="dxa"/>
            <w:tcBorders/>
            <w:vAlign w:val="center"/>
          </w:tcPr>
          <w:p>
            <w:pPr>
              <w:pStyle w:val="TableContents"/>
              <w:bidi w:val="0"/>
              <w:spacing w:before="0" w:after="0"/>
              <w:jc w:val="left"/>
              <w:rPr/>
            </w:pPr>
            <w:r>
              <w:rPr/>
              <w:t>Not applicable.</w:t>
            </w:r>
          </w:p>
        </w:tc>
      </w:tr>
      <w:tr>
        <w:trPr/>
        <w:tc>
          <w:tcPr>
            <w:tcW w:w="1164" w:type="dxa"/>
            <w:tcBorders/>
            <w:vAlign w:val="center"/>
          </w:tcPr>
          <w:p>
            <w:pPr>
              <w:pStyle w:val="TableContents"/>
              <w:bidi w:val="0"/>
              <w:spacing w:before="0" w:after="283"/>
              <w:jc w:val="left"/>
              <w:rPr/>
            </w:pPr>
            <w:r>
              <w:rPr/>
              <w:t>Item 6.</w:t>
            </w:r>
          </w:p>
        </w:tc>
        <w:tc>
          <w:tcPr>
            <w:tcW w:w="904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The response to Item 3 is incorporated herein by reference. Except as described in this Schedule 13D or incorporated by reference in this Schedule 13D, there are no contracts, arrangements, understandings or relationships (legal or otherwise) between any of the Reporting Persons or between any of the Reporting Persons and any other person with respect to any securities of the Issuer, including, but not limited to, transfer or voting of any securities, finder's fees, joint ventures, loan or option arrangements, puts or calls, guarantees of profits, division of profits or losses, or the giving or withholding of proxies.</w:t>
            </w:r>
          </w:p>
        </w:tc>
      </w:tr>
      <w:tr>
        <w:trPr/>
        <w:tc>
          <w:tcPr>
            <w:tcW w:w="1164" w:type="dxa"/>
            <w:tcBorders/>
            <w:vAlign w:val="center"/>
          </w:tcPr>
          <w:p>
            <w:pPr>
              <w:pStyle w:val="TableContents"/>
              <w:bidi w:val="0"/>
              <w:spacing w:before="0" w:after="283"/>
              <w:jc w:val="left"/>
              <w:rPr/>
            </w:pPr>
            <w:r>
              <w:rPr/>
              <w:t>Item 7.</w:t>
            </w:r>
          </w:p>
        </w:tc>
        <w:tc>
          <w:tcPr>
            <w:tcW w:w="9041" w:type="dxa"/>
            <w:tcBorders/>
            <w:vAlign w:val="center"/>
          </w:tcPr>
          <w:p>
            <w:pPr>
              <w:pStyle w:val="TableContents"/>
              <w:bidi w:val="0"/>
              <w:spacing w:before="0" w:after="283"/>
              <w:jc w:val="left"/>
              <w:rPr/>
            </w:pPr>
            <w:r>
              <w:rPr/>
              <w:t>Material to be Filed as Exhibits.</w:t>
            </w:r>
          </w:p>
        </w:tc>
      </w:tr>
      <w:tr>
        <w:trPr/>
        <w:tc>
          <w:tcPr>
            <w:tcW w:w="1164" w:type="dxa"/>
            <w:tcBorders/>
            <w:vAlign w:val="center"/>
          </w:tcPr>
          <w:p>
            <w:pPr>
              <w:pStyle w:val="TableContents"/>
              <w:bidi w:val="0"/>
              <w:spacing w:before="0" w:after="283"/>
              <w:jc w:val="left"/>
              <w:rPr/>
            </w:pPr>
            <w:r>
              <w:rPr/>
              <w:t> </w:t>
            </w:r>
          </w:p>
        </w:tc>
        <w:tc>
          <w:tcPr>
            <w:tcW w:w="9041" w:type="dxa"/>
            <w:tcBorders/>
            <w:vAlign w:val="center"/>
          </w:tcPr>
          <w:p>
            <w:pPr>
              <w:pStyle w:val="TableContents"/>
              <w:bidi w:val="0"/>
              <w:spacing w:before="0" w:after="0"/>
              <w:jc w:val="left"/>
              <w:rPr/>
            </w:pPr>
            <w:r>
              <w:rPr/>
              <w:t>Exhibit 99.A: Schedule of Transactions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Juniper Targeted Opportunity Fund, L.P.</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John A. Bartholdson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Managing Member of its General Partner, Juniper HF Investors II, LLC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Juniper HF Investors II,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A. Bartholdson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Juniper Multi-Strategy Fund,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John A. Bartholdson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Managing Member of its General Partner, Juniper Targeted Opportunity Investors, LLC</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Juniper HF Investors,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A. Bartholdson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Juniper Investment Company,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A. Bartholdson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Alexis P. Michas</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Alexis P. Michas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John A. Bartholdson</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A. Bartholdson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8" w:name="ex99_a.htm"/>
      <w:bookmarkStart w:id="39" w:name="ksex99_a"/>
      <w:bookmarkEnd w:id="38"/>
      <w:bookmarkEnd w:id="39"/>
      <w:r>
        <w:rPr/>
        <w:t xml:space="preserve">  </w:t>
      </w:r>
      <w:r>
        <w:br w:type="page"/>
      </w:r>
    </w:p>
    <w:p>
      <w:pPr>
        <w:pStyle w:val="TextBody"/>
        <w:bidi w:val="0"/>
        <w:jc w:val="right"/>
        <w:rPr/>
      </w:pPr>
      <w:r>
        <w:rPr>
          <w:b/>
        </w:rPr>
        <w:t>Exhibit 99.A</w:t>
      </w: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SCHEDULE 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Transactions in Securities of the Issuer During the Past Sixty Days </w:t>
      </w:r>
    </w:p>
    <w:p>
      <w:pPr>
        <w:pStyle w:val="TextBody"/>
        <w:bidi w:val="0"/>
        <w:spacing w:before="0" w:after="0"/>
        <w:ind w:left="0" w:right="0" w:hanging="0"/>
        <w:jc w:val="left"/>
        <w:rPr>
          <w:caps w:val="false"/>
          <w:smallCaps w:val="false"/>
        </w:rPr>
      </w:pPr>
      <w:r>
        <w:rPr>
          <w:caps w:val="false"/>
          <w:smallCaps w:val="false"/>
        </w:rPr>
        <w:t xml:space="preserve">  </w:t>
      </w:r>
    </w:p>
    <w:tbl>
      <w:tblPr>
        <w:tblW w:w="8400" w:type="dxa"/>
        <w:jc w:val="left"/>
        <w:tblInd w:w="-10" w:type="dxa"/>
        <w:tblLayout w:type="fixed"/>
        <w:tblCellMar>
          <w:top w:w="28" w:type="dxa"/>
          <w:left w:w="28" w:type="dxa"/>
          <w:bottom w:w="28" w:type="dxa"/>
          <w:right w:w="28" w:type="dxa"/>
        </w:tblCellMar>
      </w:tblPr>
      <w:tblGrid>
        <w:gridCol w:w="3380"/>
        <w:gridCol w:w="1430"/>
        <w:gridCol w:w="1070"/>
        <w:gridCol w:w="1025"/>
        <w:gridCol w:w="740"/>
        <w:gridCol w:w="755"/>
      </w:tblGrid>
      <w:tr>
        <w:trPr/>
        <w:tc>
          <w:tcPr>
            <w:tcW w:w="33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b/>
                <w:sz w:val="20"/>
              </w:rPr>
              <w:t>Reporting Person</w:t>
            </w:r>
            <w:r>
              <w:rPr/>
              <w:t xml:space="preserve"> </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pPr>
            <w:r>
              <w:rPr>
                <w:b/>
                <w:sz w:val="20"/>
              </w:rPr>
              <w:t>Date of</w:t>
            </w:r>
            <w:r>
              <w:rPr/>
              <w:t xml:space="preserve"> </w:t>
            </w:r>
          </w:p>
          <w:p>
            <w:pPr>
              <w:pStyle w:val="TableContents"/>
              <w:bidi w:val="0"/>
              <w:spacing w:before="0" w:after="283"/>
              <w:jc w:val="left"/>
              <w:rPr/>
            </w:pPr>
            <w:r>
              <w:rPr>
                <w:b/>
                <w:sz w:val="20"/>
              </w:rPr>
              <w:t>Transaction</w:t>
            </w:r>
            <w:r>
              <w:rPr/>
              <w:t xml:space="preserve"> </w:t>
            </w:r>
          </w:p>
        </w:tc>
        <w:tc>
          <w:tcPr>
            <w:tcW w:w="10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
                <w:sz w:val="20"/>
              </w:rPr>
              <w:t>Number of</w:t>
              <w:br/>
              <w:t>Shares Sold</w:t>
            </w:r>
            <w:r>
              <w:rPr/>
              <w:t xml:space="preserve"> </w:t>
            </w:r>
          </w:p>
        </w:tc>
        <w:tc>
          <w:tcPr>
            <w:tcW w:w="10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
                <w:sz w:val="20"/>
              </w:rPr>
              <w:t>Price</w:t>
              <w:br/>
              <w:t>Per Share*</w:t>
            </w:r>
            <w:r>
              <w:rPr/>
              <w:t xml:space="preserve"> </w:t>
            </w:r>
          </w:p>
        </w:tc>
        <w:tc>
          <w:tcPr>
            <w:tcW w:w="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
                <w:sz w:val="20"/>
              </w:rPr>
              <w:t>Low</w:t>
              <w:br/>
              <w:t>Price</w:t>
            </w:r>
            <w:r>
              <w:rPr/>
              <w:t xml:space="preserve"> </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b/>
                <w:sz w:val="20"/>
              </w:rPr>
              <w:t>High</w:t>
              <w:br/>
              <w:t>Price</w:t>
            </w:r>
            <w:r>
              <w:rPr/>
              <w:t xml:space="preserve"> </w:t>
            </w:r>
          </w:p>
        </w:tc>
      </w:tr>
      <w:tr>
        <w:trPr/>
        <w:tc>
          <w:tcPr>
            <w:tcW w:w="33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z w:val="20"/>
              </w:rPr>
              <w:t>Juniper Targeted Opportunity Fund, L.P.</w:t>
            </w:r>
            <w:r>
              <w:rPr/>
              <w:t xml:space="preserve">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August 11, 2026</w:t>
            </w:r>
            <w:r>
              <w:rPr/>
              <w:t xml:space="preserve">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70,000</w:t>
            </w:r>
            <w:r>
              <w:rPr/>
              <w:t xml:space="preserve"> </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$114.81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$113.00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$118.50 </w:t>
            </w:r>
          </w:p>
        </w:tc>
      </w:tr>
      <w:tr>
        <w:trPr/>
        <w:tc>
          <w:tcPr>
            <w:tcW w:w="33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z w:val="20"/>
              </w:rPr>
              <w:t>Juniper Targeted Opportunity Fund, L.P.</w:t>
            </w:r>
            <w:r>
              <w:rPr/>
              <w:t xml:space="preserve">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August 12, 2026</w:t>
            </w:r>
            <w:r>
              <w:rPr/>
              <w:t xml:space="preserve">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32,491</w:t>
            </w:r>
            <w:r>
              <w:rPr/>
              <w:t xml:space="preserve"> </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$115.42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$114.00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$117.50 </w:t>
            </w:r>
          </w:p>
        </w:tc>
      </w:tr>
      <w:tr>
        <w:trPr/>
        <w:tc>
          <w:tcPr>
            <w:tcW w:w="33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z w:val="20"/>
              </w:rPr>
              <w:t>Juniper Targeted Opportunity Fund, L.P.</w:t>
            </w:r>
            <w:r>
              <w:rPr/>
              <w:t xml:space="preserve">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August 13, 2026</w:t>
            </w:r>
            <w:r>
              <w:rPr/>
              <w:t xml:space="preserve"> </w:t>
            </w:r>
          </w:p>
        </w:tc>
        <w:tc>
          <w:tcPr>
            <w:tcW w:w="10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63,500</w:t>
            </w:r>
            <w:r>
              <w:rPr/>
              <w:t xml:space="preserve"> </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$110.26 </w:t>
            </w:r>
          </w:p>
        </w:tc>
        <w:tc>
          <w:tcPr>
            <w:tcW w:w="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$109.08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$115.04 </w:t>
            </w:r>
          </w:p>
        </w:tc>
      </w:tr>
    </w:tbl>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Price Per Share reported above is a weighted average price. The Shares were sold in multiple transactions at a range of prices as reflected in the table above. Upon request, the Reporting Persons undertake to provide the Issuer, any security holder of the Issuer, or the SEC full information regarding the Shares sold at each separate price within the ranges set forth above. </w:t>
      </w:r>
    </w:p>
    <w:p>
      <w:pPr>
        <w:pStyle w:val="TextBody"/>
        <w:bidi w:val="0"/>
        <w:spacing w:before="0" w:after="283"/>
        <w:jc w:val="left"/>
        <w:rPr/>
      </w:pPr>
      <w:r>
        <w:rPr/>
        <w:t xml:space="preserve">  </w:t>
      </w:r>
    </w:p>
    <w:p>
      <w:pPr>
        <w:pStyle w:val="TextBody"/>
        <w:bidi w:val="0"/>
        <w:spacing w:before="0" w:after="283"/>
        <w:jc w:val="left"/>
        <w:rPr/>
      </w:pPr>
      <w:r>
        <w:rPr/>
        <w:t xml:space="preserve">  </w:t>
      </w:r>
    </w:p>
    <w:p>
      <w:pPr>
        <w:pStyle w:val="TextBody"/>
        <w:bidi w:val="0"/>
        <w:spacing w:before="0" w:after="283"/>
        <w:jc w:val="left"/>
        <w:rPr/>
      </w:pPr>
      <w:r>
        <w:rPr/>
        <w:t xml:space="preserve">  </w:t>
      </w:r>
    </w:p>
    <w:p>
      <w:pPr>
        <w:pStyle w:val="TextBody"/>
        <w:bidi w:val="0"/>
        <w:spacing w:before="60" w:after="60"/>
        <w:jc w:val="left"/>
        <w:rPr>
          <w:bdr w:val="single" w:sz="12" w:space="1" w:color="000000"/>
        </w:rPr>
      </w:pPr>
      <w:r>
        <w:rPr>
          <w:bdr w:val="single" w:sz="12" w:space="1" w:color="000000"/>
        </w:rPr>
        <w:t xml:space="preserve">  </w:t>
      </w:r>
    </w:p>
    <w:p>
      <w:pPr>
        <w:pStyle w:val="TextBody"/>
        <w:bidi w:val="0"/>
        <w:spacing w:before="0" w:after="283"/>
        <w:jc w:val="left"/>
        <w:rPr/>
      </w:pPr>
      <w:r>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2673</Words>
  <Characters>14022</Characters>
  <CharactersWithSpaces>16523</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