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3540"/>
        <w:spacing w:after="0"/>
        <w:tabs>
          <w:tab w:leader="none" w:pos="780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-3026410</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-1602740</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sectPr>
      </w:pPr>
    </w:p>
    <w:p>
      <w:pPr>
        <w:spacing w:after="0" w:line="200" w:lineRule="exact"/>
        <w:rPr>
          <w:sz w:val="24"/>
          <w:szCs w:val="24"/>
          <w:color w:val="auto"/>
        </w:rPr>
      </w:pPr>
    </w:p>
    <w:p>
      <w:pPr>
        <w:spacing w:after="0" w:line="268" w:lineRule="exact"/>
        <w:rPr>
          <w:sz w:val="24"/>
          <w:szCs w:val="24"/>
          <w:color w:val="auto"/>
        </w:rPr>
      </w:pPr>
    </w:p>
    <w:p>
      <w:pPr>
        <w:ind w:left="1060" w:hanging="606"/>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606" w:hanging="606"/>
        <w:spacing w:after="0"/>
        <w:tabs>
          <w:tab w:leader="none" w:pos="606"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824230</wp:posOffset>
            </wp:positionH>
            <wp:positionV relativeFrom="page">
              <wp:posOffset>292735</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59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2738755</wp:posOffset>
            </wp:positionH>
            <wp:positionV relativeFrom="page">
              <wp:posOffset>88900</wp:posOffset>
            </wp:positionV>
            <wp:extent cx="209232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92325" cy="283210"/>
                    </a:xfrm>
                    <a:prstGeom prst="rect">
                      <a:avLst/>
                    </a:prstGeom>
                    <a:noFill/>
                  </pic:spPr>
                </pic:pic>
              </a:graphicData>
            </a:graphic>
          </wp:anchor>
        </w:drawing>
        <w:t>ALLIED MOTION TECHNOLOGIES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 Inverness Way East, Suite 150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27,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 are hereby notified that the 2006 Annual Meeting of Shareholders of Allied Motion Technologies Inc. (the "Company") will be held on Thursday, April 27, 2006 at 2:00 p.m. (Mountain Time) at the Inverness Hotel and Conference Center, 200 Inverness Drive West, Englewood, CO 80112. At this meeting, the shareholders will be asked to act on the following matters:</w:t>
      </w:r>
    </w:p>
    <w:p>
      <w:pPr>
        <w:spacing w:after="0" w:line="20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six directors of the Company;</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consider and vote on an amendment to Section 9.1 of the Company's Articles of Incorporation to delete the provisions fixing the number of directors of the Company;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2006 Annual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9, 2006 are entitled to notice of and to vote at the 2006 Annual Meeting and any adjournment thereof.</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2006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2006</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IS AN IMPORTANT MEETING. SHAREHOLDERS ARE URGED TO VOTE BY SIGNING, DATING AND RETURNING THE ENCLOSED PROXY IN THE ENCLOSED ENVELOPE TO WHICH NO POSTAGE NEED BE AFFIXED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3" w:name="page4"/>
    <w:bookmarkEnd w:id="3"/>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p>
      <w:pPr>
        <w:ind w:left="260" w:right="4879" w:hanging="256"/>
        <w:spacing w:after="0" w:line="254"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2006 ANNUAL MEETING</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Why did I receive this proxy?</w:t>
        </w:r>
      </w:hyperlink>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Who is entitled to vote?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is the quorum for the Annual Meeting?</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many votes do I have?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do I vote?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do I vote my shares that are held by my broker?</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am I voting on?</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Will there be any other items of business on the agenda?</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many votes are required to act on the proposals?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are votes counted?</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happens if I return my proxy card without voting on all proposals?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Can I change my vote after I return my proxy card?</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Will anyone contact me regarding this vote?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Who has paid for this proxy solicitation?</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May shareholders ask questions at the Annual Meeting?</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How do I submit a proposal for the 2007 Annual Meeting?</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What does it mean if I receive more than one proxy card?</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When was this proxy statement mailed?</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Can I find additional information on the Company's website?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 ONE: ELECTION OF DIRECTORS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Nominees for Election as Directors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Independent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COMMITTEES AND MEETINGS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Audit Committee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Compensation Committee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Governance and Nominating Committee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Board Attendance at Meetings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Shareholder Communication With the Board</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Report of the Audit Committee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of Directors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Executive Officers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Compensation of Executive Officers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Option Grants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Option Exercises and Year-End Values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Employment Agreements With Certain Executive Officers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Change in Control Arrangements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Equity Compensation Plan Information</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Compensation Committee Interlocks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Report of the Compensation Committee</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OWNERSHIP OF COMPANY STOCK</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Security Ownership of Certain Beneficial Owners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Security Ownership of Management and Directors</w:t>
        </w:r>
      </w:hyperlink>
    </w:p>
    <w:p>
      <w:pPr>
        <w:spacing w:after="0" w:line="9" w:lineRule="exact"/>
        <w:rPr>
          <w:sz w:val="20"/>
          <w:szCs w:val="20"/>
          <w:color w:val="auto"/>
        </w:rPr>
      </w:pPr>
    </w:p>
    <w:p>
      <w:pPr>
        <w:ind w:left="2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PROPOSAL TWO: AMENDMENT OF THE COMPANY'S ARTICLES OF INCORPORATION</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PROPOSAL THREE: OTHER MATTERS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 w:name="page5"/>
    <w:bookmarkEnd w:id="4"/>
    <w:p>
      <w:pPr>
        <w:ind w:right="5099"/>
        <w:spacing w:after="0" w:line="286" w:lineRule="auto"/>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INDEPENDENT REGISTERED PUBLIC ACCOUNTING FIRM</w:t>
        </w:r>
      </w:hyperlink>
      <w:r>
        <w:rPr>
          <w:rFonts w:ascii="Arial" w:cs="Arial" w:eastAsia="Arial" w:hAnsi="Arial"/>
          <w:sz w:val="16"/>
          <w:szCs w:val="16"/>
          <w:u w:val="single" w:color="auto"/>
          <w:color w:val="0000EE"/>
        </w:rPr>
        <w:t xml:space="preserve"> </w:t>
      </w:r>
      <w:hyperlink w:anchor="page24">
        <w:r>
          <w:rPr>
            <w:rFonts w:ascii="Arial" w:cs="Arial" w:eastAsia="Arial" w:hAnsi="Arial"/>
            <w:sz w:val="16"/>
            <w:szCs w:val="16"/>
            <w:u w:val="single" w:color="auto"/>
            <w:color w:val="0000EE"/>
          </w:rPr>
          <w:t>SHAREHOLDER PROPOSALS FOR THE 2007 ANNUAL MEETING</w:t>
        </w:r>
      </w:hyperlink>
    </w:p>
    <w:p>
      <w:pPr>
        <w:ind w:left="2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Proposals for the Company's Proxy Material</w:t>
        </w:r>
      </w:hyperlink>
    </w:p>
    <w:p>
      <w:pPr>
        <w:spacing w:after="0" w:line="9" w:lineRule="exact"/>
        <w:rPr>
          <w:sz w:val="20"/>
          <w:szCs w:val="20"/>
          <w:color w:val="auto"/>
        </w:rPr>
      </w:pPr>
    </w:p>
    <w:p>
      <w:pPr>
        <w:ind w:left="260" w:right="2479"/>
        <w:spacing w:after="0" w:line="261"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Proposals to be Introduced at the Annual Meeting but not Intended to be Included in the Company's Proxy</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Material</w:t>
        </w:r>
      </w:hyperlink>
    </w:p>
    <w:p>
      <w:pPr>
        <w:spacing w:after="0" w:line="19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2738755</wp:posOffset>
            </wp:positionH>
            <wp:positionV relativeFrom="page">
              <wp:posOffset>88900</wp:posOffset>
            </wp:positionV>
            <wp:extent cx="209232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92325" cy="283210"/>
                    </a:xfrm>
                    <a:prstGeom prst="rect">
                      <a:avLst/>
                    </a:prstGeom>
                    <a:noFill/>
                  </pic:spPr>
                </pic:pic>
              </a:graphicData>
            </a:graphic>
          </wp:anchor>
        </w:drawing>
        <w:t>PROXY STATEMENT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2006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April 27, 2006,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Thursday, March 9, 2006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No business may be conducted at the Annual Meeting if a quorum is not present. Broker non-votes (shares held in street name for which the broker indicates that instructions have not been received from the beneficial owners or other persons entitled to vote, and the broker does not have discretionary voting authority) and abstentions will be counted as shares present in determining whether a quorum is present. As of the Record Date, 6,373,351 shares of Common Stock were issued and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ectPr>
          <w:pgSz w:w="11900" w:h="16838" w:orient="portrait"/>
          <w:cols w:equalWidth="0" w:num="1">
            <w:col w:w="11420"/>
          </w:cols>
          <w:pgMar w:left="240" w:top="787"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Mail: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In Person: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Vote, sign, date your card and mail it in the postage-paid envelope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w:t>
      </w:r>
    </w:p>
    <w:p>
      <w:pPr>
        <w:spacing w:after="0" w:line="200" w:lineRule="exact"/>
        <w:rPr>
          <w:sz w:val="20"/>
          <w:szCs w:val="20"/>
          <w:color w:val="auto"/>
        </w:rPr>
      </w:pPr>
    </w:p>
    <w:p>
      <w:pPr>
        <w:sectPr>
          <w:pgSz w:w="11900" w:h="16838" w:orient="portrait"/>
          <w:cols w:equalWidth="0" w:num="3">
            <w:col w:w="60" w:space="480"/>
            <w:col w:w="720" w:space="680"/>
            <w:col w:w="9480"/>
          </w:cols>
          <w:pgMar w:left="240" w:top="787"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by my broker?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shares held by a broker, you may instruct your broker to vote your shares by following the instructions that the broker provides to you.</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ind w:left="220"/>
              <w:spacing w:after="0"/>
              <w:rPr>
                <w:sz w:val="20"/>
                <w:szCs w:val="20"/>
                <w:color w:val="auto"/>
              </w:rPr>
            </w:pPr>
            <w:r>
              <w:rPr>
                <w:rFonts w:ascii="Arial" w:cs="Arial" w:eastAsia="Arial" w:hAnsi="Arial"/>
                <w:sz w:val="18"/>
                <w:szCs w:val="18"/>
                <w:color w:val="auto"/>
              </w:rPr>
              <w:t>Proposal One:</w:t>
            </w:r>
          </w:p>
        </w:tc>
        <w:tc>
          <w:tcPr>
            <w:tcW w:w="9460" w:type="dxa"/>
            <w:vAlign w:val="bottom"/>
          </w:tcPr>
          <w:p>
            <w:pPr>
              <w:ind w:left="420"/>
              <w:spacing w:after="0"/>
              <w:rPr>
                <w:sz w:val="20"/>
                <w:szCs w:val="20"/>
                <w:color w:val="auto"/>
              </w:rPr>
            </w:pPr>
            <w:r>
              <w:rPr>
                <w:rFonts w:ascii="Arial" w:cs="Arial" w:eastAsia="Arial" w:hAnsi="Arial"/>
                <w:sz w:val="18"/>
                <w:szCs w:val="18"/>
                <w:color w:val="auto"/>
              </w:rPr>
              <w:t>The election of six Directors of the Company</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ind w:left="220"/>
              <w:spacing w:after="0"/>
              <w:rPr>
                <w:sz w:val="20"/>
                <w:szCs w:val="20"/>
                <w:color w:val="auto"/>
              </w:rPr>
            </w:pPr>
            <w:r>
              <w:rPr>
                <w:rFonts w:ascii="Arial" w:cs="Arial" w:eastAsia="Arial" w:hAnsi="Arial"/>
                <w:sz w:val="18"/>
                <w:szCs w:val="18"/>
                <w:color w:val="auto"/>
              </w:rPr>
              <w:t>Proposal Two:</w:t>
            </w:r>
          </w:p>
        </w:tc>
        <w:tc>
          <w:tcPr>
            <w:tcW w:w="9460" w:type="dxa"/>
            <w:vAlign w:val="bottom"/>
          </w:tcPr>
          <w:p>
            <w:pPr>
              <w:ind w:left="420"/>
              <w:spacing w:after="0"/>
              <w:rPr>
                <w:sz w:val="20"/>
                <w:szCs w:val="20"/>
                <w:color w:val="auto"/>
              </w:rPr>
            </w:pPr>
            <w:r>
              <w:rPr>
                <w:rFonts w:ascii="Arial" w:cs="Arial" w:eastAsia="Arial" w:hAnsi="Arial"/>
                <w:sz w:val="18"/>
                <w:szCs w:val="18"/>
                <w:color w:val="auto"/>
              </w:rPr>
              <w:t>Amendment of the Company's Articles of Incorporation to delete the provisions fixing</w:t>
            </w:r>
          </w:p>
        </w:tc>
      </w:tr>
      <w:tr>
        <w:trPr>
          <w:trHeight w:val="216"/>
        </w:trPr>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the number of directors of the Company (the number of directors will then be</w:t>
            </w:r>
          </w:p>
        </w:tc>
      </w:tr>
      <w:tr>
        <w:trPr>
          <w:trHeight w:val="222"/>
        </w:trPr>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governed by the terms of our Bylaws)</w:t>
            </w:r>
          </w:p>
        </w:tc>
      </w:tr>
      <w:tr>
        <w:trPr>
          <w:trHeight w:val="432"/>
        </w:trPr>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Arial" w:cs="Arial" w:eastAsia="Arial" w:hAnsi="Arial"/>
                <w:sz w:val="18"/>
                <w:szCs w:val="18"/>
                <w:color w:val="auto"/>
              </w:rPr>
              <w:t>1</w:t>
            </w:r>
          </w:p>
        </w:tc>
      </w:tr>
      <w:tr>
        <w:trPr>
          <w:trHeight w:val="228"/>
        </w:trPr>
        <w:tc>
          <w:tcPr>
            <w:tcW w:w="3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the amendment of our Articles of Incorporation requires the affirmative vote of a majority of the votes cast at the meeting.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the election of directors requires the approving vote to be measured against all shares of Common Stock entitled to vote, an abstention and withholding authority from that vote is the equivalent of a vote against the election of the nominated director.</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For purposes of the vote on the amendment of our Articles of Incorporation, abstentions and broker non-votes will not be counted as affirmative or negative in determining the number of shares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When the proxy is properly executed and returned, the shares it represents will be voted at the Annual Meeting in accordance with your directions. If the signed card is returned with no direction on a proposal, the proxy will be voted in favor of (FOR) Proposals One and Two.</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both"/>
        <w:ind w:right="140"/>
        <w:spacing w:after="0" w:line="306" w:lineRule="auto"/>
        <w:rPr>
          <w:sz w:val="20"/>
          <w:szCs w:val="20"/>
          <w:color w:val="auto"/>
        </w:rPr>
      </w:pPr>
      <w:r>
        <w:rPr>
          <w:rFonts w:ascii="Arial" w:cs="Arial" w:eastAsia="Arial" w:hAnsi="Arial"/>
          <w:sz w:val="16"/>
          <w:szCs w:val="16"/>
          <w:color w:val="auto"/>
        </w:rPr>
        <w:t>King &amp; Co., Inc. to aid in the solicitation of proxies in person, by mail or telephone. The costs are not expected to exceed $6,000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a proposal for the 2007 Annual Meeting?</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If a shareholder wishes to have a proposal considered for inclusion in the proxy statement prior to the 2007 Annual Meeting, he or she must submit the proposal in writing to the Company (Attention: Secretary) so that it is received by November 28, 2006. Shareholders are also advised to review our Bylaws, which contain additional advance notice requirements, including requirements with respect to advance notice of shareholder proposals and Director nominations.</w:t>
      </w:r>
    </w:p>
    <w:p>
      <w:pPr>
        <w:spacing w:after="0" w:line="14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Board of Directors will review any shareholder proposals that are timely submitted and will determine whether such proposals meet the criteria for inclusion in the proxy solicitation materials or for consideration at the 2007 Annual Meeting. In addition, the persons named in the proxies retain the discretion to vote proxies on matters of which the Company is not properly notified in accordance with the advance notice provisions contained in our Bylaws, and also retain such authority under certain other circumstances.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means that you have multiple accounts at the transfer agent or with stockbrokers. Please complete and return all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28, 2006.</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six persons, as such number is determined by the Board of Directors, all of whom 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ind w:right="280"/>
        <w:spacing w:after="0" w:line="268" w:lineRule="auto"/>
        <w:rPr>
          <w:sz w:val="20"/>
          <w:szCs w:val="20"/>
          <w:color w:val="auto"/>
        </w:rPr>
      </w:pPr>
      <w:r>
        <w:rPr>
          <w:rFonts w:ascii="Arial" w:cs="Arial" w:eastAsia="Arial" w:hAnsi="Arial"/>
          <w:sz w:val="18"/>
          <w:szCs w:val="18"/>
          <w:color w:val="auto"/>
        </w:rPr>
        <w:t>be elected annually to serve until the next annual meeting of shareholders and until their successors are elected and qualified, or until the Director resigns or is otherwise removed.</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Board of Directors currently consists of Delwin D. Hock, Graydon D. Hubbard, George J. Pilmanis, Eugene E. Prince, Michel M. Robert and Richard D. Smith. Based on the recommendation of our Governance and Nominating Committee, 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BOARD OF DIRECTORS UNANIMOUSLY RECOMMENDS THAT SHAREHOLDERS VOTE "FOR" THE ELECTION OF EACH OF THE NOMINEES.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provides certain information regarding the nominees for election to our Board of Directors. Each individual's name, position with the Company and principal occupation and business experience for the past five years is provided and, unless otherwise stated, each nominee has held the position indicated for at least the past five years.</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Delwin D. Hock</w:t>
      </w:r>
      <w:r>
        <w:rPr>
          <w:rFonts w:ascii="Arial" w:cs="Arial" w:eastAsia="Arial" w:hAnsi="Arial"/>
          <w:sz w:val="16"/>
          <w:szCs w:val="16"/>
          <w:color w:val="auto"/>
        </w:rPr>
        <w:t>, age 70—Mr. Hock has served as a director of the Company since February 1997 and as Chairman of the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2005.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 He serves as a director on six separate entities overseeing the operation of funds in the American Century Investors fund complex.</w:t>
      </w:r>
    </w:p>
    <w:p>
      <w:pPr>
        <w:spacing w:after="0" w:line="16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b w:val="1"/>
          <w:bCs w:val="1"/>
          <w:i w:val="1"/>
          <w:iCs w:val="1"/>
          <w:color w:val="auto"/>
        </w:rPr>
        <w:t>Graydon D. Hubbard</w:t>
      </w:r>
      <w:r>
        <w:rPr>
          <w:rFonts w:ascii="Arial" w:cs="Arial" w:eastAsia="Arial" w:hAnsi="Arial"/>
          <w:sz w:val="18"/>
          <w:szCs w:val="18"/>
          <w:color w:val="auto"/>
        </w:rPr>
        <w:t>, age 71—Mr. Hubbard has served as a director of the Company since 1991. He is a retired certified public accountant and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of Arthur Andersen LLP, the Company's former independent public accountants, in its Denver office for more than five years prior to his retirement in November 1989. Since September 2003, he has served as a director of Whiting Petroleum Corporation, an independent oil and gas company engaged in acquisition, exploitation, exploration and development.</w:t>
      </w:r>
    </w:p>
    <w:p>
      <w:pPr>
        <w:spacing w:after="0" w:line="197"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b w:val="1"/>
          <w:bCs w:val="1"/>
          <w:i w:val="1"/>
          <w:iCs w:val="1"/>
          <w:color w:val="auto"/>
        </w:rPr>
        <w:t>George J. Pilmanis</w:t>
      </w:r>
      <w:r>
        <w:rPr>
          <w:rFonts w:ascii="Arial" w:cs="Arial" w:eastAsia="Arial" w:hAnsi="Arial"/>
          <w:sz w:val="16"/>
          <w:szCs w:val="16"/>
          <w:color w:val="auto"/>
        </w:rPr>
        <w:t>, age 68—Mr. Pilmanis has served as a director of the Company since 1993. For more than five years prior to his retirement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i w:val="1"/>
          <w:iCs w:val="1"/>
          <w:color w:val="auto"/>
        </w:rPr>
        <w:t>Eugene E. Prince</w:t>
      </w:r>
      <w:r>
        <w:rPr>
          <w:rFonts w:ascii="Arial" w:cs="Arial" w:eastAsia="Arial" w:hAnsi="Arial"/>
          <w:sz w:val="18"/>
          <w:szCs w:val="18"/>
          <w:color w:val="auto"/>
        </w:rPr>
        <w:t>, age 74—Mr. Prince has served as a director of the Company since October 1975. He served as Chairman of the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1981 to May 2005, at which time he decided to step down as Chairman in connection with his transition to retirement in 2007. He served as President of the Company from October 1975 and as Chief Executive Officer from September 1976 until his resignation from those offices on August 13, 1998. He retired from his employment with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ind w:right="100"/>
        <w:spacing w:after="0" w:line="256" w:lineRule="auto"/>
        <w:rPr>
          <w:sz w:val="20"/>
          <w:szCs w:val="20"/>
          <w:color w:val="auto"/>
        </w:rPr>
      </w:pPr>
      <w:r>
        <w:rPr>
          <w:rFonts w:ascii="Arial" w:cs="Arial" w:eastAsia="Arial" w:hAnsi="Arial"/>
          <w:sz w:val="18"/>
          <w:szCs w:val="18"/>
          <w:color w:val="auto"/>
        </w:rPr>
        <w:t>Company effective August 13, 1998 but served as a paid consultant through November 1999. As previously disclosed, Mr. Prince and the Company were parties to a consulting agreement which provided that as long as Mr. Prince owned at least 10% of the issued shares of the Company, the Board of Directors agreed to nominate Mr. Prince for election to the Board of Directors and, if elected, to request that he be nominated for Chairman of the Board of Directors. This contract was terminated by mutual consent effective April 28, 2005.</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b w:val="1"/>
          <w:bCs w:val="1"/>
          <w:i w:val="1"/>
          <w:iCs w:val="1"/>
          <w:color w:val="auto"/>
        </w:rPr>
        <w:t>Michel M. Robert</w:t>
      </w:r>
      <w:r>
        <w:rPr>
          <w:rFonts w:ascii="Arial" w:cs="Arial" w:eastAsia="Arial" w:hAnsi="Arial"/>
          <w:sz w:val="16"/>
          <w:szCs w:val="16"/>
          <w:color w:val="auto"/>
        </w:rPr>
        <w:t>, age 64—Mr. Robert has served as a director of the Company since July 2004. He founded Decision Processes International, Inc. (DPI)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61" w:lineRule="exact"/>
        <w:rPr>
          <w:sz w:val="20"/>
          <w:szCs w:val="20"/>
          <w:color w:val="auto"/>
        </w:rPr>
      </w:pPr>
    </w:p>
    <w:p>
      <w:pPr>
        <w:ind w:right="540" w:firstLine="351"/>
        <w:spacing w:after="0" w:line="28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58—Mr.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w:t>
      </w:r>
    </w:p>
    <w:p>
      <w:pPr>
        <w:jc w:val="both"/>
        <w:spacing w:after="0" w:line="255" w:lineRule="auto"/>
        <w:rPr>
          <w:sz w:val="20"/>
          <w:szCs w:val="20"/>
          <w:color w:val="auto"/>
        </w:rPr>
      </w:pPr>
      <w:r>
        <w:rPr>
          <w:rFonts w:ascii="Arial" w:cs="Arial" w:eastAsia="Arial" w:hAnsi="Arial"/>
          <w:sz w:val="18"/>
          <w:szCs w:val="18"/>
          <w:color w:val="auto"/>
        </w:rPr>
        <w:t>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corporate governance standards of the Nasdaq Capital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Smith, the Company's Chief Executive Officer and Chief Financial Officer, satisfies the bright line criteria and that none has a relationship with the Company that would interfere with such person's ability to exercise independent judgment as a member of our Board.</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Securities and Exchange Commission ("SEC"). The Audit Committee met four times during the Company's 2005 fiscal year.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80" w:firstLine="348"/>
        <w:spacing w:after="0" w:line="294" w:lineRule="auto"/>
        <w:rPr>
          <w:sz w:val="20"/>
          <w:szCs w:val="20"/>
          <w:color w:val="auto"/>
        </w:rPr>
      </w:pPr>
      <w:r>
        <w:rPr>
          <w:rFonts w:ascii="Arial" w:cs="Arial" w:eastAsia="Arial" w:hAnsi="Arial"/>
          <w:sz w:val="16"/>
          <w:szCs w:val="16"/>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See "Report of the Compensation Committee" below. The Compensation Committee met three times during the Company's 2005 fiscal year.</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right="200" w:firstLine="348"/>
        <w:spacing w:after="0" w:line="286" w:lineRule="auto"/>
        <w:rPr>
          <w:sz w:val="20"/>
          <w:szCs w:val="20"/>
          <w:color w:val="auto"/>
        </w:rPr>
      </w:pPr>
      <w:r>
        <w:rPr>
          <w:rFonts w:ascii="Arial" w:cs="Arial" w:eastAsia="Arial" w:hAnsi="Arial"/>
          <w:sz w:val="16"/>
          <w:szCs w:val="16"/>
          <w:color w:val="auto"/>
        </w:rPr>
        <w:t>The Governance and Nominating Committee of our Board of Directors was formed on August 3, 2005 and consists of Messrs. Hock (Chairman), Hubbard and Prince. The Governance and Nominating Committee met one time during the Company's 2005 fiscal year. The Governance and Nominating Committee</w:t>
      </w:r>
    </w:p>
    <w:p>
      <w:pPr>
        <w:ind w:left="220" w:hanging="212"/>
        <w:spacing w:after="0"/>
        <w:tabs>
          <w:tab w:leader="none" w:pos="2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monitors and oversees matters of corporate governance, including the evaluation of Board performance and processes and the "independence" of directors, and</w:t>
      </w:r>
    </w:p>
    <w:p>
      <w:pPr>
        <w:spacing w:after="0" w:line="43" w:lineRule="exact"/>
        <w:rPr>
          <w:rFonts w:ascii="Arial" w:cs="Arial" w:eastAsia="Arial" w:hAnsi="Arial"/>
          <w:sz w:val="15"/>
          <w:szCs w:val="15"/>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w:t>
      </w:r>
    </w:p>
    <w:p>
      <w:pPr>
        <w:spacing w:after="0" w:line="242"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2007 Annual Meeting."</w:t>
      </w:r>
    </w:p>
    <w:p>
      <w:pPr>
        <w:spacing w:after="0" w:line="16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Board has not adopted specific minimum criteria for director nominees. The independent directors identify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independent directors decide not to nominate a member for re-election, the independent directors first consider the appropriateness of the size of the board. If the independent directors determine the board seat should remain and a vacancy exists, the independent directors consider factors that it deems are in the best interests of the Company and its shareholders in identifying and evaluating a new nominee.</w:t>
      </w:r>
    </w:p>
    <w:p>
      <w:pPr>
        <w:spacing w:after="0" w:line="17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may take into consideration such factors as it deems appropriate, including those included in the Corporate Governance Principles, which were adopted on October 27, 2005, and are available at www.alliedmotion.com.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Board of Directors held four meetings during the Company's 2005 fiscal year. Each director attended at least 75% of the aggregate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2005, the Annual Meeting of Shareholders was attended by five of the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Chairman of the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Management is responsible for the Company's financial statements and reporting process. The Company's independent registered public accounting firm, KPMG LLP, is responsible for performing an independent audit of the Company's annual financial statements in accordance with generally accepted accounting principles in the United States of America ("GAAP") and for issuing a report on those statements.</w:t>
      </w:r>
    </w:p>
    <w:p>
      <w:pPr>
        <w:spacing w:after="0" w:line="194"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 members of the Audit Committee, our work is guided by our Audit Committee Charter. We have completed all Charter tasks scheduled to be performed in 2005 prior to year-end and all Charter tasks scheduled to be performed in 2006 prior to the end of the first quarter. Our work included, among other procedures:</w:t>
      </w:r>
    </w:p>
    <w:p>
      <w:pPr>
        <w:spacing w:after="0" w:line="116" w:lineRule="exact"/>
        <w:rPr>
          <w:sz w:val="20"/>
          <w:szCs w:val="20"/>
          <w:color w:val="auto"/>
        </w:rPr>
      </w:pPr>
    </w:p>
    <w:p>
      <w:pPr>
        <w:ind w:left="700" w:hanging="34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80" w:firstLine="359"/>
        <w:spacing w:after="0" w:line="268" w:lineRule="auto"/>
        <w:tabs>
          <w:tab w:leader="none" w:pos="6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jc w:val="both"/>
        <w:ind w:right="560" w:firstLine="359"/>
        <w:spacing w:after="0" w:line="306" w:lineRule="auto"/>
        <w:tabs>
          <w:tab w:leader="none" w:pos="6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60" w:lineRule="exact"/>
        <w:rPr>
          <w:rFonts w:ascii="Arial" w:cs="Arial" w:eastAsia="Arial" w:hAnsi="Arial"/>
          <w:sz w:val="16"/>
          <w:szCs w:val="16"/>
          <w:color w:val="auto"/>
        </w:rPr>
      </w:pPr>
    </w:p>
    <w:p>
      <w:pPr>
        <w:ind w:right="500" w:firstLine="359"/>
        <w:spacing w:after="0" w:line="268" w:lineRule="auto"/>
        <w:tabs>
          <w:tab w:leader="none" w:pos="6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2005, audited financial statements, the related audit report, and the applicable management's discussion and analysis.</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2005, for filing with the SEC.</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holds four regular full day meetings each year. Through February 2005, non-employee directors were compensated at the rate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$3,900 per full day meeting of the board, $1,200 for each additional one-half day meeting, $550 per hour for a telephone meeting, $1,200 per committee meeting,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$1,200 per half day for official travel to locations outside the Denver area. After February 2005, non-employee directors receive an annual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$15,000, paid quarterly, plus $750 per full day meeting of the board attended and $600 per telephone meeting attended. The Audit Committee chairman receives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 annual retainer of $4,800, the Compensation Committee and Governance and Nominating Committee chairmen each receive an annual retainer of $2,400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member receives a $1,200 annual retainer, each of which are paid quarterly.</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non-employee director received 1,250 shares of restricted Common Stock with a value of $4,838 on May 11, 2005. The restricted shares vest in three equal annual installments commencing on May 11, 2006.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58—Mr.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52—Mr. Warzala was appointed President and Chief Operating Officer of the Company in May 2002 and has been employed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since October 2001. From March 2000 through March 2001, Mr. Warzala served as President of the Motion Components Group for Danaher Corporation. In 1993, he was named President of API Motion, a subsidiary of American Precision Industries Inc., and continued as President until 2000, when it was acquired by Danaher. From 1976 to 1993, he held various management positions at American Precision Industries, Inc.</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63—Mr.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summarizes the compensation awarded, earned by, or paid to the Chief Executive Officer and the two other most highly compensated executive officers of the Company (the "Named Officers") during the last three fiscal years.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left="621"/>
              <w:spacing w:after="0"/>
              <w:rPr>
                <w:sz w:val="20"/>
                <w:szCs w:val="20"/>
                <w:color w:val="auto"/>
              </w:rPr>
            </w:pPr>
            <w:r>
              <w:rPr>
                <w:rFonts w:ascii="Arial" w:cs="Arial" w:eastAsia="Arial" w:hAnsi="Arial"/>
                <w:sz w:val="14"/>
                <w:szCs w:val="14"/>
                <w:b w:val="1"/>
                <w:bCs w:val="1"/>
                <w:color w:val="auto"/>
                <w:w w:val="88"/>
              </w:rPr>
              <w:t>Long Term</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Compensation Awards</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Annual Compensation</w:t>
            </w: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8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4"/>
              </w:rPr>
              <w:t>Restricted</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5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Bonus</w:t>
            </w: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5"/>
                <w:szCs w:val="15"/>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248,333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58,050(1)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240,000</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235,000</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424"/>
        </w:trPr>
        <w:tc>
          <w:tcPr>
            <w:tcW w:w="292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238,333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 -0-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58,050(1)</w:t>
            </w:r>
          </w:p>
        </w:tc>
        <w:tc>
          <w:tcPr>
            <w:tcW w:w="220" w:type="dxa"/>
            <w:vAlign w:val="bottom"/>
          </w:tcPr>
          <w:p>
            <w:pPr>
              <w:spacing w:after="0"/>
              <w:rPr>
                <w:sz w:val="24"/>
                <w:szCs w:val="24"/>
                <w:color w:val="auto"/>
              </w:rPr>
            </w:pPr>
          </w:p>
        </w:tc>
        <w:tc>
          <w:tcPr>
            <w:tcW w:w="1300" w:type="dxa"/>
            <w:vAlign w:val="bottom"/>
            <w:gridSpan w:val="3"/>
          </w:tcPr>
          <w:p>
            <w:pPr>
              <w:jc w:val="right"/>
              <w:ind w:right="32"/>
              <w:spacing w:after="0"/>
              <w:rPr>
                <w:sz w:val="20"/>
                <w:szCs w:val="20"/>
                <w:color w:val="auto"/>
              </w:rPr>
            </w:pPr>
            <w:r>
              <w:rPr>
                <w:rFonts w:ascii="Arial" w:cs="Arial" w:eastAsia="Arial" w:hAnsi="Arial"/>
                <w:sz w:val="18"/>
                <w:szCs w:val="18"/>
                <w:color w:val="auto"/>
              </w:rPr>
              <w:t>- -0-   $</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27,921(3)</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w w:val="96"/>
              </w:rPr>
              <w:t>President and Chief Operating Officer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230,000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157,063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 -0-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29,780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225,000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107,821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 -0-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17,553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129,333(4)</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-0-</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-0-</w:t>
            </w: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President—Marketing</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-1978025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-1978025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-1858010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-1858010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-1540510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-1540510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-1540510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-1540510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-1540510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-1540510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-1540510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-1540510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-1540510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-1540510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-1540510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-1540510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-1540510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value of restricted shares granted to the Named Officer on May 11, 2005. The restricted shares vest in three equal annual installments commencing on May 11, 2006.</w:t>
      </w:r>
    </w:p>
    <w:p>
      <w:pPr>
        <w:spacing w:after="0" w:line="21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compensation for Mr. Smith during 2005 consists of Company contributions to defined contribution plans of $5,846, and Company paid life insurance premiums of $20,845.</w:t>
      </w:r>
    </w:p>
    <w:p>
      <w:pPr>
        <w:spacing w:after="0" w:line="199"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compensation for Mr. Warzala during 2005 consists of Company contributions to defined contribution plans of $5,846, and Company paid life insurance premiums of $22,075.</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Wyman became an executive officer of the Company in February 2005.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compensation for Mr. Wyman during 2005 consists of Company contributions to defined contribution plans of $5,430.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options were granted to the Named Officers during the year ended December 31, 2005.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Year-End Values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No options were exercised by Messrs. Warzala and Wyman during 2005. The following table shows the value realized by Mr. Smith upon the exercise of options, and the year-end value of unexercised in-the-money options held by the Named Officers at the fiscal year-end. Year-end values are based upon the closing price of shares of Common Stock on December 31, 2005 ($4.17).</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800" w:right="37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Aggregated Options Exercises in Last Fiscal Year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Year-End Option Values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center"/>
              <w:ind w:right="202"/>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Acquired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Value</w:t>
            </w:r>
          </w:p>
        </w:tc>
        <w:tc>
          <w:tcPr>
            <w:tcW w:w="22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auto"/>
              </w:rPr>
              <w:t>Number of Unexercised</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6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On Exercise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Realized</w:t>
            </w:r>
          </w:p>
        </w:tc>
        <w:tc>
          <w:tcPr>
            <w:tcW w:w="2240" w:type="dxa"/>
            <w:vAlign w:val="bottom"/>
          </w:tcPr>
          <w:p>
            <w:pPr>
              <w:jc w:val="right"/>
              <w:ind w:right="400"/>
              <w:spacing w:after="0"/>
              <w:rPr>
                <w:sz w:val="20"/>
                <w:szCs w:val="20"/>
                <w:color w:val="auto"/>
              </w:rPr>
            </w:pPr>
            <w:r>
              <w:rPr>
                <w:rFonts w:ascii="Arial" w:cs="Arial" w:eastAsia="Arial" w:hAnsi="Arial"/>
                <w:sz w:val="14"/>
                <w:szCs w:val="14"/>
                <w:b w:val="1"/>
                <w:bCs w:val="1"/>
                <w:color w:val="auto"/>
              </w:rPr>
              <w:t>Options at 12/31/05(1)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jc w:val="center"/>
              <w:ind w:right="202"/>
              <w:spacing w:after="0"/>
              <w:rPr>
                <w:sz w:val="20"/>
                <w:szCs w:val="20"/>
                <w:color w:val="auto"/>
              </w:rPr>
            </w:pPr>
            <w:r>
              <w:rPr>
                <w:rFonts w:ascii="Arial" w:cs="Arial" w:eastAsia="Arial" w:hAnsi="Arial"/>
                <w:sz w:val="14"/>
                <w:szCs w:val="14"/>
                <w:b w:val="1"/>
                <w:bCs w:val="1"/>
                <w:color w:val="auto"/>
                <w:w w:val="87"/>
              </w:rPr>
              <w:t>Options at 12/31/05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292,730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5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40" w:type="dxa"/>
            <w:vAlign w:val="bottom"/>
          </w:tcPr>
          <w:p>
            <w:pPr>
              <w:jc w:val="right"/>
              <w:spacing w:after="0"/>
              <w:rPr>
                <w:sz w:val="20"/>
                <w:szCs w:val="20"/>
                <w:color w:val="auto"/>
              </w:rPr>
            </w:pPr>
            <w:r>
              <w:rPr>
                <w:rFonts w:ascii="Arial" w:cs="Arial" w:eastAsia="Arial" w:hAnsi="Arial"/>
                <w:sz w:val="18"/>
                <w:szCs w:val="18"/>
                <w:color w:val="auto"/>
              </w:rPr>
              <w:t>500,000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753,500</w:t>
            </w:r>
          </w:p>
        </w:tc>
        <w:tc>
          <w:tcPr>
            <w:tcW w:w="0" w:type="dxa"/>
            <w:vAlign w:val="bottom"/>
          </w:tcPr>
          <w:p>
            <w:pPr>
              <w:spacing w:after="0"/>
              <w:rPr>
                <w:sz w:val="1"/>
                <w:szCs w:val="1"/>
                <w:color w:val="auto"/>
              </w:rPr>
            </w:pP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color w:val="auto"/>
              </w:rPr>
              <w:t>President and Chief Operating Officer</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President—Marketing</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-1266190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-1266190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-1266190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-1266190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-1266190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-1266190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-1266190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-1266190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both "in-the-money" and "out-of-the-money" options. All options are exercisable as of December 31, 2005.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Executive Officers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has employment agreements with Richard D. Smith, Chief Executive Officer and Chief Financial Officer, and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$240,000 for Mr. Smith and $230,000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$250,000 and Mr. Warzala's salary was increased to $240,000 effective March 1, 2005.</w:t>
      </w:r>
    </w:p>
    <w:p>
      <w:pPr>
        <w:spacing w:after="0" w:line="11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Annual incentive bonuses are paid based on achieving performance criteria established annually by the Board of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criteria will recognize the overall financial performance of the Company and the improvements made in financial results. See discussion under "Report of the Compensation Committee."</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Long-Term Incentive Payment Plan. </w:t>
      </w:r>
      <w:r>
        <w:rPr>
          <w:rFonts w:ascii="Arial" w:cs="Arial" w:eastAsia="Arial" w:hAnsi="Arial"/>
          <w:sz w:val="18"/>
          <w:szCs w:val="18"/>
          <w:color w:val="auto"/>
        </w:rPr>
        <w:t>The Company utilizes stock based awards for long-term incentives based on criteria described in the "Report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and with $500,000 of life insurance for which the executive may designate the beneficiaries.</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Agreements provide for limited continuation of salary and insurance benefits and for bonus prorations or settlements.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entered into agreements with Messrs. Smith, Warzala and Wyman pursuant to which, upon termination by the Company (other than for cause as defined in the Agreement) or by the executive for good reason (as defined in the Agreement) within 90 days prior to or 24 months following a change in control of the Company, they are entitled to receive a severance payment equal to 2.5</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15" w:name="page16"/>
    <w:bookmarkEnd w:id="15"/>
    <w:p>
      <w:pPr>
        <w:ind w:right="80"/>
        <w:spacing w:after="0" w:line="287" w:lineRule="auto"/>
        <w:rPr>
          <w:sz w:val="20"/>
          <w:szCs w:val="20"/>
          <w:color w:val="auto"/>
        </w:rPr>
      </w:pPr>
      <w:r>
        <w:rPr>
          <w:rFonts w:ascii="Arial" w:cs="Arial" w:eastAsia="Arial" w:hAnsi="Arial"/>
          <w:sz w:val="16"/>
          <w:szCs w:val="16"/>
          <w:color w:val="auto"/>
        </w:rPr>
        <w:t>times (1 times for Mr. Wyman) the sum of current annual base salary plus the amount paid under the Annual Bonus Plan for the preceding fiscal year, and an allocation for incentive compensation for the current year up to the date of termination and a monthly payment for a two year period for the individual to acquire insurance benefits. The agreements expire on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following table summarizes information, as of December 31, 2005, relating to our equity compensation plans pursuant to which grants of options, restricted stock or other rights to acquire shares may be granted from time to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80" w:type="dxa"/>
            <w:vAlign w:val="bottom"/>
          </w:tcPr>
          <w:p>
            <w:pPr>
              <w:spacing w:after="0"/>
              <w:rPr>
                <w:sz w:val="12"/>
                <w:szCs w:val="12"/>
                <w:color w:val="auto"/>
              </w:rPr>
            </w:pPr>
          </w:p>
        </w:tc>
        <w:tc>
          <w:tcPr>
            <w:tcW w:w="1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(excluding 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74"/>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1,448,650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104,107</w:t>
            </w:r>
          </w:p>
        </w:tc>
        <w:tc>
          <w:tcPr>
            <w:tcW w:w="0" w:type="dxa"/>
            <w:vAlign w:val="bottom"/>
          </w:tcPr>
          <w:p>
            <w:pPr>
              <w:spacing w:after="0"/>
              <w:rPr>
                <w:sz w:val="1"/>
                <w:szCs w:val="1"/>
                <w:color w:val="auto"/>
              </w:rPr>
            </w:pPr>
          </w:p>
        </w:tc>
      </w:tr>
      <w:tr>
        <w:trPr>
          <w:trHeight w:val="424"/>
        </w:trPr>
        <w:tc>
          <w:tcPr>
            <w:tcW w:w="324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security holders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32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1,448,650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-1300480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-1300480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-1300480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-1300480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-1300480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-1300480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-1300480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-460375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-460375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-460375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-460375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-460375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noted above, the Compensation Committee is comprised of three independent Directors: Messrs. Pilmanis, Hock and Hubbard. No member of the Compensation Committee is or was formerly an officer or an employee of the Company.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 w:name="page17"/>
    <w:bookmarkEnd w:id="16"/>
    <w:p>
      <w:pPr>
        <w:jc w:val="both"/>
        <w:ind w:right="200" w:firstLine="351"/>
        <w:spacing w:after="0" w:line="335" w:lineRule="auto"/>
        <w:rPr>
          <w:sz w:val="20"/>
          <w:szCs w:val="20"/>
          <w:color w:val="auto"/>
        </w:rPr>
      </w:pPr>
      <w:r>
        <w:rPr>
          <w:rFonts w:ascii="Arial" w:cs="Arial" w:eastAsia="Arial" w:hAnsi="Arial"/>
          <w:sz w:val="15"/>
          <w:szCs w:val="15"/>
          <w:color w:val="auto"/>
        </w:rPr>
        <w:t>In order to make our compensation recommendations to the Board of Directors, we annually evaluate the performance and determine the compensation of the Company's executive officers based upon a mix of the achievement of corporate goals and individual performance. The Chief Executive Officer and Chief Operating Officer provide recommendations to the Compensation Committee, but are not present during the discussions regarding their own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determined that the primary goals of the Company's compensation policies are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total compensation opportunities for executive officers which are sufficient to attract and retain individuals whose talents and abilities allow the Company to accomplish its strategies.</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align the interests of management and stockholders through the use of incentive compensation directly related to corporate performance and through the use of stock-based incentives that result in increased Common Stock ownership by executive officers.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key elements of executive compensation are base salary, annual incentive compensation and long-term incentive compensation. In 2005 we engaged a compensation consultant to assist us in evaluating our executive compensation levels and programs.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Base Compensation. </w:t>
      </w:r>
      <w:r>
        <w:rPr>
          <w:rFonts w:ascii="Arial" w:cs="Arial" w:eastAsia="Arial" w:hAnsi="Arial"/>
          <w:sz w:val="16"/>
          <w:szCs w:val="16"/>
          <w:color w:val="auto"/>
        </w:rPr>
        <w:t>The main purpose of base compensation is to provide salary levels compatible to the salary levels sufficient to attract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In determining salary levels for executive officers, we rely primarily on the evaluation and recommendations by Mr. Smith, Chief Executive Officer, of each officer's performance during the prior year and responsibilities for the current year.</w:t>
      </w:r>
    </w:p>
    <w:p>
      <w:pPr>
        <w:spacing w:after="0" w:line="161"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i w:val="1"/>
          <w:iCs w:val="1"/>
          <w:color w:val="auto"/>
        </w:rPr>
        <w:t xml:space="preserve">Annual Incentive Compensation. </w:t>
      </w:r>
      <w:r>
        <w:rPr>
          <w:rFonts w:ascii="Arial" w:cs="Arial" w:eastAsia="Arial" w:hAnsi="Arial"/>
          <w:sz w:val="15"/>
          <w:szCs w:val="15"/>
          <w:color w:val="auto"/>
        </w:rPr>
        <w:t>We believe that annual incentive compensation payable to the executive officers of the Company should be based upon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Company's performance and should align the interests of management with those of the Company's shareholders. We have approved the Company's Incentive Bonus Plan which is designed to link performance incentives for all employees, including executive officers, to increases in shareholder value and to promote a culture of high performance and ownership by employees in which employees are rewarded for improving operating efficiencies, reducing costs and improving profitability for the Company. At the beginning of the year, we established threshold and target levels of achievement for the Company's Annual Bonus Plan after reviewing past operating results as well as forecasts and plans for the ensuing year. For 2005, an Annual Incentive Bonus structure based on Gross or Economic Value Added (GVA or EVA) Income was recommended and the Performance Thresholds and Targets were set using EVA. Based on the results of the Company for 2005, threshold performance levels were not met and therefore, Messrs. Smith, Warzala and Wyman did not receive bonuses with respect to 2005. Incentive bonuses totaling $98,000 for 2005 were made to employees of some of the Company's operating divisions who did achieve threshold or target results.</w:t>
      </w:r>
    </w:p>
    <w:p>
      <w:pPr>
        <w:spacing w:after="0" w:line="16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The Company's Long-Term Incentive Payment Plan is based on stock awards pursuant to the Company's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In making its recommendations for stock based awards, we consider, among other things, the officer's responsibilities and efforts and performance in relation to the business plan and forecast. We also consider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awards and improving shareholder value, the current level of stock and stock options held, and the shares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7" w:name="page18"/>
    <w:bookmarkEnd w:id="17"/>
    <w:p>
      <w:pPr>
        <w:ind w:right="20"/>
        <w:spacing w:after="0" w:line="268" w:lineRule="auto"/>
        <w:rPr>
          <w:sz w:val="20"/>
          <w:szCs w:val="20"/>
          <w:color w:val="auto"/>
        </w:rPr>
      </w:pPr>
      <w:r>
        <w:rPr>
          <w:rFonts w:ascii="Arial" w:cs="Arial" w:eastAsia="Arial" w:hAnsi="Arial"/>
          <w:sz w:val="18"/>
          <w:szCs w:val="18"/>
          <w:color w:val="auto"/>
        </w:rPr>
        <w:t>available for award. We also consider customary business practices and long-term incentive plan benefits granted in comparison to such benefits provided to other executives in similar positions.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acknowledge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Company has historically utilized grants of stock options. During 2005, we evaluated the use of stock options, stock appreciation rights and restricted stock awards as allowed under the Company's Stock Incentive Plan. We recommended restricted stock awards to executive officers, directors and key managers of the Company as follows: Messrs. Smith and Warzala (15,000 shares each), non-employee directors (1,250 shares each) and key managers (total 10,750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Compensation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establishing the compensation of Mr. Smith, the Company's Chief Executive Officer, we consider the Company and individual performance factors previously discussed. We also evaluate his contribution to the implementation of the Company's strategic plan, the Company's total return to shareholders and his importance in delineating and implementing the Company's strategies. Based upon all relevant factors, we believe that Mr. Smith's total compensation is reasonable.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Deductibility Policy</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Section 162(m) of the Internal Revenue Code limits the deductibility of compensation in excess of $1 million paid to certain Named Executive Officers, unless the compensation is performance based and satisfies other conditions. Our policy is to maximize the deductibility of compensation but does not preclude awards or payments that are not fully deductible if, in our judgment, such awards and payments are necessary to achieve our compensation objectives and to protect shareholder interests.</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and the NASDAQ Electrical and Industrial Apparatus Index for the period of five years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5797550" cy="3601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12/31/00</w:t>
            </w:r>
          </w:p>
        </w:tc>
        <w:tc>
          <w:tcPr>
            <w:tcW w:w="10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12/31/01</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12/31/02</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12/31/03</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12/31/04</w:t>
            </w:r>
          </w:p>
        </w:tc>
        <w:tc>
          <w:tcPr>
            <w:tcW w:w="1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MOTION TECHNOLOGIES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31"/>
        </w:trPr>
        <w:tc>
          <w:tcPr>
            <w:tcW w:w="4960" w:type="dxa"/>
            <w:vAlign w:val="bottom"/>
            <w:gridSpan w:val="3"/>
          </w:tcPr>
          <w:p>
            <w:pPr>
              <w:spacing w:after="0"/>
              <w:rPr>
                <w:sz w:val="20"/>
                <w:szCs w:val="20"/>
                <w:color w:val="auto"/>
              </w:rPr>
            </w:pPr>
            <w:r>
              <w:rPr>
                <w:rFonts w:ascii="Arial" w:cs="Arial" w:eastAsia="Arial" w:hAnsi="Arial"/>
                <w:sz w:val="18"/>
                <w:szCs w:val="18"/>
                <w:color w:val="auto"/>
              </w:rPr>
              <w:t>NASDAQ STOCK MARKET (U.S.)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91</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ELECTRICAL INDUSTRIAL APPARATUS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-854710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-854710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-854710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-854710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-854710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-854710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-854710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-854710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-854710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-854710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-854710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-854710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56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Assumes $100 invested on December 31, 2000 in the Company's common stock, the NASDAQ Stock Market Index and the NASDAQ Electrical Industrial Apparatus Index with the reinvestment of all dividends.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Stockholder returns over the indicated period shown in the graph above should not be considered indicative of future stockholder returns.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4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Amount of</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74"/>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5"/>
                <w:szCs w:val="15"/>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Beneficially Owned</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870,384(2)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744,024(3)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23 Inverness Way East, Suite 150</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3"/>
          </w:tcPr>
          <w:p>
            <w:pPr>
              <w:spacing w:after="0"/>
              <w:rPr>
                <w:sz w:val="20"/>
                <w:szCs w:val="20"/>
                <w:color w:val="auto"/>
              </w:rPr>
            </w:pPr>
            <w:r>
              <w:rPr>
                <w:rFonts w:ascii="Arial" w:cs="Arial" w:eastAsia="Arial" w:hAnsi="Arial"/>
                <w:sz w:val="18"/>
                <w:szCs w:val="18"/>
                <w:color w:val="auto"/>
              </w:rPr>
              <w:t>Englewood, Colorado 80112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 Kamin</w:t>
            </w:r>
          </w:p>
        </w:tc>
        <w:tc>
          <w:tcPr>
            <w:tcW w:w="2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567,700(4)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The Nelson Law Firm, LLC</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36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0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Plains, New York 10601</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280" w:type="dxa"/>
            <w:vAlign w:val="bottom"/>
            <w:gridSpan w:val="3"/>
          </w:tcPr>
          <w:p>
            <w:pPr>
              <w:jc w:val="right"/>
              <w:ind w:right="160"/>
              <w:spacing w:after="0"/>
              <w:rPr>
                <w:sz w:val="20"/>
                <w:szCs w:val="20"/>
                <w:color w:val="auto"/>
              </w:rPr>
            </w:pPr>
            <w:r>
              <w:rPr>
                <w:rFonts w:ascii="Arial" w:cs="Arial" w:eastAsia="Arial" w:hAnsi="Arial"/>
                <w:sz w:val="18"/>
                <w:szCs w:val="18"/>
                <w:color w:val="auto"/>
              </w:rPr>
              <w:t>541,108(5)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23 Inverness Way East, Suite 150</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3"/>
          </w:tcPr>
          <w:p>
            <w:pPr>
              <w:spacing w:after="0"/>
              <w:rPr>
                <w:sz w:val="20"/>
                <w:szCs w:val="20"/>
                <w:color w:val="auto"/>
              </w:rPr>
            </w:pPr>
            <w:r>
              <w:rPr>
                <w:rFonts w:ascii="Arial" w:cs="Arial" w:eastAsia="Arial" w:hAnsi="Arial"/>
                <w:sz w:val="18"/>
                <w:szCs w:val="18"/>
                <w:color w:val="auto"/>
              </w:rPr>
              <w:t>Englewood, Colorado 80112</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-1978025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-1978025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-1978025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-1978025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-1978025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-1978025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percentages are based upon 6,373,351 shares of Common Stock outstanding as of the Record Date, except for certain beneficial owners who hold stock options. The percentage for each beneficial owner holding presently exercisable stock options is based upon the sum of 6,373,351 shares plus the number of shares subject to presently exercisable stock options held only by such beneficial owner, as indicated in the following notes.</w:t>
      </w:r>
    </w:p>
    <w:p>
      <w:pPr>
        <w:spacing w:after="0" w:line="187" w:lineRule="exact"/>
        <w:rPr>
          <w:rFonts w:ascii="Arial" w:cs="Arial" w:eastAsia="Arial" w:hAnsi="Arial"/>
          <w:sz w:val="16"/>
          <w:szCs w:val="16"/>
          <w:color w:val="auto"/>
        </w:rPr>
      </w:pPr>
    </w:p>
    <w:p>
      <w:pPr>
        <w:ind w:left="540" w:right="36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102,500 shares of Common Stock which Mr. Prince has the right to acquire upon the exercise of outstanding options and 1,250 shares of Common Stock granted as incentive restricted shares under the Year 2000 Stock Incentive Plan that have not yet vested. Includes 88,800 shares of Common Stock held by the Prince Children's Trusts, of which Mr. Prince's wife is trustee and as to which Mr. Prince disclaims beneficial ownership.</w:t>
      </w:r>
    </w:p>
    <w:p>
      <w:pPr>
        <w:spacing w:after="0" w:line="174" w:lineRule="exact"/>
        <w:rPr>
          <w:rFonts w:ascii="Arial" w:cs="Arial" w:eastAsia="Arial" w:hAnsi="Arial"/>
          <w:sz w:val="16"/>
          <w:szCs w:val="16"/>
          <w:color w:val="auto"/>
        </w:rPr>
      </w:pPr>
    </w:p>
    <w:p>
      <w:pPr>
        <w:ind w:left="540" w:right="40" w:hanging="532"/>
        <w:spacing w:after="0" w:line="318"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361,000 shares of Common Stock which Mr. Smith has the right to acquire upon the exercise of outstanding options, 15,000 shares of Common Stock granted as incentive restricted shares under the Year 2000 Stock Incentive Plan that have not yet vested and 185,541 shares of Common Stock held by the Company's Employee Stock Ownership Plan ("ESOP") as of the Record Date, as to which Mr. Smith could be deemed to have shared investment power as a trustee of the ESOP, which includes 8,169 shares of Common Stock credited to the ESOP account of Mr. Smith. Includes 181,583 shares of Common Stock held by Smith Family Trust, of which Mr. Smith is trustee. Includes 900 shares held by Mr. Smith's wife's IRA.</w:t>
      </w:r>
    </w:p>
    <w:p>
      <w:pPr>
        <w:spacing w:after="0" w:line="167" w:lineRule="exact"/>
        <w:rPr>
          <w:rFonts w:ascii="Arial" w:cs="Arial" w:eastAsia="Arial" w:hAnsi="Arial"/>
          <w:sz w:val="15"/>
          <w:szCs w:val="15"/>
          <w:color w:val="auto"/>
        </w:rPr>
      </w:pPr>
    </w:p>
    <w:p>
      <w:pPr>
        <w:jc w:val="both"/>
        <w:ind w:left="54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Schedule 13G filed by Mr. Kamin with the Securities and Exchange Commission on or about February 2, 2005. Includes 131,400 shares of held by Peter H. Kamin Childrens Trust, 157,732 shares held by Peter H. Kamin Profit Sharing Plan, 7,800 shares held by Peter H. Kamin Family Foundation and 59,300 shares held by 3K Limited Partnership, all as to which Mr. Kamin has sole voting and investment power.</w:t>
      </w:r>
    </w:p>
    <w:p>
      <w:pPr>
        <w:spacing w:after="0" w:line="187"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500,000 shares of Common Stock which Mr. Warzala has the right to acquire upon the exercise of outstanding options and 15,000 shares of Common Stock granted as incentive restricted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ind w:left="540"/>
        <w:spacing w:after="0"/>
        <w:rPr>
          <w:sz w:val="20"/>
          <w:szCs w:val="20"/>
          <w:color w:val="auto"/>
        </w:rPr>
      </w:pPr>
      <w:r>
        <w:rPr>
          <w:rFonts w:ascii="Arial" w:cs="Arial" w:eastAsia="Arial" w:hAnsi="Arial"/>
          <w:sz w:val="18"/>
          <w:szCs w:val="18"/>
          <w:color w:val="auto"/>
        </w:rPr>
        <w:t>shares under the Year 2000 Stock Incentive Plan that have not yet vested. Includes 2,000 shares held by Mr. Warzala's children.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Amount of</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6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Directors, Nominees</w:t>
            </w:r>
          </w:p>
        </w:tc>
        <w:tc>
          <w:tcPr>
            <w:tcW w:w="180" w:type="dxa"/>
            <w:vAlign w:val="bottom"/>
          </w:tcPr>
          <w:p>
            <w:pPr>
              <w:spacing w:after="0"/>
              <w:rPr>
                <w:sz w:val="12"/>
                <w:szCs w:val="12"/>
                <w:color w:val="auto"/>
              </w:rPr>
            </w:pPr>
          </w:p>
        </w:tc>
        <w:tc>
          <w:tcPr>
            <w:tcW w:w="2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and Executive Officers</w:t>
            </w:r>
          </w:p>
        </w:tc>
        <w:tc>
          <w:tcPr>
            <w:tcW w:w="180" w:type="dxa"/>
            <w:vAlign w:val="bottom"/>
          </w:tcPr>
          <w:p>
            <w:pPr>
              <w:spacing w:after="0"/>
              <w:rPr>
                <w:sz w:val="15"/>
                <w:szCs w:val="15"/>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Beneficially Owned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67,750(2)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61,750(3)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44,250(4)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Eugene E. Prince</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870,384(5)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M. Robert</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249,407(6)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744,024(7)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541,108(8)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1"/>
        </w:trPr>
        <w:tc>
          <w:tcPr>
            <w:tcW w:w="6120" w:type="dxa"/>
            <w:vAlign w:val="bottom"/>
            <w:gridSpan w:val="3"/>
          </w:tcPr>
          <w:p>
            <w:pPr>
              <w:spacing w:after="0"/>
              <w:rPr>
                <w:sz w:val="20"/>
                <w:szCs w:val="20"/>
                <w:color w:val="auto"/>
              </w:rPr>
            </w:pPr>
            <w:r>
              <w:rPr>
                <w:rFonts w:ascii="Arial" w:cs="Arial" w:eastAsia="Arial" w:hAnsi="Arial"/>
                <w:sz w:val="18"/>
                <w:szCs w:val="18"/>
                <w:color w:val="auto"/>
              </w:rPr>
              <w:t>Kenneth R. Wyman</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53,865(9)</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 group</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2,632,538(10)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-2501265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-2501265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-2501265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-2501265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-2501265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left="540" w:right="260" w:hanging="532"/>
        <w:spacing w:after="0" w:line="30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percentages are based upon 6,373,351 shares of Common Stock outstanding as of the Record Date, except for certain beneficial owners who hold stock options. The percentage for each beneficial owner holding presently exercisable stock options is based upon the sum of 6,373,351 shares plus the number of shares subject to presently exercisable stock options held only by such beneficial owner, as indicated in the following notes.</w:t>
      </w:r>
    </w:p>
    <w:p>
      <w:pPr>
        <w:spacing w:after="0" w:line="174"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48,500 shares of Common Stock which Mr. Hock has the right to acquire upon the exercise of outstanding options and 1,250 shares of Common Stock granted as incentive restricted shares under the Year 2000 Stock Incentive Plan that have not yet vested.</w:t>
      </w:r>
    </w:p>
    <w:p>
      <w:pPr>
        <w:spacing w:after="0" w:line="199"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35,000 shares of Common Stock which Mr. Hubbard has the right to acquire upon the exercise of outstanding options and 1,250 shares of Common Stock granted as incentive restricted shares under the Year 2000 Stock Incentive Plan that have not yet vested.</w:t>
      </w:r>
    </w:p>
    <w:p>
      <w:pPr>
        <w:spacing w:after="0" w:line="166" w:lineRule="exact"/>
        <w:rPr>
          <w:rFonts w:ascii="Arial" w:cs="Arial" w:eastAsia="Arial" w:hAnsi="Arial"/>
          <w:sz w:val="16"/>
          <w:szCs w:val="16"/>
          <w:color w:val="auto"/>
        </w:rPr>
      </w:pPr>
    </w:p>
    <w:p>
      <w:pPr>
        <w:ind w:left="540" w:right="56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35,000 shares of Common Stock which Mr. Pilmanis has the right to acquire upon the exercise of outstanding options and 1,250 shares of Common Stock granted as incentive restricted shares under the Year 2000 Stock Incentive Plan that have not yet vested.</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38" w:lineRule="exact"/>
        <w:rPr>
          <w:rFonts w:ascii="Arial" w:cs="Arial" w:eastAsia="Arial" w:hAnsi="Arial"/>
          <w:sz w:val="18"/>
          <w:szCs w:val="18"/>
          <w:color w:val="auto"/>
        </w:rPr>
      </w:pPr>
    </w:p>
    <w:p>
      <w:pPr>
        <w:ind w:left="540" w:hanging="532"/>
        <w:spacing w:after="0" w:line="305"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40,000 shares of Common Stock which Mr. Robert has the right to acquire upon the exercise of outstanding options and 1,250 shares of Common Stock granted as incentive restricted shares under the Year 2000 Stock Incentive Plan that have not yet vested. Includes 158,157 shares held by</w:t>
      </w:r>
    </w:p>
    <w:p>
      <w:pPr>
        <w:ind w:left="540"/>
        <w:spacing w:after="0"/>
        <w:rPr>
          <w:rFonts w:ascii="Arial" w:cs="Arial" w:eastAsia="Arial" w:hAnsi="Arial"/>
          <w:sz w:val="15"/>
          <w:szCs w:val="15"/>
          <w:color w:val="auto"/>
        </w:rPr>
      </w:pPr>
      <w:r>
        <w:rPr>
          <w:rFonts w:ascii="Arial" w:cs="Arial" w:eastAsia="Arial" w:hAnsi="Arial"/>
          <w:sz w:val="18"/>
          <w:szCs w:val="18"/>
          <w:color w:val="auto"/>
        </w:rPr>
        <w:t>Mr. Robert's IRA. Includes 50,000 shares held by Mr. Robert's childrens' trusts, of which Mr. Robert's wife is a co-trustee.</w:t>
      </w:r>
    </w:p>
    <w:p>
      <w:pPr>
        <w:spacing w:after="0" w:line="245" w:lineRule="exact"/>
        <w:rPr>
          <w:rFonts w:ascii="Arial" w:cs="Arial" w:eastAsia="Arial" w:hAnsi="Arial"/>
          <w:sz w:val="15"/>
          <w:szCs w:val="15"/>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(5) under "Security Ownership of Certain Beneficial Owners."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50,000 shares of Common Stock which Mr. Wyman has the right to acquire upon the exercise of outstanding options.</w:t>
      </w:r>
    </w:p>
    <w:p>
      <w:pPr>
        <w:spacing w:after="0" w:line="238"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(i) 1,172,000 shares of Common Stock which directors and executive officers have the right to acquire upon the exercise of outstanding options; (ii) 36,250 shares of Common Stock granted to directors and executive officers as incentive restricted shares under the Year 2000 Stock Incentive Plan that have not yet vested; and (iii) 185,541 shares of Common Stock held by the ESOP as to which Mr. Smith has shared investment power as trustee of the ESOP, which includes 8,169 shares of Common Stock held by the ESOP for the account of Mr. Smith.</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2005.</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OF THE COMPANY'S ARTICLES OF INCORPORATION</w:t>
      </w:r>
    </w:p>
    <w:p>
      <w:pPr>
        <w:spacing w:after="0" w:line="219"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Board of Directors has approved, and recommends to the shareholders, the adoption of an amendment to our Articles of Incorporation to delete the provisions fixing the number of directors of the Company currently set forth in Section 9.1 of the Articles of Incorporation.</w:t>
      </w:r>
    </w:p>
    <w:p>
      <w:pPr>
        <w:spacing w:after="0" w:line="139"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Article 9.1 of the Company's Articles of Incorporation, as well as Section 3.2 of the Company's Bylaws, currently provides that the number of directors constituting our Board of Directors shall be no fewer than three (3) nor more than six (6). We propose to delete this restriction. The reason for the proposed amendment is to give our Board of Directors the discretionary authority to increase its number of members. It might be advisable in the context of an acquisition of another company for a representative of that company to be on our Board of Directors or it might be advisable at some time to appoint persons with special knowledge and experience to the Board. We believe that this restriction should be deleted so that the Directors can determine the maximum and minimum size of the Company's Board of Directors without having to seek shareholder approval in the event that such number exceeds six or is less than three.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our shareholders approve this proposal, Section 9.1 of our Articles of Incorporation will be amended to read in its entirety as follows:</w:t>
      </w:r>
    </w:p>
    <w:p>
      <w:pPr>
        <w:spacing w:after="0" w:line="225"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Number.</w:t>
      </w:r>
      <w:r>
        <w:rPr>
          <w:rFonts w:ascii="Arial" w:cs="Arial" w:eastAsia="Arial" w:hAnsi="Arial"/>
          <w:sz w:val="18"/>
          <w:szCs w:val="18"/>
          <w:color w:val="auto"/>
        </w:rPr>
        <w:t xml:space="preserve"> The business and affairs of the Corporation shall be managed by a Board of Directors. The authorized number of directors of the Corporation may be stated in or fixed in accordance with the Bylaws of the Corporation, but shall never be less than the minimum number permitted by the general laws of the State of Colorado now or hereafter in force."</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our shareholders approve this proposal, the Board of Directors intends to amend our Bylaws to define the size of the Company's Board of Directors from no fewer than three and no more than nine. In addition, the Board of Directors will consider increasing the number of Directors on the Board and the appointment of Richard Warzala, our President and Chief Operating Officer, to fill that newly created vacancy at some future date.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2" w:name="page23"/>
    <w:bookmarkEnd w:id="22"/>
    <w:p>
      <w:pPr>
        <w:ind w:right="160" w:firstLine="348"/>
        <w:spacing w:after="0" w:line="268" w:lineRule="auto"/>
        <w:rPr>
          <w:sz w:val="20"/>
          <w:szCs w:val="20"/>
          <w:color w:val="auto"/>
        </w:rPr>
      </w:pPr>
      <w:r>
        <w:rPr>
          <w:rFonts w:ascii="Arial" w:cs="Arial" w:eastAsia="Arial" w:hAnsi="Arial"/>
          <w:sz w:val="18"/>
          <w:szCs w:val="18"/>
          <w:color w:val="auto"/>
        </w:rPr>
        <w:t>THE BOARD OF DIRECTORS UNANIMOUSLY RECOMMENDS A VOTE "FOR" THE PROPOSAL TO DELETE THE PROVISIONS FIXING THE NUMBER OF THE COMPANY'S DIRECTORS.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THREE: OTHER MATTERS</w:t>
      </w:r>
    </w:p>
    <w:p>
      <w:pPr>
        <w:spacing w:after="0" w:line="23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2006 Annual Meeting. However, if any other matters come before the Annual Meeting, it is the intention of the persons designated as proxies to vote in accordance with their judgment on such matters.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KPMG LLP served as the independent registered public accounting firm for the Company for the fiscal year ended December 31, 2005. A representative of KPMG LLP is expected to be present at the Annual Meeting and will have an opportunity to make a statement, if he so desires, and will be available to respond to appropriate questions.</w:t>
      </w:r>
    </w:p>
    <w:p>
      <w:pPr>
        <w:spacing w:after="0" w:line="194" w:lineRule="exact"/>
        <w:rPr>
          <w:sz w:val="20"/>
          <w:szCs w:val="20"/>
          <w:color w:val="auto"/>
        </w:rPr>
      </w:pPr>
    </w:p>
    <w:p>
      <w:pPr>
        <w:ind w:right="320" w:firstLine="348"/>
        <w:spacing w:after="0" w:line="323" w:lineRule="auto"/>
        <w:rPr>
          <w:sz w:val="20"/>
          <w:szCs w:val="20"/>
          <w:color w:val="auto"/>
        </w:rPr>
      </w:pPr>
      <w:r>
        <w:rPr>
          <w:rFonts w:ascii="Arial" w:cs="Arial" w:eastAsia="Arial" w:hAnsi="Arial"/>
          <w:sz w:val="15"/>
          <w:szCs w:val="15"/>
          <w:color w:val="auto"/>
        </w:rPr>
        <w:t>The Audit Committee has not selected the Company's independent registered public accounting firm for the year ending December 31, 2006. The Audit Committee annually reviews the performance of the Company's independent auditor and the fees charged for their services. The Audit Committee anticipates, from time to time, obtaining competitive proposals from other independent public accounting firms for our annual audit. Based upon the Audit Committee's analysis of this information, the Audit Committee will determine which independent public accounting firm to engage to perform our annual audit.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fees billed to the Company for the audit and other services provided by KPMG LLP related to years 2005 and 2004.</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r>
      <w:tr>
        <w:trPr>
          <w:trHeight w:val="105"/>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294,800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Audit-Related Fees(2)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43,800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39,900</w:t>
            </w:r>
          </w:p>
        </w:tc>
      </w:tr>
      <w:tr>
        <w:trPr>
          <w:trHeight w:val="112"/>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436,800</w:t>
            </w: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-1026160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-1026160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right="1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the Company's financial statements, review of the Company's quarterly financial statements and audit services provided in connection with other regulatory filings.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principally include fees for tax return preparation and tax consulting.</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fees were paid for due diligence assistance in acquisitions and various consulting services.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has adopted policies and procedures providing for the pre-approval of audit and non-audit services performed by the Company's independent auditor.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Audit Committee has considered whether the provision of services described above is compatible with maintaining the independence of KPMG LLP. The Audit Committee believes that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fees billed by KPMG LLP for the services described are compatible with KPMG LLP maintaining its independence as the Company's principal accountant.</w:t>
      </w:r>
    </w:p>
    <w:p>
      <w:pPr>
        <w:spacing w:after="0" w:line="200" w:lineRule="exact"/>
        <w:rPr>
          <w:sz w:val="20"/>
          <w:szCs w:val="20"/>
          <w:color w:val="auto"/>
        </w:rPr>
      </w:pPr>
    </w:p>
    <w:p>
      <w:pPr>
        <w:spacing w:after="0" w:line="25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2007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Any Company shareholder who wishes to submit a proposal for presentation at the Company's 2007 Annual Meeting of Shareholders must submit such proposal to the Company at its office at 23 Inverness Way East, Suite 150, Englewood, Colorado 80112, Attention: Secretary, no later than November 28, 2006, in order to be considered for inclusion, if appropriate, in the Company's proxy statement and form of proxy relating to its 2007 Annual Meeting of Shareholders.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2007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Based upon a meeting date of April 27, 2006 for the 2006 Annual Meeting of Shareholders, a qualified shareholder intending to introduce a proposal or nominate a director at the 2007 Annual Meeting of Shareholders should give written notice to the Company's Secretary not later than February 27, 2007 and not earlier than January 28, 2007.</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148590</wp:posOffset>
            </wp:positionV>
            <wp:extent cx="2418080" cy="3689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24,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April 27, 2006, and at all adjournments thereof, with respect to the following:</w:t>
      </w:r>
    </w:p>
    <w:p>
      <w:pPr>
        <w:spacing w:after="0" w:line="15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THE BOARD OF DIRECTORS RECOMMENDS A VOTE "FOR" EACH NOMINEE NAMED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To elect six directors to hold office until the next Annual Meeting of shareholders.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E. Prince, R. D. Smith, D. D. Hock, G.D. Hubbard, G. J. Pilmanis and M.M. Robert</w:t>
      </w:r>
    </w:p>
    <w:p>
      <w:pPr>
        <w:spacing w:after="0" w:line="23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080" w:right="8140" w:hanging="532"/>
        <w:spacing w:after="0" w:line="275" w:lineRule="auto"/>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all nominees</w:t>
      </w:r>
    </w:p>
    <w:p>
      <w:pPr>
        <w:spacing w:after="0" w:line="187" w:lineRule="exact"/>
        <w:rPr>
          <w:rFonts w:ascii="Arial" w:cs="Arial" w:eastAsia="Arial" w:hAnsi="Arial"/>
          <w:sz w:val="18"/>
          <w:szCs w:val="18"/>
          <w:b w:val="1"/>
          <w:bCs w:val="1"/>
          <w:color w:val="auto"/>
        </w:rPr>
      </w:pPr>
    </w:p>
    <w:p>
      <w:pPr>
        <w:ind w:left="1080" w:right="8560" w:hanging="532"/>
        <w:spacing w:after="0" w:line="339"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FOR ALL EXCEPT </w:t>
      </w:r>
      <w:r>
        <w:rPr>
          <w:rFonts w:ascii="Arial" w:cs="Arial" w:eastAsia="Arial" w:hAnsi="Arial"/>
          <w:sz w:val="16"/>
          <w:szCs w:val="16"/>
          <w:color w:val="auto"/>
        </w:rPr>
        <w:t>(See instructions below)</w:t>
      </w:r>
    </w:p>
    <w:p>
      <w:pPr>
        <w:spacing w:after="0" w:line="128" w:lineRule="exact"/>
        <w:rPr>
          <w:sz w:val="20"/>
          <w:szCs w:val="20"/>
          <w:color w:val="auto"/>
        </w:rPr>
      </w:pPr>
    </w:p>
    <w:p>
      <w:pPr>
        <w:ind w:left="540" w:right="200"/>
        <w:spacing w:after="0" w:line="339" w:lineRule="auto"/>
        <w:rPr>
          <w:sz w:val="20"/>
          <w:szCs w:val="20"/>
          <w:color w:val="auto"/>
        </w:rPr>
      </w:pPr>
      <w:r>
        <w:rPr>
          <w:rFonts w:ascii="Arial" w:cs="Arial" w:eastAsia="Arial" w:hAnsi="Arial"/>
          <w:sz w:val="16"/>
          <w:szCs w:val="16"/>
          <w:color w:val="auto"/>
        </w:rPr>
        <w:t xml:space="preserve">INSTRUCTIONS: To withhold authority to vote for any individual nominee, mark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and print that nominee's name in the space provided below. </w:t>
      </w:r>
      <w:r>
        <w:rPr>
          <w:rFonts w:ascii="Arial" w:cs="Arial" w:eastAsia="Arial" w:hAnsi="Arial"/>
          <w:sz w:val="16"/>
          <w:szCs w:val="16"/>
          <w:b w:val="1"/>
          <w:bCs w:val="1"/>
          <w:color w:val="auto"/>
        </w:rPr>
        <w:t>IF AUTHORITY 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Item 2. APPROVAL OF THE AMENDMENT TO SECTION 9.1 OF THE ARTICLES OF INCORPORATION</w:t>
      </w:r>
    </w:p>
    <w:p>
      <w:pPr>
        <w:spacing w:after="0" w:line="225" w:lineRule="exact"/>
        <w:rPr>
          <w:sz w:val="20"/>
          <w:szCs w:val="20"/>
          <w:color w:val="auto"/>
        </w:rPr>
      </w:pPr>
    </w:p>
    <w:p>
      <w:pPr>
        <w:ind w:left="3900"/>
        <w:spacing w:after="0"/>
        <w:tabs>
          <w:tab w:leader="none" w:pos="5060" w:val="left"/>
          <w:tab w:leader="none" w:pos="664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OTHER MATTERS—In the proxies discretion on such other business matters as may properly come before the Annual Meeting.</w:t>
      </w:r>
    </w:p>
    <w:p>
      <w:pPr>
        <w:spacing w:after="0" w:line="219"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the amendment to the Company's Articles of Incorporation in Item 2 and in the proxies' discretion on such other business as may properly come before the Annual Meeting.</w:t>
      </w:r>
    </w:p>
    <w:p>
      <w:pPr>
        <w:spacing w:after="0" w:line="200" w:lineRule="exact"/>
        <w:rPr>
          <w:sz w:val="20"/>
          <w:szCs w:val="20"/>
          <w:color w:val="auto"/>
        </w:rPr>
      </w:pPr>
    </w:p>
    <w:p>
      <w:pPr>
        <w:spacing w:after="0" w:line="212" w:lineRule="exact"/>
        <w:rPr>
          <w:sz w:val="20"/>
          <w:szCs w:val="20"/>
          <w:color w:val="auto"/>
        </w:rPr>
      </w:pPr>
    </w:p>
    <w:p>
      <w:pPr>
        <w:ind w:left="5500" w:right="20"/>
        <w:spacing w:after="0" w:line="259" w:lineRule="auto"/>
        <w:rPr>
          <w:sz w:val="20"/>
          <w:szCs w:val="20"/>
          <w:color w:val="auto"/>
        </w:rPr>
      </w:pPr>
      <w:r>
        <w:rPr>
          <w:rFonts w:ascii="Arial" w:cs="Arial" w:eastAsia="Arial" w:hAnsi="Arial"/>
          <w:sz w:val="18"/>
          <w:szCs w:val="18"/>
          <w:color w:val="auto"/>
        </w:rPr>
        <w:t>Your signature should appear exactly as your name appears on this Proxy.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212090</wp:posOffset>
            </wp:positionV>
            <wp:extent cx="376047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604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-41910</wp:posOffset>
            </wp:positionV>
            <wp:extent cx="32543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4375" cy="21590"/>
                    </a:xfrm>
                    <a:prstGeom prst="rect">
                      <a:avLst/>
                    </a:prstGeom>
                    <a:noFill/>
                  </pic:spPr>
                </pic:pic>
              </a:graphicData>
            </a:graphic>
          </wp:anchor>
        </w:drawing>
      </w:r>
    </w:p>
    <w:p>
      <w:pPr>
        <w:spacing w:after="0" w:line="259"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 2006</w:t>
            </w:r>
          </w:p>
        </w:tc>
      </w:tr>
      <w:tr>
        <w:trPr>
          <w:trHeight w:val="120"/>
        </w:trPr>
        <w:tc>
          <w:tcPr>
            <w:tcW w:w="8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o"/>
      <w:numFmt w:val="bullet"/>
      <w:start w:val="1"/>
    </w:lvl>
    <w:lvl w:ilvl="1">
      <w:lvlJc w:val="left"/>
      <w:lvlText w:val="(%2)"/>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8"/>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2019-12-13T01:48:17Z</dcterms:created>
  <dcterms:modified xsi:type="dcterms:W3CDTF">2019-12-13T01:48:17Z</dcterms:modified>
</cp:coreProperties>
</file>