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Winter Michael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ALLIENT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6400 MAIN STREET, 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WILLIAMSVILLE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14221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ALLIENT INC</w:t>
              </w:r>
            </w:hyperlink>
            <w:r>
              <w:rPr/>
              <w:t xml:space="preserve"> [ </w:t>
            </w:r>
            <w:r>
              <w:rPr>
                <w:rFonts w:ascii="Times;serif" w:hAnsi="Times;serif"/>
                <w:color w:val="0000FF"/>
                <w:sz w:val="24"/>
                <w:shd w:fill="FFFFFF" w:val="clear"/>
              </w:rPr>
              <w:t>ALNT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7"/>
        <w:gridCol w:w="909"/>
        <w:gridCol w:w="779"/>
        <w:gridCol w:w="604"/>
        <w:gridCol w:w="346"/>
        <w:gridCol w:w="789"/>
        <w:gridCol w:w="442"/>
        <w:gridCol w:w="842"/>
        <w:gridCol w:w="1146"/>
        <w:gridCol w:w="986"/>
        <w:gridCol w:w="11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39,611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109.27</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39,154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w:t>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108.97</w:t>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Individual 401(k)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Bona fide gift of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transferred 457 shares of Allient common stock from a taxable account to a non-taxable account. Internal Revenue Service rules provide that non-rollover contributions to an individual 401(k) plan may not be made by direct transfer of securities, therefore the Reporting Person's broker sold the shares into the open market and the proceeds of such sale were used to repurchase the stock in the open market. As a result of these transactions, the Reporting Person's sale and subsequent purchase of 457 shares of Allient common stock were matchable under Section 16(b) of the Securities Exchange Act of 1934. The Reporting Person has agreed to pay to Allient $137.10, representing the full amount of the profit realized in connection with the short-swing transaction.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C. Donlon, attorney-in-fact for Michael R. Winter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2951" TargetMode="External"/><Relationship Id="rId5" Type="http://schemas.openxmlformats.org/officeDocument/2006/relationships/hyperlink" Target="http://www.sec.gov/cgi-bin/browse-edgar?action=getcompany&amp;CIK=00000461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3880</Characters>
  <CharactersWithSpaces>4516</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