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ind w:left="780" w:right="3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ALLIED MOTION TECHNOLOGIES INC.</w:t>
      </w:r>
    </w:p>
    <w:p>
      <w:pPr>
        <w:spacing w:after="0" w:line="4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23 Inverness Way East, Suite 150</w:t>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Englewood, Colorado 80112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13,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Allied Motion Technologies Inc.:</w:t>
      </w:r>
    </w:p>
    <w:p>
      <w:pPr>
        <w:spacing w:after="0" w:line="225" w:lineRule="exact"/>
        <w:rPr>
          <w:sz w:val="20"/>
          <w:szCs w:val="20"/>
          <w:color w:val="auto"/>
        </w:rPr>
      </w:pPr>
    </w:p>
    <w:p>
      <w:pPr>
        <w:ind w:right="240" w:firstLine="345"/>
        <w:spacing w:after="0" w:line="259" w:lineRule="auto"/>
        <w:rPr>
          <w:sz w:val="20"/>
          <w:szCs w:val="20"/>
          <w:color w:val="auto"/>
        </w:rPr>
      </w:pPr>
      <w:r>
        <w:rPr>
          <w:rFonts w:ascii="Arial" w:cs="Arial" w:eastAsia="Arial" w:hAnsi="Arial"/>
          <w:sz w:val="18"/>
          <w:szCs w:val="18"/>
          <w:color w:val="auto"/>
        </w:rPr>
        <w:t>You are hereby notified that the 2010 Annual Meeting of Shareholders of Allied Motion Technologies Inc. (the "Company") will be held on Thursday, May 13, 2010 at 2:00 p.m. (Mountain Time) at the Inverness Hotel and Conference Center, 200 Inverness Drive West, Englewood, CO 80112. At this meeting, the shareholders will be asked to act on the following matters: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consider an amendment to the Company's Articles of Incorporation for the purpose of changing the voting requirements for the election of directors;</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consider an amendment to the Company's 2007 Stock Incentive Plan to increase the number of Common Stock authorized for issuance under the plan by 600,000 shares and to increase the number of shares that may be granted to any one participant during a calendar year;</w:t>
      </w:r>
    </w:p>
    <w:p>
      <w:pPr>
        <w:spacing w:after="0" w:line="152"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consider the appointment of Ehrhardt Keefe Steiner &amp; Hottman PC ("EKS&amp;H") as the Company's independent registered public accounting firm for the 2010 fiscal year;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2010 Annual Meeting or any adjournment thereof.</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Only shareholders of record at the close of business on March 17, 2010 are entitled to notice of and to vote at the 2010 Annual Meeting and any adjournment thereof.</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2010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 xml:space="preserve">Recently, rule changes were enacted changing how shares held for you in an account with a broker or other nominee (shares held in "street name") are voted in director elections. If your shares are held in street name and YOU do not vote your shares on Proposal One (Election of Directors) and Proposal Two (Amendment to the Articles), your broker or other nominee can no longer vote them for you and your shares will remain unvoted. </w:t>
      </w:r>
      <w:r>
        <w:rPr>
          <w:rFonts w:ascii="Arial" w:cs="Arial" w:eastAsia="Arial" w:hAnsi="Arial"/>
          <w:sz w:val="18"/>
          <w:szCs w:val="18"/>
          <w:b w:val="1"/>
          <w:bCs w:val="1"/>
          <w:color w:val="auto"/>
        </w:rPr>
        <w:t>THEREFORE, IT IS VERY</w:t>
      </w:r>
      <w:r>
        <w:rPr>
          <w:rFonts w:ascii="Arial" w:cs="Arial" w:eastAsia="Arial" w:hAnsi="Arial"/>
          <w:sz w:val="18"/>
          <w:szCs w:val="18"/>
          <w:color w:val="auto"/>
        </w:rPr>
        <w:t xml:space="preserve"> </w:t>
      </w:r>
      <w:r>
        <w:rPr>
          <w:rFonts w:ascii="Arial" w:cs="Arial" w:eastAsia="Arial" w:hAnsi="Arial"/>
          <w:sz w:val="18"/>
          <w:szCs w:val="18"/>
          <w:b w:val="1"/>
          <w:bCs w:val="1"/>
          <w:color w:val="auto"/>
        </w:rPr>
        <w:t>IMPORTANT THAT YOU VOTE YOUR SHARES FOR ALL PROPOSALS.</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165735</wp:posOffset>
            </wp:positionV>
            <wp:extent cx="241808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March 19, 2010</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Important Notice Regarding the Internet Availability of Proxy Materials: This Proxy Statement and the Company's Annual Report are available on the Internet at https://materials.proxyvote.com/019330.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40" w:type="dxa"/>
            <w:vAlign w:val="bottom"/>
            <w:gridSpan w:val="39"/>
            <w:vMerge w:val="restart"/>
          </w:tcPr>
          <w:p>
            <w:pPr>
              <w:spacing w:after="0"/>
              <w:rPr>
                <w:rFonts w:ascii="Arial" w:cs="Arial" w:eastAsia="Arial" w:hAnsi="Arial"/>
                <w:sz w:val="18"/>
                <w:szCs w:val="18"/>
                <w:b w:val="1"/>
                <w:bCs w:val="1"/>
                <w:color w:val="0000EE"/>
                <w:w w:val="96"/>
              </w:rPr>
            </w:pPr>
            <w:hyperlink w:anchor="page6">
              <w:r>
                <w:rPr>
                  <w:rFonts w:ascii="Arial" w:cs="Arial" w:eastAsia="Arial" w:hAnsi="Arial"/>
                  <w:sz w:val="18"/>
                  <w:szCs w:val="18"/>
                  <w:b w:val="1"/>
                  <w:bCs w:val="1"/>
                  <w:color w:val="0000EE"/>
                  <w:w w:val="96"/>
                </w:rPr>
                <w:t>QUESTIONS AND ANSWERS ABOUT THE 2010 ANNUAL MEETING</w:t>
              </w:r>
            </w:hyperlink>
          </w:p>
        </w:tc>
        <w:tc>
          <w:tcPr>
            <w:tcW w:w="3260" w:type="dxa"/>
            <w:vAlign w:val="bottom"/>
            <w:gridSpan w:val="3"/>
            <w:vMerge w:val="restart"/>
          </w:tcPr>
          <w:p>
            <w:pPr>
              <w:spacing w:after="0"/>
              <w:rPr>
                <w:sz w:val="14"/>
                <w:szCs w:val="14"/>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5540" w:type="dxa"/>
            <w:vAlign w:val="bottom"/>
            <w:gridSpan w:val="39"/>
            <w:vMerge w:val="continue"/>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20" w:type="dxa"/>
            <w:vAlign w:val="bottom"/>
            <w:gridSpan w:val="11"/>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Why did I receive this proxy?</w:t>
              </w:r>
            </w:hyperlink>
          </w:p>
        </w:tc>
        <w:tc>
          <w:tcPr>
            <w:tcW w:w="3180" w:type="dxa"/>
            <w:vAlign w:val="bottom"/>
            <w:gridSpan w:val="27"/>
          </w:tcPr>
          <w:p>
            <w:pPr>
              <w:spacing w:after="0"/>
              <w:rPr>
                <w:sz w:val="17"/>
                <w:szCs w:val="17"/>
                <w:color w:val="auto"/>
              </w:rPr>
            </w:pPr>
          </w:p>
        </w:tc>
        <w:tc>
          <w:tcPr>
            <w:tcW w:w="326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20" w:type="dxa"/>
            <w:vAlign w:val="bottom"/>
            <w:gridSpan w:val="11"/>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Who is entitled to vote?</w:t>
              </w:r>
            </w:hyperlink>
          </w:p>
        </w:tc>
        <w:tc>
          <w:tcPr>
            <w:tcW w:w="6440" w:type="dxa"/>
            <w:vAlign w:val="bottom"/>
            <w:gridSpan w:val="3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What is the quorum for the Annual Meeting?</w:t>
              </w:r>
            </w:hyperlink>
          </w:p>
        </w:tc>
        <w:tc>
          <w:tcPr>
            <w:tcW w:w="52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many votes do I have?</w:t>
              </w:r>
            </w:hyperlink>
          </w:p>
        </w:tc>
        <w:tc>
          <w:tcPr>
            <w:tcW w:w="52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120" w:type="dxa"/>
            <w:vAlign w:val="bottom"/>
            <w:gridSpan w:val="40"/>
          </w:tcPr>
          <w:p>
            <w:pPr>
              <w:spacing w:after="0" w:line="196" w:lineRule="exact"/>
              <w:rPr>
                <w:rFonts w:ascii="Arial" w:cs="Arial" w:eastAsia="Arial" w:hAnsi="Arial"/>
                <w:sz w:val="18"/>
                <w:szCs w:val="18"/>
                <w:b w:val="1"/>
                <w:bCs w:val="1"/>
                <w:color w:val="0000EE"/>
                <w:w w:val="86"/>
              </w:rPr>
            </w:pPr>
            <w:hyperlink w:anchor="page6">
              <w:r>
                <w:rPr>
                  <w:rFonts w:ascii="Arial" w:cs="Arial" w:eastAsia="Arial" w:hAnsi="Arial"/>
                  <w:sz w:val="18"/>
                  <w:szCs w:val="18"/>
                  <w:b w:val="1"/>
                  <w:bCs w:val="1"/>
                  <w:color w:val="0000EE"/>
                  <w:w w:val="86"/>
                </w:rPr>
                <w:t>What is the difference between a shareholder of record and a beneficial owner of shares held in street name?</w:t>
              </w:r>
            </w:hyperlink>
          </w:p>
        </w:tc>
        <w:tc>
          <w:tcPr>
            <w:tcW w:w="54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900" w:type="dxa"/>
            <w:vAlign w:val="bottom"/>
            <w:gridSpan w:val="34"/>
          </w:tcPr>
          <w:p>
            <w:pPr>
              <w:spacing w:after="0" w:line="196" w:lineRule="exact"/>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If I am a shareholder of record of Common Stock, how do I vote?</w:t>
              </w:r>
            </w:hyperlink>
          </w:p>
        </w:tc>
        <w:tc>
          <w:tcPr>
            <w:tcW w:w="322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300" w:type="dxa"/>
            <w:vAlign w:val="bottom"/>
            <w:gridSpan w:val="37"/>
          </w:tcPr>
          <w:p>
            <w:pPr>
              <w:spacing w:after="0" w:line="196" w:lineRule="exact"/>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If I am a beneficial owner of shares held in street name, how do I vote?</w:t>
              </w:r>
            </w:hyperlink>
          </w:p>
        </w:tc>
        <w:tc>
          <w:tcPr>
            <w:tcW w:w="336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300" w:type="dxa"/>
            <w:vAlign w:val="bottom"/>
            <w:gridSpan w:val="37"/>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What am I voting on?</w:t>
              </w:r>
            </w:hyperlink>
          </w:p>
        </w:tc>
        <w:tc>
          <w:tcPr>
            <w:tcW w:w="336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b w:val="1"/>
                <w:bCs w:val="1"/>
                <w:color w:val="0000EE"/>
                <w:w w:val="85"/>
              </w:rPr>
            </w:pPr>
            <w:hyperlink w:anchor="page7">
              <w:r>
                <w:rPr>
                  <w:rFonts w:ascii="Arial" w:cs="Arial" w:eastAsia="Arial" w:hAnsi="Arial"/>
                  <w:sz w:val="18"/>
                  <w:szCs w:val="18"/>
                  <w:b w:val="1"/>
                  <w:bCs w:val="1"/>
                  <w:color w:val="0000EE"/>
                  <w:w w:val="85"/>
                </w:rPr>
                <w:t>Will there be any other items of business on the agenda?</w:t>
              </w:r>
            </w:hyperlink>
          </w:p>
        </w:tc>
        <w:tc>
          <w:tcPr>
            <w:tcW w:w="444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40" w:type="dxa"/>
            <w:vAlign w:val="bottom"/>
            <w:gridSpan w:val="29"/>
          </w:tcPr>
          <w:p>
            <w:pPr>
              <w:spacing w:after="0" w:line="196"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How many votes are required to act on the proposals?</w:t>
              </w:r>
            </w:hyperlink>
          </w:p>
        </w:tc>
        <w:tc>
          <w:tcPr>
            <w:tcW w:w="180" w:type="dxa"/>
            <w:vAlign w:val="bottom"/>
          </w:tcPr>
          <w:p>
            <w:pPr>
              <w:spacing w:after="0"/>
              <w:rPr>
                <w:sz w:val="17"/>
                <w:szCs w:val="17"/>
                <w:color w:val="auto"/>
              </w:rPr>
            </w:pPr>
          </w:p>
        </w:tc>
        <w:tc>
          <w:tcPr>
            <w:tcW w:w="444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80" w:type="dxa"/>
            <w:vAlign w:val="bottom"/>
            <w:gridSpan w:val="6"/>
          </w:tcPr>
          <w:p>
            <w:pPr>
              <w:spacing w:after="0" w:line="196" w:lineRule="exact"/>
              <w:rPr>
                <w:rFonts w:ascii="Arial" w:cs="Arial" w:eastAsia="Arial" w:hAnsi="Arial"/>
                <w:sz w:val="18"/>
                <w:szCs w:val="18"/>
                <w:b w:val="1"/>
                <w:bCs w:val="1"/>
                <w:color w:val="0000EE"/>
                <w:w w:val="83"/>
              </w:rPr>
            </w:pPr>
            <w:hyperlink w:anchor="page8">
              <w:r>
                <w:rPr>
                  <w:rFonts w:ascii="Arial" w:cs="Arial" w:eastAsia="Arial" w:hAnsi="Arial"/>
                  <w:sz w:val="18"/>
                  <w:szCs w:val="18"/>
                  <w:b w:val="1"/>
                  <w:bCs w:val="1"/>
                  <w:color w:val="0000EE"/>
                  <w:w w:val="83"/>
                </w:rPr>
                <w:t>How are votes counted?</w:t>
              </w:r>
            </w:hyperlink>
          </w:p>
        </w:tc>
        <w:tc>
          <w:tcPr>
            <w:tcW w:w="2260" w:type="dxa"/>
            <w:vAlign w:val="bottom"/>
            <w:gridSpan w:val="23"/>
          </w:tcPr>
          <w:p>
            <w:pPr>
              <w:spacing w:after="0"/>
              <w:rPr>
                <w:sz w:val="17"/>
                <w:szCs w:val="17"/>
                <w:color w:val="auto"/>
              </w:rPr>
            </w:pPr>
          </w:p>
        </w:tc>
        <w:tc>
          <w:tcPr>
            <w:tcW w:w="4620" w:type="dxa"/>
            <w:vAlign w:val="bottom"/>
            <w:gridSpan w:val="1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What happens if I return my proxy card without voting on all proposals?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460" w:type="dxa"/>
            <w:vAlign w:val="bottom"/>
            <w:gridSpan w:val="39"/>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Can I change my vote after I return my proxy card?</w:t>
              </w:r>
            </w:hyperlink>
          </w:p>
        </w:tc>
        <w:tc>
          <w:tcPr>
            <w:tcW w:w="320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900" w:type="dxa"/>
            <w:vAlign w:val="bottom"/>
            <w:gridSpan w:val="27"/>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Will anyone contact me regarding this vote?</w:t>
              </w:r>
            </w:hyperlink>
          </w:p>
        </w:tc>
        <w:tc>
          <w:tcPr>
            <w:tcW w:w="4760" w:type="dxa"/>
            <w:vAlign w:val="bottom"/>
            <w:gridSpan w:val="1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040" w:type="dxa"/>
            <w:vAlign w:val="bottom"/>
            <w:gridSpan w:val="20"/>
          </w:tcPr>
          <w:p>
            <w:pPr>
              <w:spacing w:after="0" w:line="196" w:lineRule="exact"/>
              <w:rPr>
                <w:rFonts w:ascii="Arial" w:cs="Arial" w:eastAsia="Arial" w:hAnsi="Arial"/>
                <w:sz w:val="18"/>
                <w:szCs w:val="18"/>
                <w:b w:val="1"/>
                <w:bCs w:val="1"/>
                <w:color w:val="0000EE"/>
                <w:w w:val="86"/>
              </w:rPr>
            </w:pPr>
            <w:hyperlink w:anchor="page9">
              <w:r>
                <w:rPr>
                  <w:rFonts w:ascii="Arial" w:cs="Arial" w:eastAsia="Arial" w:hAnsi="Arial"/>
                  <w:sz w:val="18"/>
                  <w:szCs w:val="18"/>
                  <w:b w:val="1"/>
                  <w:bCs w:val="1"/>
                  <w:color w:val="0000EE"/>
                  <w:w w:val="86"/>
                </w:rPr>
                <w:t>Who has paid for this proxy solicitation?</w:t>
              </w:r>
            </w:hyperlink>
          </w:p>
        </w:tc>
        <w:tc>
          <w:tcPr>
            <w:tcW w:w="260" w:type="dxa"/>
            <w:vAlign w:val="bottom"/>
            <w:gridSpan w:val="2"/>
          </w:tcPr>
          <w:p>
            <w:pPr>
              <w:spacing w:after="0"/>
              <w:rPr>
                <w:sz w:val="17"/>
                <w:szCs w:val="17"/>
                <w:color w:val="auto"/>
              </w:rPr>
            </w:pPr>
          </w:p>
        </w:tc>
        <w:tc>
          <w:tcPr>
            <w:tcW w:w="5360" w:type="dxa"/>
            <w:vAlign w:val="bottom"/>
            <w:gridSpan w:val="19"/>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220" w:type="dxa"/>
            <w:vAlign w:val="bottom"/>
            <w:gridSpan w:val="30"/>
          </w:tcPr>
          <w:p>
            <w:pPr>
              <w:spacing w:after="0" w:line="196" w:lineRule="exact"/>
              <w:rPr>
                <w:rFonts w:ascii="Arial" w:cs="Arial" w:eastAsia="Arial" w:hAnsi="Arial"/>
                <w:sz w:val="18"/>
                <w:szCs w:val="18"/>
                <w:b w:val="1"/>
                <w:bCs w:val="1"/>
                <w:color w:val="0000EE"/>
                <w:w w:val="86"/>
              </w:rPr>
            </w:pPr>
            <w:hyperlink w:anchor="page9">
              <w:r>
                <w:rPr>
                  <w:rFonts w:ascii="Arial" w:cs="Arial" w:eastAsia="Arial" w:hAnsi="Arial"/>
                  <w:sz w:val="18"/>
                  <w:szCs w:val="18"/>
                  <w:b w:val="1"/>
                  <w:bCs w:val="1"/>
                  <w:color w:val="0000EE"/>
                  <w:w w:val="86"/>
                </w:rPr>
                <w:t>May shareholders ask questions at the Annual Meeting?</w:t>
              </w:r>
            </w:hyperlink>
          </w:p>
        </w:tc>
        <w:tc>
          <w:tcPr>
            <w:tcW w:w="444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How can I obtain a copy of this year's Annual Report on Form 10-K?</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180" w:type="dxa"/>
            <w:vAlign w:val="bottom"/>
            <w:gridSpan w:val="36"/>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What does it mean if I receive more than one proxy card?</w:t>
              </w:r>
            </w:hyperlink>
          </w:p>
        </w:tc>
        <w:tc>
          <w:tcPr>
            <w:tcW w:w="348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000" w:type="dxa"/>
            <w:vAlign w:val="bottom"/>
            <w:gridSpan w:val="19"/>
          </w:tcPr>
          <w:p>
            <w:pPr>
              <w:spacing w:after="0" w:line="196" w:lineRule="exact"/>
              <w:rPr>
                <w:rFonts w:ascii="Arial" w:cs="Arial" w:eastAsia="Arial" w:hAnsi="Arial"/>
                <w:sz w:val="18"/>
                <w:szCs w:val="18"/>
                <w:b w:val="1"/>
                <w:bCs w:val="1"/>
                <w:color w:val="0000EE"/>
                <w:w w:val="87"/>
              </w:rPr>
            </w:pPr>
            <w:hyperlink w:anchor="page9">
              <w:r>
                <w:rPr>
                  <w:rFonts w:ascii="Arial" w:cs="Arial" w:eastAsia="Arial" w:hAnsi="Arial"/>
                  <w:sz w:val="18"/>
                  <w:szCs w:val="18"/>
                  <w:b w:val="1"/>
                  <w:bCs w:val="1"/>
                  <w:color w:val="0000EE"/>
                  <w:w w:val="87"/>
                </w:rPr>
                <w:t>When was this proxy statement mailed?</w:t>
              </w:r>
            </w:hyperlink>
          </w:p>
        </w:tc>
        <w:tc>
          <w:tcPr>
            <w:tcW w:w="1300" w:type="dxa"/>
            <w:vAlign w:val="bottom"/>
            <w:gridSpan w:val="12"/>
          </w:tcPr>
          <w:p>
            <w:pPr>
              <w:spacing w:after="0"/>
              <w:rPr>
                <w:sz w:val="17"/>
                <w:szCs w:val="17"/>
                <w:color w:val="auto"/>
              </w:rPr>
            </w:pPr>
          </w:p>
        </w:tc>
        <w:tc>
          <w:tcPr>
            <w:tcW w:w="4360" w:type="dxa"/>
            <w:vAlign w:val="bottom"/>
            <w:gridSpan w:val="1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Can I find additional information on the Company's website?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5"/>
          </w:tcPr>
          <w:p>
            <w:pPr>
              <w:spacing w:after="0" w:line="196" w:lineRule="exact"/>
              <w:rPr>
                <w:rFonts w:ascii="Arial" w:cs="Arial" w:eastAsia="Arial" w:hAnsi="Arial"/>
                <w:sz w:val="18"/>
                <w:szCs w:val="18"/>
                <w:b w:val="1"/>
                <w:bCs w:val="1"/>
                <w:color w:val="0000EE"/>
                <w:w w:val="97"/>
              </w:rPr>
            </w:pPr>
            <w:hyperlink w:anchor="page10">
              <w:r>
                <w:rPr>
                  <w:rFonts w:ascii="Arial" w:cs="Arial" w:eastAsia="Arial" w:hAnsi="Arial"/>
                  <w:sz w:val="18"/>
                  <w:szCs w:val="18"/>
                  <w:b w:val="1"/>
                  <w:bCs w:val="1"/>
                  <w:color w:val="0000EE"/>
                  <w:w w:val="97"/>
                </w:rPr>
                <w:t>PROPOSAL ONE: ELECTION OF DIRECTORS</w:t>
              </w:r>
            </w:hyperlink>
          </w:p>
        </w:tc>
        <w:tc>
          <w:tcPr>
            <w:tcW w:w="500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60" w:type="dxa"/>
            <w:vAlign w:val="bottom"/>
            <w:gridSpan w:val="24"/>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Nominees for Election as Directors</w:t>
              </w:r>
            </w:hyperlink>
          </w:p>
        </w:tc>
        <w:tc>
          <w:tcPr>
            <w:tcW w:w="5000" w:type="dxa"/>
            <w:vAlign w:val="bottom"/>
            <w:gridSpan w:val="1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80" w:type="dxa"/>
            <w:vAlign w:val="bottom"/>
            <w:gridSpan w:val="6"/>
          </w:tcPr>
          <w:p>
            <w:pPr>
              <w:spacing w:after="0" w:line="196" w:lineRule="exact"/>
              <w:rPr>
                <w:rFonts w:ascii="Arial" w:cs="Arial" w:eastAsia="Arial" w:hAnsi="Arial"/>
                <w:sz w:val="18"/>
                <w:szCs w:val="18"/>
                <w:b w:val="1"/>
                <w:bCs w:val="1"/>
                <w:color w:val="0000EE"/>
                <w:w w:val="85"/>
              </w:rPr>
            </w:pPr>
            <w:hyperlink w:anchor="page11">
              <w:r>
                <w:rPr>
                  <w:rFonts w:ascii="Arial" w:cs="Arial" w:eastAsia="Arial" w:hAnsi="Arial"/>
                  <w:sz w:val="18"/>
                  <w:szCs w:val="18"/>
                  <w:b w:val="1"/>
                  <w:bCs w:val="1"/>
                  <w:color w:val="0000EE"/>
                  <w:w w:val="85"/>
                </w:rPr>
                <w:t>Nominating Procedures</w:t>
              </w:r>
            </w:hyperlink>
          </w:p>
        </w:tc>
        <w:tc>
          <w:tcPr>
            <w:tcW w:w="820" w:type="dxa"/>
            <w:vAlign w:val="bottom"/>
            <w:gridSpan w:val="10"/>
          </w:tcPr>
          <w:p>
            <w:pPr>
              <w:spacing w:after="0"/>
              <w:rPr>
                <w:sz w:val="17"/>
                <w:szCs w:val="17"/>
                <w:color w:val="auto"/>
              </w:rPr>
            </w:pPr>
          </w:p>
        </w:tc>
        <w:tc>
          <w:tcPr>
            <w:tcW w:w="6060" w:type="dxa"/>
            <w:vAlign w:val="bottom"/>
            <w:gridSpan w:val="2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Board Leadership Structure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00" w:type="dxa"/>
            <w:vAlign w:val="bottom"/>
            <w:gridSpan w:val="5"/>
          </w:tcPr>
          <w:p>
            <w:pPr>
              <w:spacing w:after="0" w:line="196" w:lineRule="exact"/>
              <w:rPr>
                <w:rFonts w:ascii="Arial" w:cs="Arial" w:eastAsia="Arial" w:hAnsi="Arial"/>
                <w:sz w:val="18"/>
                <w:szCs w:val="18"/>
                <w:b w:val="1"/>
                <w:bCs w:val="1"/>
                <w:color w:val="0000EE"/>
                <w:w w:val="86"/>
              </w:rPr>
            </w:pPr>
            <w:hyperlink w:anchor="page12">
              <w:r>
                <w:rPr>
                  <w:rFonts w:ascii="Arial" w:cs="Arial" w:eastAsia="Arial" w:hAnsi="Arial"/>
                  <w:sz w:val="18"/>
                  <w:szCs w:val="18"/>
                  <w:b w:val="1"/>
                  <w:bCs w:val="1"/>
                  <w:color w:val="0000EE"/>
                  <w:w w:val="86"/>
                </w:rPr>
                <w:t>Independent Directors</w:t>
              </w:r>
            </w:hyperlink>
          </w:p>
        </w:tc>
        <w:tc>
          <w:tcPr>
            <w:tcW w:w="420" w:type="dxa"/>
            <w:vAlign w:val="bottom"/>
            <w:gridSpan w:val="5"/>
          </w:tcPr>
          <w:p>
            <w:pPr>
              <w:spacing w:after="0"/>
              <w:rPr>
                <w:sz w:val="17"/>
                <w:szCs w:val="17"/>
                <w:color w:val="auto"/>
              </w:rPr>
            </w:pPr>
          </w:p>
        </w:tc>
        <w:tc>
          <w:tcPr>
            <w:tcW w:w="6540" w:type="dxa"/>
            <w:vAlign w:val="bottom"/>
            <w:gridSpan w:val="3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line="196"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Risk Oversight</w:t>
              </w:r>
            </w:hyperlink>
          </w:p>
        </w:tc>
        <w:tc>
          <w:tcPr>
            <w:tcW w:w="560" w:type="dxa"/>
            <w:vAlign w:val="bottom"/>
            <w:gridSpan w:val="4"/>
          </w:tcPr>
          <w:p>
            <w:pPr>
              <w:spacing w:after="0"/>
              <w:rPr>
                <w:sz w:val="17"/>
                <w:szCs w:val="17"/>
                <w:color w:val="auto"/>
              </w:rPr>
            </w:pPr>
          </w:p>
        </w:tc>
        <w:tc>
          <w:tcPr>
            <w:tcW w:w="6960" w:type="dxa"/>
            <w:vAlign w:val="bottom"/>
            <w:gridSpan w:val="3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22"/>
          </w:tcPr>
          <w:p>
            <w:pPr>
              <w:spacing w:after="0" w:line="196"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BOARD COMMITTEES AND MEETINGS</w:t>
              </w:r>
            </w:hyperlink>
          </w:p>
        </w:tc>
        <w:tc>
          <w:tcPr>
            <w:tcW w:w="5460" w:type="dxa"/>
            <w:vAlign w:val="bottom"/>
            <w:gridSpan w:val="2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200" w:type="dxa"/>
            <w:vAlign w:val="bottom"/>
            <w:gridSpan w:val="21"/>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Audit Committee</w:t>
              </w:r>
            </w:hyperlink>
          </w:p>
        </w:tc>
        <w:tc>
          <w:tcPr>
            <w:tcW w:w="5460" w:type="dxa"/>
            <w:vAlign w:val="bottom"/>
            <w:gridSpan w:val="20"/>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960" w:type="dxa"/>
            <w:vAlign w:val="bottom"/>
            <w:gridSpan w:val="8"/>
          </w:tcPr>
          <w:p>
            <w:pPr>
              <w:spacing w:after="0" w:line="196" w:lineRule="exact"/>
              <w:rPr>
                <w:rFonts w:ascii="Arial" w:cs="Arial" w:eastAsia="Arial" w:hAnsi="Arial"/>
                <w:sz w:val="18"/>
                <w:szCs w:val="18"/>
                <w:b w:val="1"/>
                <w:bCs w:val="1"/>
                <w:color w:val="0000EE"/>
                <w:w w:val="86"/>
              </w:rPr>
            </w:pPr>
            <w:hyperlink w:anchor="page13">
              <w:r>
                <w:rPr>
                  <w:rFonts w:ascii="Arial" w:cs="Arial" w:eastAsia="Arial" w:hAnsi="Arial"/>
                  <w:sz w:val="18"/>
                  <w:szCs w:val="18"/>
                  <w:b w:val="1"/>
                  <w:bCs w:val="1"/>
                  <w:color w:val="0000EE"/>
                  <w:w w:val="86"/>
                </w:rPr>
                <w:t>Compensation Committee</w:t>
              </w:r>
            </w:hyperlink>
          </w:p>
        </w:tc>
        <w:tc>
          <w:tcPr>
            <w:tcW w:w="6700" w:type="dxa"/>
            <w:vAlign w:val="bottom"/>
            <w:gridSpan w:val="3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Governance and Nominating Committee</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300" w:type="dxa"/>
            <w:vAlign w:val="bottom"/>
            <w:gridSpan w:val="12"/>
          </w:tcPr>
          <w:p>
            <w:pPr>
              <w:spacing w:after="0" w:line="196" w:lineRule="exact"/>
              <w:rPr>
                <w:rFonts w:ascii="Arial" w:cs="Arial" w:eastAsia="Arial" w:hAnsi="Arial"/>
                <w:sz w:val="18"/>
                <w:szCs w:val="18"/>
                <w:b w:val="1"/>
                <w:bCs w:val="1"/>
                <w:color w:val="0000EE"/>
                <w:w w:val="87"/>
              </w:rPr>
            </w:pPr>
            <w:hyperlink w:anchor="page14">
              <w:r>
                <w:rPr>
                  <w:rFonts w:ascii="Arial" w:cs="Arial" w:eastAsia="Arial" w:hAnsi="Arial"/>
                  <w:sz w:val="18"/>
                  <w:szCs w:val="18"/>
                  <w:b w:val="1"/>
                  <w:bCs w:val="1"/>
                  <w:color w:val="0000EE"/>
                  <w:w w:val="87"/>
                </w:rPr>
                <w:t>Board Attendance at Meetings</w:t>
              </w:r>
            </w:hyperlink>
          </w:p>
        </w:tc>
        <w:tc>
          <w:tcPr>
            <w:tcW w:w="740" w:type="dxa"/>
            <w:vAlign w:val="bottom"/>
            <w:gridSpan w:val="8"/>
          </w:tcPr>
          <w:p>
            <w:pPr>
              <w:spacing w:after="0"/>
              <w:rPr>
                <w:sz w:val="17"/>
                <w:szCs w:val="17"/>
                <w:color w:val="auto"/>
              </w:rPr>
            </w:pPr>
          </w:p>
        </w:tc>
        <w:tc>
          <w:tcPr>
            <w:tcW w:w="5620" w:type="dxa"/>
            <w:vAlign w:val="bottom"/>
            <w:gridSpan w:val="21"/>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3"/>
          </w:tcPr>
          <w:p>
            <w:pPr>
              <w:spacing w:after="0" w:line="196" w:lineRule="exact"/>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Shareholder Communication With the Board</w:t>
              </w:r>
            </w:hyperlink>
          </w:p>
        </w:tc>
        <w:tc>
          <w:tcPr>
            <w:tcW w:w="52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880" w:type="dxa"/>
            <w:vAlign w:val="bottom"/>
            <w:gridSpan w:val="7"/>
          </w:tcPr>
          <w:p>
            <w:pPr>
              <w:spacing w:after="0" w:line="196" w:lineRule="exact"/>
              <w:rPr>
                <w:rFonts w:ascii="Arial" w:cs="Arial" w:eastAsia="Arial" w:hAnsi="Arial"/>
                <w:sz w:val="18"/>
                <w:szCs w:val="18"/>
                <w:b w:val="1"/>
                <w:bCs w:val="1"/>
                <w:color w:val="0000EE"/>
                <w:w w:val="89"/>
              </w:rPr>
            </w:pPr>
            <w:hyperlink w:anchor="page14">
              <w:r>
                <w:rPr>
                  <w:rFonts w:ascii="Arial" w:cs="Arial" w:eastAsia="Arial" w:hAnsi="Arial"/>
                  <w:sz w:val="18"/>
                  <w:szCs w:val="18"/>
                  <w:b w:val="1"/>
                  <w:bCs w:val="1"/>
                  <w:color w:val="0000EE"/>
                  <w:w w:val="89"/>
                </w:rPr>
                <w:t>Audit Committee Report</w:t>
              </w:r>
            </w:hyperlink>
          </w:p>
        </w:tc>
        <w:tc>
          <w:tcPr>
            <w:tcW w:w="1520" w:type="dxa"/>
            <w:vAlign w:val="bottom"/>
            <w:gridSpan w:val="16"/>
          </w:tcPr>
          <w:p>
            <w:pPr>
              <w:spacing w:after="0"/>
              <w:rPr>
                <w:sz w:val="17"/>
                <w:szCs w:val="17"/>
                <w:color w:val="auto"/>
              </w:rPr>
            </w:pPr>
          </w:p>
        </w:tc>
        <w:tc>
          <w:tcPr>
            <w:tcW w:w="526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EXECUTIVE COMPENSATION</w:t>
              </w:r>
            </w:hyperlink>
          </w:p>
        </w:tc>
        <w:tc>
          <w:tcPr>
            <w:tcW w:w="6260" w:type="dxa"/>
            <w:vAlign w:val="bottom"/>
            <w:gridSpan w:val="27"/>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15">
              <w:r>
                <w:rPr>
                  <w:rFonts w:ascii="Arial" w:cs="Arial" w:eastAsia="Arial" w:hAnsi="Arial"/>
                  <w:sz w:val="16"/>
                  <w:szCs w:val="16"/>
                  <w:b w:val="1"/>
                  <w:bCs w:val="1"/>
                  <w:color w:val="0000EE"/>
                  <w:w w:val="78"/>
                </w:rPr>
                <w:t>10</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Executive Officers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10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Compensation of Executive Officers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340" w:type="dxa"/>
            <w:vAlign w:val="bottom"/>
            <w:gridSpan w:val="1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960" w:type="dxa"/>
            <w:vAlign w:val="bottom"/>
            <w:gridSpan w:val="35"/>
          </w:tcPr>
          <w:p>
            <w:pPr>
              <w:spacing w:after="0" w:line="196"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Employment Agreements With Certain Named Executive Officers</w:t>
              </w:r>
            </w:hyperlink>
          </w:p>
        </w:tc>
        <w:tc>
          <w:tcPr>
            <w:tcW w:w="370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340" w:type="dxa"/>
            <w:vAlign w:val="bottom"/>
            <w:gridSpan w:val="1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34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7"/>
              </w:rPr>
            </w:pPr>
            <w:hyperlink w:anchor="page18">
              <w:r>
                <w:rPr>
                  <w:rFonts w:ascii="Arial" w:cs="Arial" w:eastAsia="Arial" w:hAnsi="Arial"/>
                  <w:sz w:val="18"/>
                  <w:szCs w:val="18"/>
                  <w:b w:val="1"/>
                  <w:bCs w:val="1"/>
                  <w:color w:val="0000EE"/>
                  <w:w w:val="87"/>
                </w:rPr>
                <w:t>Change in Control Agreements</w:t>
              </w:r>
            </w:hyperlink>
          </w:p>
        </w:tc>
        <w:tc>
          <w:tcPr>
            <w:tcW w:w="2620" w:type="dxa"/>
            <w:vAlign w:val="bottom"/>
            <w:gridSpan w:val="22"/>
          </w:tcPr>
          <w:p>
            <w:pPr>
              <w:spacing w:after="0"/>
              <w:rPr>
                <w:sz w:val="17"/>
                <w:szCs w:val="17"/>
                <w:color w:val="auto"/>
              </w:rPr>
            </w:pPr>
          </w:p>
        </w:tc>
        <w:tc>
          <w:tcPr>
            <w:tcW w:w="370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18">
              <w:r>
                <w:rPr>
                  <w:rFonts w:ascii="Arial" w:cs="Arial" w:eastAsia="Arial" w:hAnsi="Arial"/>
                  <w:sz w:val="16"/>
                  <w:szCs w:val="16"/>
                  <w:b w:val="1"/>
                  <w:bCs w:val="1"/>
                  <w:color w:val="0000EE"/>
                  <w:w w:val="78"/>
                </w:rPr>
                <w:t>13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Outstanding Equity Awards at 2009 Fiscal Year End</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14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920" w:type="dxa"/>
            <w:vAlign w:val="bottom"/>
            <w:tcBorders>
              <w:top w:val="single" w:sz="8" w:color="0000EE"/>
            </w:tcBorders>
            <w:gridSpan w:val="28"/>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Option Exercises and Stock Vested in 2009</w:t>
              </w:r>
            </w:hyperlink>
          </w:p>
        </w:tc>
        <w:tc>
          <w:tcPr>
            <w:tcW w:w="4740" w:type="dxa"/>
            <w:vAlign w:val="bottom"/>
            <w:gridSpan w:val="13"/>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b w:val="1"/>
                <w:bCs w:val="1"/>
                <w:color w:val="0000EE"/>
                <w:w w:val="78"/>
              </w:rPr>
            </w:pPr>
            <w:hyperlink w:anchor="page19">
              <w:r>
                <w:rPr>
                  <w:rFonts w:ascii="Arial" w:cs="Arial" w:eastAsia="Arial" w:hAnsi="Arial"/>
                  <w:sz w:val="16"/>
                  <w:szCs w:val="16"/>
                  <w:b w:val="1"/>
                  <w:bCs w:val="1"/>
                  <w:color w:val="0000EE"/>
                  <w:w w:val="78"/>
                </w:rPr>
                <w:t>14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200" w:type="dxa"/>
            <w:vAlign w:val="bottom"/>
            <w:tcBorders>
              <w:top w:val="single" w:sz="8" w:color="0000EE"/>
            </w:tcBorders>
            <w:gridSpan w:val="21"/>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Director Compensation for 2009</w:t>
              </w:r>
            </w:hyperlink>
          </w:p>
        </w:tc>
        <w:tc>
          <w:tcPr>
            <w:tcW w:w="5460" w:type="dxa"/>
            <w:vAlign w:val="bottom"/>
            <w:gridSpan w:val="20"/>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0000EE"/>
            </w:tcBorders>
            <w:gridSpan w:val="2"/>
          </w:tcPr>
          <w:p>
            <w:pPr>
              <w:jc w:val="right"/>
              <w:spacing w:after="0"/>
              <w:rPr>
                <w:rFonts w:ascii="Arial" w:cs="Arial" w:eastAsia="Arial" w:hAnsi="Arial"/>
                <w:sz w:val="16"/>
                <w:szCs w:val="16"/>
                <w:b w:val="1"/>
                <w:bCs w:val="1"/>
                <w:color w:val="0000EE"/>
                <w:w w:val="78"/>
              </w:rPr>
            </w:pPr>
            <w:hyperlink w:anchor="page19">
              <w:r>
                <w:rPr>
                  <w:rFonts w:ascii="Arial" w:cs="Arial" w:eastAsia="Arial" w:hAnsi="Arial"/>
                  <w:sz w:val="16"/>
                  <w:szCs w:val="16"/>
                  <w:b w:val="1"/>
                  <w:bCs w:val="1"/>
                  <w:color w:val="0000EE"/>
                  <w:w w:val="78"/>
                </w:rPr>
                <w:t>14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420" w:type="dxa"/>
            <w:vAlign w:val="bottom"/>
            <w:gridSpan w:val="15"/>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OWNERSHIP OF COMPANY STOCK</w:t>
              </w:r>
            </w:hyperlink>
          </w:p>
        </w:tc>
        <w:tc>
          <w:tcPr>
            <w:tcW w:w="5800" w:type="dxa"/>
            <w:vAlign w:val="bottom"/>
            <w:gridSpan w:val="23"/>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21">
              <w:r>
                <w:rPr>
                  <w:rFonts w:ascii="Arial" w:cs="Arial" w:eastAsia="Arial" w:hAnsi="Arial"/>
                  <w:sz w:val="16"/>
                  <w:szCs w:val="16"/>
                  <w:b w:val="1"/>
                  <w:bCs w:val="1"/>
                  <w:color w:val="0000EE"/>
                  <w:w w:val="78"/>
                </w:rPr>
                <w:t>16</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660" w:type="dxa"/>
            <w:vAlign w:val="bottom"/>
            <w:gridSpan w:val="41"/>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Security Ownership of Certain Beneficial Owners</w:t>
              </w:r>
            </w:hyperlink>
          </w:p>
        </w:tc>
        <w:tc>
          <w:tcPr>
            <w:tcW w:w="340" w:type="dxa"/>
            <w:vAlign w:val="bottom"/>
            <w:gridSpan w:val="3"/>
          </w:tcPr>
          <w:p>
            <w:pPr>
              <w:jc w:val="right"/>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16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720" w:type="dxa"/>
            <w:vAlign w:val="bottom"/>
            <w:gridSpan w:val="2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80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Security Ownership of Management and Directors</w:t>
              </w:r>
            </w:hyperlink>
          </w:p>
        </w:tc>
        <w:tc>
          <w:tcPr>
            <w:tcW w:w="486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22">
              <w:r>
                <w:rPr>
                  <w:rFonts w:ascii="Arial" w:cs="Arial" w:eastAsia="Arial" w:hAnsi="Arial"/>
                  <w:sz w:val="16"/>
                  <w:szCs w:val="16"/>
                  <w:b w:val="1"/>
                  <w:bCs w:val="1"/>
                  <w:color w:val="0000EE"/>
                  <w:w w:val="78"/>
                </w:rPr>
                <w:t>17</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38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Section 16(a) Beneficial Ownership Reporting Compliance</w:t>
              </w:r>
            </w:hyperlink>
          </w:p>
        </w:tc>
        <w:tc>
          <w:tcPr>
            <w:tcW w:w="428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78"/>
              </w:rPr>
            </w:pPr>
            <w:hyperlink w:anchor="page23">
              <w:r>
                <w:rPr>
                  <w:rFonts w:ascii="Arial" w:cs="Arial" w:eastAsia="Arial" w:hAnsi="Arial"/>
                  <w:sz w:val="16"/>
                  <w:szCs w:val="16"/>
                  <w:b w:val="1"/>
                  <w:bCs w:val="1"/>
                  <w:color w:val="0000EE"/>
                  <w:w w:val="78"/>
                </w:rPr>
                <w:t>18</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15"/>
            <w:vMerge w:val="restart"/>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TWO: TO APPROVE AN AMENDMENT TO THE COMPANY'S ARTICLES OF</w:t>
              </w:r>
            </w:hyperlink>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15"/>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8"/>
              </w:rPr>
            </w:pPr>
            <w:hyperlink w:anchor="page23">
              <w:r>
                <w:rPr>
                  <w:rFonts w:ascii="Arial" w:cs="Arial" w:eastAsia="Arial" w:hAnsi="Arial"/>
                  <w:sz w:val="18"/>
                  <w:szCs w:val="18"/>
                  <w:b w:val="1"/>
                  <w:bCs w:val="1"/>
                  <w:color w:val="0000EE"/>
                  <w:w w:val="98"/>
                </w:rPr>
                <w:t>INCORPORATION TO ADOPT A MAJORITY VOTE STANDARD IN UNCONTESTED ELECTIONS OF</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8"/>
              </w:rPr>
            </w:pPr>
            <w:hyperlink w:anchor="page23">
              <w:r>
                <w:rPr>
                  <w:rFonts w:ascii="Arial" w:cs="Arial" w:eastAsia="Arial" w:hAnsi="Arial"/>
                  <w:sz w:val="18"/>
                  <w:szCs w:val="18"/>
                  <w:b w:val="1"/>
                  <w:bCs w:val="1"/>
                  <w:color w:val="0000EE"/>
                  <w:w w:val="98"/>
                </w:rPr>
                <w:t>DIRECTORS AND A PLURALITY VOTE STANDARD IN CONTESTED ELECTIONS OF DIRECTORS</w:t>
              </w:r>
            </w:hyperlink>
          </w:p>
        </w:tc>
        <w:tc>
          <w:tcPr>
            <w:tcW w:w="5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23">
              <w:r>
                <w:rPr>
                  <w:rFonts w:ascii="Arial" w:cs="Arial" w:eastAsia="Arial" w:hAnsi="Arial"/>
                  <w:sz w:val="18"/>
                  <w:szCs w:val="18"/>
                  <w:b w:val="1"/>
                  <w:bCs w:val="1"/>
                  <w:color w:val="0000EE"/>
                  <w:w w:val="79"/>
                </w:rPr>
                <w:t>18</w:t>
              </w:r>
            </w:hyperlink>
          </w:p>
        </w:tc>
        <w:tc>
          <w:tcPr>
            <w:tcW w:w="0" w:type="dxa"/>
            <w:vAlign w:val="bottom"/>
          </w:tcPr>
          <w:p>
            <w:pPr>
              <w:spacing w:after="0"/>
              <w:rPr>
                <w:sz w:val="1"/>
                <w:szCs w:val="1"/>
                <w:color w:val="auto"/>
              </w:rPr>
            </w:pPr>
          </w:p>
        </w:tc>
      </w:tr>
      <w:tr>
        <w:trPr>
          <w:trHeight w:val="196"/>
        </w:trPr>
        <w:tc>
          <w:tcPr>
            <w:tcW w:w="83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7"/>
              </w:rPr>
            </w:pPr>
            <w:hyperlink w:anchor="page24">
              <w:r>
                <w:rPr>
                  <w:rFonts w:ascii="Arial" w:cs="Arial" w:eastAsia="Arial" w:hAnsi="Arial"/>
                  <w:sz w:val="18"/>
                  <w:szCs w:val="18"/>
                  <w:b w:val="1"/>
                  <w:bCs w:val="1"/>
                  <w:color w:val="0000EE"/>
                  <w:w w:val="97"/>
                </w:rPr>
                <w:t>PROPOSAL THREE: TO APPROVE AN AMENDMENT TO THE COMPANY'S 2007 STOCK INCENTIVE</w:t>
              </w:r>
            </w:hyperlink>
          </w:p>
        </w:tc>
        <w:tc>
          <w:tcPr>
            <w:tcW w:w="5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13"/>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PLAN</w:t>
              </w:r>
            </w:hyperlink>
          </w:p>
        </w:tc>
        <w:tc>
          <w:tcPr>
            <w:tcW w:w="340" w:type="dxa"/>
            <w:vAlign w:val="bottom"/>
            <w:gridSpan w:val="2"/>
          </w:tcPr>
          <w:p>
            <w:pPr>
              <w:jc w:val="right"/>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19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15"/>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PROPOSAL FOUR: RATIFICATION OF INDEPENDENT REGISTERED PUBLIC ACCOUNTING FIRM</w:t>
              </w:r>
            </w:hyperlink>
          </w:p>
        </w:tc>
        <w:tc>
          <w:tcPr>
            <w:tcW w:w="340" w:type="dxa"/>
            <w:vAlign w:val="bottom"/>
            <w:gridSpan w:val="2"/>
          </w:tcPr>
          <w:p>
            <w:pPr>
              <w:jc w:val="right"/>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25</w:t>
              </w:r>
            </w:hyperlink>
          </w:p>
        </w:tc>
        <w:tc>
          <w:tcPr>
            <w:tcW w:w="0" w:type="dxa"/>
            <w:vAlign w:val="bottom"/>
          </w:tcPr>
          <w:p>
            <w:pPr>
              <w:spacing w:after="0"/>
              <w:rPr>
                <w:sz w:val="1"/>
                <w:szCs w:val="1"/>
                <w:color w:val="auto"/>
              </w:rPr>
            </w:pPr>
          </w:p>
        </w:tc>
      </w:tr>
      <w:tr>
        <w:trPr>
          <w:trHeight w:val="196"/>
        </w:trPr>
        <w:tc>
          <w:tcPr>
            <w:tcW w:w="818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MATTERS</w:t>
              </w:r>
            </w:hyperlink>
          </w:p>
        </w:tc>
        <w:tc>
          <w:tcPr>
            <w:tcW w:w="6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26</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SHAREHOLDER PROPOSALS FOR THE 2011 ANNUAL MEETING</w:t>
              </w:r>
            </w:hyperlink>
          </w:p>
        </w:tc>
        <w:tc>
          <w:tcPr>
            <w:tcW w:w="34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26</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3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Proposals for the Company's Proxy Material</w:t>
              </w:r>
            </w:hyperlink>
          </w:p>
        </w:tc>
        <w:tc>
          <w:tcPr>
            <w:tcW w:w="530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26</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02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Proposals to be Introduced at the Annual Meeting but not Intended to be Included in the Company's Proxy</w:t>
              </w:r>
            </w:hyperlink>
          </w:p>
        </w:tc>
        <w:tc>
          <w:tcPr>
            <w:tcW w:w="64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94"/>
              </w:rPr>
            </w:pPr>
            <w:hyperlink w:anchor="page31">
              <w:r>
                <w:rPr>
                  <w:rFonts w:ascii="Arial" w:cs="Arial" w:eastAsia="Arial" w:hAnsi="Arial"/>
                  <w:sz w:val="18"/>
                  <w:szCs w:val="18"/>
                  <w:b w:val="1"/>
                  <w:bCs w:val="1"/>
                  <w:color w:val="0000EE"/>
                  <w:w w:val="94"/>
                </w:rPr>
                <w:t>Material</w:t>
              </w:r>
            </w:hyperlink>
          </w:p>
        </w:tc>
        <w:tc>
          <w:tcPr>
            <w:tcW w:w="782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b w:val="1"/>
                <w:bCs w:val="1"/>
                <w:color w:val="0000EE"/>
                <w:w w:val="79"/>
              </w:rPr>
            </w:pPr>
            <w:hyperlink w:anchor="page31">
              <w:r>
                <w:rPr>
                  <w:rFonts w:ascii="Arial" w:cs="Arial" w:eastAsia="Arial" w:hAnsi="Arial"/>
                  <w:sz w:val="18"/>
                  <w:szCs w:val="18"/>
                  <w:b w:val="1"/>
                  <w:bCs w:val="1"/>
                  <w:color w:val="0000EE"/>
                  <w:w w:val="79"/>
                </w:rPr>
                <w:t>26</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ABOUT THE 2010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Thursday, May 13, 2010,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shareholders of record as of the close of business on Wednesday, March 17, 2010 (the "Record Date") are entitled to vote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7,730,482 shares of Common Stock were issued and outstanding.</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shareholder of record and a beneficial owner of shares held in street name?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are registered directly in your name with the Company's transfer agent, American Stock Transfer &amp; Trust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considered the shareholder of record with respect to those shares.</w:t>
      </w:r>
    </w:p>
    <w:p>
      <w:pPr>
        <w:spacing w:after="0" w:line="186"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w:t>
      </w:r>
      <w:r>
        <w:rPr>
          <w:rFonts w:ascii="Arial" w:cs="Arial" w:eastAsia="Arial" w:hAnsi="Arial"/>
          <w:sz w:val="15"/>
          <w:szCs w:val="15"/>
          <w:i w:val="1"/>
          <w:iCs w:val="1"/>
          <w:color w:val="auto"/>
        </w:rPr>
        <w:t xml:space="preserve"> </w:t>
      </w:r>
      <w:r>
        <w:rPr>
          <w:rFonts w:ascii="Arial" w:cs="Arial" w:eastAsia="Arial" w:hAnsi="Arial"/>
          <w:sz w:val="15"/>
          <w:szCs w:val="15"/>
          <w:color w:val="auto"/>
        </w:rPr>
        <w:t>organization, 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shareholder of record of Common Stock, how do I vote?</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you are a shareholder of record, you may vote by mailing a completed proxy card. To vote by mailing a proxy card, please sign and return the enclosed proxy card in the enclosed prepaid and self-addressed envelope and your shares will be voted at the Annual Meeting in the manner you</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directed. You may also vote your shares in person at the Annual Meeting. If you are a shareholder of record, you may request a ballot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beneficial owner of shares held in street name, how do I vote?</w:t>
      </w:r>
    </w:p>
    <w:p>
      <w:pPr>
        <w:spacing w:after="0" w:line="231"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If you are the beneficial owner of shares are held in street name, you will receive instructions from the brokerage firm, bank, broker-dealer or other similar organization (the "record holder") that must be followed for the record holder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Recent changes in regulation were made to take away the ability of your bank or broker to vote your uninstructed shares in the election of directors on a discretionary basis. Thus, if you hold your shares in street name and do not instruct your bank or broker how to vote in the election of directors, no votes will be cast on your behalf.</w:t>
      </w:r>
    </w:p>
    <w:p>
      <w:pPr>
        <w:spacing w:after="0" w:line="194"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color w:val="auto"/>
        </w:rPr>
        <w:t>Your bank or broker will, however, continue to have discretion to vote any uninstructed shares on the appointment of EKS&amp;H (Proposal Four). They will not have discretion to vote uninstructed shares on the election of directors (Proposal One), on the approval of the amendment to the Company's Articles of Incorporation (Proposal Two) and on the approval of the amendment of the 2007 Stock Incentive Plan (Proposal Three). Please ensure that you complete the voting instruction card sent by your bank or broker.</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your shares are held in street name and you wish to vote in person at the Annual Meeting, you must obtain a proxy issued in your name from the record holder and bring it with you to the meeting. We recommend that you vote your shares in advance as described above so that your vote will be counted if you later decide not to attend the Annual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be voting on the following proposals:</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One: The election of seven Directors of the Company</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Two: An amendment to the Company's Articles of Incorporation for the purpose of changing the voting requirements for the election of directors</w:t>
      </w:r>
    </w:p>
    <w:p>
      <w:pPr>
        <w:spacing w:after="0" w:line="199"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Proposal Three: An amendment to the Company's 2007 Stock Incentive Plan to increase the number of Common Stock authorized for issuance under the plan by 600,000 shares and to increase the number of shares that may be granted to any one participant during a calendar year</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Proposal Four: The ratification of EKS&amp;H as the Company's independent registered public accounting firm for the 2010 fiscal year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Pursuant to our Articles of Incorporation and Bylaws, directors will be elected by the affirmative vote of the holders of two-thirds of the shares of Common Stock entitled to vote at the Annual Meeting with each share being voted for as many individuals as there are directors to be elected and for whose election the share is entitled to vote.</w:t>
      </w:r>
    </w:p>
    <w:p>
      <w:pPr>
        <w:spacing w:after="0" w:line="194"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Approval of the amendment to the Articles of Incorporation requires the affirmative vote of the holders of two-thirds of the shares of Common Stock entitled to vote at the Annual Meeting.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of the amendment to the 2007 Stock Incentive Plan requires the affirmative vote of a majority of the votes cast on the proposal.</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Ratification of the appointment of EKS&amp;H as the Company's independent registered public accounting firm for the 2010 fiscal year requires the affirmative vote of a majority of the votes cast on the proposal.</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Proposal One regarding the Election of Directors and Proposal Two regarding the Amendment to the Articles of Incorporation require the approving vote to be measured against all shares of Common Stock entitled to vote. An abstention or withholding authority from the vote on Proposal One or Proposal Two is the equivalent of a vote against the election of the nominated director and against the Amendment to the Articles of Incorporation.</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For purposes of Proposals Three and Four, abstentions and broker non-votes will not be counted as affirmative or negative in determining the number of shares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When the proxy is properly executed and returned, the shares it represents will be voted at the Annual Meeting in accordance with your directions. If the signed card is returned with no direction on a proposal, the proxy will be voted in favor of (FOR) that Proposal.</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King &amp; Co., Inc. to aid in the solicitation of proxies in person, by mail or telephone. The costs are not expected to exceed $6,500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paid the entire expense of this proxy statement and any additional materials furnished to shareholders.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31" w:lineRule="exact"/>
        <w:rPr>
          <w:sz w:val="20"/>
          <w:szCs w:val="20"/>
          <w:color w:val="auto"/>
        </w:rPr>
      </w:pPr>
    </w:p>
    <w:p>
      <w:pPr>
        <w:ind w:right="20" w:firstLine="341"/>
        <w:spacing w:after="0" w:line="284" w:lineRule="auto"/>
        <w:rPr>
          <w:sz w:val="20"/>
          <w:szCs w:val="20"/>
          <w:color w:val="auto"/>
        </w:rPr>
      </w:pPr>
      <w:r>
        <w:rPr>
          <w:rFonts w:ascii="Arial" w:cs="Arial" w:eastAsia="Arial" w:hAnsi="Arial"/>
          <w:sz w:val="16"/>
          <w:szCs w:val="16"/>
          <w:color w:val="auto"/>
        </w:rPr>
        <w:t>A copy of the Company's 2009 Annual Report to Shareholders, including financial statements for the fiscal year ended December 31, 2009,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23 Inverness Way East,</w:t>
      </w:r>
    </w:p>
    <w:p>
      <w:pPr>
        <w:spacing w:after="0" w:line="1"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Suite 150, Englewood, Colorado 80112, Attention: Secretary or by accessing the "SEC Filings" section of the Company's website at www.alliedmotion.com. In addition, the Proxy Statement and Annual Report are available on the internet at https://materials.proxyvote.com/019330.</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It means that you have multiple accounts at the transfer agent or with stockbrokers. Please complete and return </w:t>
      </w:r>
      <w:r>
        <w:rPr>
          <w:rFonts w:ascii="Arial" w:cs="Arial" w:eastAsia="Arial" w:hAnsi="Arial"/>
          <w:sz w:val="18"/>
          <w:szCs w:val="18"/>
          <w:i w:val="1"/>
          <w:iCs w:val="1"/>
          <w:color w:val="auto"/>
        </w:rPr>
        <w:t>ALL</w:t>
      </w:r>
      <w:r>
        <w:rPr>
          <w:rFonts w:ascii="Arial" w:cs="Arial" w:eastAsia="Arial" w:hAnsi="Arial"/>
          <w:sz w:val="18"/>
          <w:szCs w:val="18"/>
          <w:color w:val="auto"/>
        </w:rPr>
        <w:t xml:space="preserve"> proxy cards to ensure that all your shares are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March 22, 2010.</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31"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ONE: ELECTION OF DIRECTORS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Board of Directors currently consists of Delwin D. Hock, Graydon D. Hubbard, George J. Pilmanis, Michel M. Robert, S.R. (Rollie) Heath, Jr., Richard D. Smith and Richard S. Warzala. Based on the recommendation of our Governance and Nominating Committee, 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instructed otherwise, it is intended that the shares represented by proxy at the Annual Meeting will be voted in favor of the seven nominees named below. All nominees have agreed to serve if elected.</w:t>
      </w:r>
    </w:p>
    <w:p>
      <w:pPr>
        <w:spacing w:after="0" w:line="17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3"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THAT SHAREHOLDERS VOTE "FOR" THE ELECTION OF EACH OF THE NOMINEES.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biographies of each of the director nominees below contains information regarding that person's principal occupation, positions held with the Company, service as a director, business experience, other 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91" w:lineRule="exact"/>
        <w:rPr>
          <w:sz w:val="20"/>
          <w:szCs w:val="20"/>
          <w:color w:val="auto"/>
        </w:rPr>
      </w:pPr>
    </w:p>
    <w:p>
      <w:pPr>
        <w:ind w:right="180" w:firstLine="351"/>
        <w:spacing w:after="0" w:line="296" w:lineRule="auto"/>
        <w:rPr>
          <w:sz w:val="20"/>
          <w:szCs w:val="20"/>
          <w:color w:val="auto"/>
        </w:rPr>
      </w:pPr>
      <w:r>
        <w:rPr>
          <w:rFonts w:ascii="Arial" w:cs="Arial" w:eastAsia="Arial" w:hAnsi="Arial"/>
          <w:sz w:val="16"/>
          <w:szCs w:val="16"/>
          <w:b w:val="1"/>
          <w:bCs w:val="1"/>
          <w:i w:val="1"/>
          <w:iCs w:val="1"/>
          <w:color w:val="auto"/>
        </w:rPr>
        <w:t>S.R. (Rollie) Heath, Jr.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72—Mr. Heath has served as a director of the Company since August 2007. He is a recognized civic and business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Colorado, currently serving as State Senator from District 18. He is also founding partner of NorthStone Group, a company that advises and educates boards of directors and executive teams on leadership development and decision making. Mr. Heath has extensive knowledge of, and experience with, the manufacturing industry. Mr. Heath spent 17 years in senior management with Johns Manville Corporation and later became the chairman, CEO and a co-founder of Ponderosa Industries, a precision metal parts manufacturing company.</w:t>
      </w:r>
    </w:p>
    <w:p>
      <w:pPr>
        <w:spacing w:after="0" w:line="16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Delwin D. Hock</w:t>
      </w:r>
      <w:r>
        <w:rPr>
          <w:rFonts w:ascii="Arial" w:cs="Arial" w:eastAsia="Arial" w:hAnsi="Arial"/>
          <w:sz w:val="18"/>
          <w:szCs w:val="18"/>
          <w:color w:val="auto"/>
        </w:rPr>
        <w:t>, age 75—Mr. Hock has served as a director of the Company since February 1997 and was Chairman of the Board of Directors from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to May 2009. In May 2009, Mr. Hock was appointed Lead Director of the Independent Directors. Mr. Hock has many years of executive management experience.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Graydon D. Hubbard</w:t>
      </w:r>
      <w:r>
        <w:rPr>
          <w:rFonts w:ascii="Arial" w:cs="Arial" w:eastAsia="Arial" w:hAnsi="Arial"/>
          <w:sz w:val="18"/>
          <w:szCs w:val="18"/>
          <w:color w:val="auto"/>
        </w:rPr>
        <w:t>, age 76—Mr. Hubbard has served as a director of the Company since 1991. Mr. Hubbard has significant management experience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with regard to accounting and financial matters and satisfies the SEC requirements of an audit committee financial expert. He is a retired certified public accountant and was a partner of Arthur Andersen LLP, the Company's former independent public accountants, in its Denver office for more than five years prior to his retirement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November 1989. Since September 2003, he has served as a director of Whiting Petroleum Corporation, chairman of its audit committee and is a member of its compensation committee. Whiting is an independent oil and gas company engaged in acquisition, exploitation, exploration and development.</w:t>
      </w:r>
    </w:p>
    <w:p>
      <w:pPr>
        <w:spacing w:after="0" w:line="139"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b w:val="1"/>
          <w:bCs w:val="1"/>
          <w:i w:val="1"/>
          <w:iCs w:val="1"/>
          <w:color w:val="auto"/>
        </w:rPr>
        <w:t>George J. Pilmanis</w:t>
      </w:r>
      <w:r>
        <w:rPr>
          <w:rFonts w:ascii="Arial" w:cs="Arial" w:eastAsia="Arial" w:hAnsi="Arial"/>
          <w:sz w:val="18"/>
          <w:szCs w:val="18"/>
          <w:color w:val="auto"/>
        </w:rPr>
        <w:t>, age 72—Mr. Pilmanis has served as a director of the Company since 1993. Mr. Pilmanis has an extensive background in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and business development. For more than five years prior to his retirement in April 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97"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b w:val="1"/>
          <w:bCs w:val="1"/>
          <w:i w:val="1"/>
          <w:iCs w:val="1"/>
          <w:color w:val="auto"/>
        </w:rPr>
        <w:t>Michel M. Robert</w:t>
      </w:r>
      <w:r>
        <w:rPr>
          <w:rFonts w:ascii="Arial" w:cs="Arial" w:eastAsia="Arial" w:hAnsi="Arial"/>
          <w:sz w:val="15"/>
          <w:szCs w:val="15"/>
          <w:color w:val="auto"/>
        </w:rPr>
        <w:t>, age 68—Mr. Robert has served as a director of the Company since July 2004. Mr. Robert has many years of experience in guiding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manufacturing and public companies in developing their driving force, identifying critical issues and deploying strategies to address the issues. He founded Decision Processes International, Inc. (DPI) in 1980 to provide consulting services in the field of strategy development and deployment. He is currently Chief Executive Officer and President of DPI. Mr. Robert has been published in a wide array of business magazines and journals and has authored several books.</w:t>
      </w:r>
    </w:p>
    <w:p>
      <w:pPr>
        <w:spacing w:after="0" w:line="15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62—Mr. Smith has served as a director of the Company since August 1996 and as Executive Chairman of the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May 2009. Mr. Smith has broad executive management experience with the Company and extensive knowledge and experience in accounting and financial matters. He served as Chief Executive Officer from August 1998 until May 2009. He served as President from August 1998 until May 2002. He was Executive Vice President from August 1993 until August 1998. Mr. Smith served as Vice-President of Finance from June 1983 to August 1993. He has served as Chief Financial Officer since June 1983. Pursuant to Mr. Smith's employment agreement, as long as he is the Chief Financial Officer of the Company and is willing to serve, the Board of Directors will nominate him for election to the Board.</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56—Mr. Warzala has served as director of the Company since August 2006. Mr. Warzala has strong management and technical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background in the motion control industry. In May 2009, He was appointed President and Chief 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 Pursuant to Mr. Warzala's employment agreement, as long as he is the President and Chief Executive Officer of the Company and is willing to serve, the Board of Directors will nominate him for election to the Board.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Procedures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experience, technical skills, diversity, financial literacy, mature confidence, high performance standards, time, other board appointments, industry knowledge, and degree of independence from management.</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takes into consideration such factors as it deems appropriate, including those included in the Corporate Governance Principles, which are available at www.alliedmotion.com.</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do not have a formal policy or guidelines regarding diversity of membership of our Board of Directors. While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70"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2011 Annual Meeting."</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Board has established the position of Lead Director to assist in overseeing the affairs of the Board. The Lead Director is an independent director, currently Mr. Hock, appointed by the Board. The Lead Director's primary responsibilities include providing input to the Executive Chairman regarding agendas for Board and Committee meetings and presiding at all executive sessions of the independent directors. The Board will periodically review its leadership structure and determine if other structures might be appropriate.</w:t>
      </w:r>
    </w:p>
    <w:p>
      <w:pPr>
        <w:spacing w:after="0" w:line="197"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Board has appointed Mr. Smith as Executive Chairman of the Board. Mr. Smith is also Chief Financial Officer of the Company and thus is not an independent director. The Board believes that having an officer as executive chairman allows him to leverage the substantial amount of information gained from both these roles to lead the Company most effectively. The Board believes that the appointment of an independent Lead Director provides the independent oversight with significant input into corporate governance while maintaining the Company's historical practice of having an Executive Officer also serve as Chairman.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Warzala, the Company's President and Chief Executive Officer and Mr. Smith, the Company's Chief Financial Officer, satisfies the bright-line criteria and that none has a relationship with the Company that would interfere with such person's ability to exercise independent judgment as a member of our Board.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Board of Directors oversees our risk management process. This oversight is primarily accomplished through the Board's committees and management's reporting processes. We do not have a formal risk committee; however, our Audit Committee focuses on risk related to accounting, internal controls, and financial and tax reporting. The Audit Committee also assesses economic and business risks and monitors compliance with ethical standards. Our Compensation Committee identifies and oversees risks associated with our executive compensation policies and practices, and our Governance and Nominating Committee identifies and oversees risks associated with director independence, related party transactions and the implementation of corporate governance policies.</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Audit Committee of our Board of Directors consists of Messrs. Hubbard (Chairman), Hock and Pilmanis. The Audit Committee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four meetings during 2009. Each member of the Audit Committee meets the current independence and experience requirements of Nasdaq and the SEC. Mr. Hubbard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right="360" w:firstLine="348"/>
        <w:spacing w:after="0" w:line="318" w:lineRule="auto"/>
        <w:rPr>
          <w:sz w:val="20"/>
          <w:szCs w:val="20"/>
          <w:color w:val="auto"/>
        </w:rPr>
      </w:pPr>
      <w:r>
        <w:rPr>
          <w:rFonts w:ascii="Arial" w:cs="Arial" w:eastAsia="Arial" w:hAnsi="Arial"/>
          <w:sz w:val="15"/>
          <w:szCs w:val="15"/>
          <w:color w:val="auto"/>
        </w:rPr>
        <w:t>The Compensation Committee of our Board of Directors currently consists of Messrs. Pilmanis (Chairman), Hock and Hubbard.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The Compensation Committee met five times during 2009. Additionally, all the independent directors met one time during 2009 to discuss executive compensation matters.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Governance and Nominating Committee of our Board of Directors currently consists of Messrs. Hock (Chairman), Heath and Hubbard. The Governance and Nominating Committee met four times during 2009. 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31"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Board of Directors held four meetings, each including an executive session of the Independent Directors, and the Independent Directors held one additional meeting during 2009. Each director attended 100%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2009, the Annual Meeting of Shareholders was attended by all of the directors.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 Correspondence not directed to a particular board member will be referred to the Executive Chairman of the Board.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Ehrhardt Keefe Steiner &amp; Hottman PC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members of the Audit Committee, our work is guided by our Audit Committee Charter which is reviewed annually by the Board of Directors. We have completed all Charter tasks scheduled to be performed in 2009 prior to year-end and all Charter tasks scheduled to be performed in 2010 prior to the filing of this proxy statement. Our work included, among other procedures:</w:t>
      </w:r>
    </w:p>
    <w:p>
      <w:pPr>
        <w:spacing w:after="0" w:line="194"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80" w:firstLine="359"/>
        <w:spacing w:after="0" w:line="268" w:lineRule="auto"/>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85" w:lineRule="exact"/>
        <w:rPr>
          <w:rFonts w:ascii="Arial" w:cs="Arial" w:eastAsia="Arial" w:hAnsi="Arial"/>
          <w:sz w:val="18"/>
          <w:szCs w:val="18"/>
          <w:color w:val="auto"/>
        </w:rPr>
      </w:pPr>
    </w:p>
    <w:p>
      <w:pPr>
        <w:ind w:right="420" w:firstLine="359"/>
        <w:spacing w:after="0" w:line="259" w:lineRule="auto"/>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94" w:lineRule="exact"/>
        <w:rPr>
          <w:rFonts w:ascii="Arial" w:cs="Arial" w:eastAsia="Arial" w:hAnsi="Arial"/>
          <w:sz w:val="18"/>
          <w:szCs w:val="18"/>
          <w:color w:val="auto"/>
        </w:rPr>
      </w:pPr>
    </w:p>
    <w:p>
      <w:pPr>
        <w:ind w:right="500" w:firstLine="359"/>
        <w:spacing w:after="0" w:line="268" w:lineRule="auto"/>
        <w:tabs>
          <w:tab w:leader="none" w:pos="68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2009, audited financial statements, the related audit report, and the applicable management's discussion and analysis.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2009, for filing with the SEC.</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Submitted by:</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AUDIT COMMITTEE</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Graydon D. Hubbard, Chairman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George J. Pilmanis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officer. There are no family relationships between any of our directors or executive officers.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Richard S. Warzala</w:t>
      </w:r>
      <w:r>
        <w:rPr>
          <w:rFonts w:ascii="Arial" w:cs="Arial" w:eastAsia="Arial" w:hAnsi="Arial"/>
          <w:sz w:val="18"/>
          <w:szCs w:val="18"/>
          <w:color w:val="auto"/>
        </w:rPr>
        <w:t>, age 56—Mr. Warzala has served as director of the Company since August 2006. In May 2009, He was appointed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Richard D. Smith</w:t>
      </w:r>
      <w:r>
        <w:rPr>
          <w:rFonts w:ascii="Arial" w:cs="Arial" w:eastAsia="Arial" w:hAnsi="Arial"/>
          <w:sz w:val="18"/>
          <w:szCs w:val="18"/>
          <w:color w:val="auto"/>
        </w:rPr>
        <w:t>, age 62—Mr. Smith has served as a director of the Company since August 1996 and as Executive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May 2009. He served as Chief Executive Officer from August 13, 1998 until May 12, 2009.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9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Kenneth R. Wyman</w:t>
      </w:r>
      <w:r>
        <w:rPr>
          <w:rFonts w:ascii="Arial" w:cs="Arial" w:eastAsia="Arial" w:hAnsi="Arial"/>
          <w:sz w:val="16"/>
          <w:szCs w:val="16"/>
          <w:color w:val="auto"/>
        </w:rPr>
        <w:t>, age 67—Mr. Wyman was named Vice President of Marketing of the Company in February 2003. He was designated as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Officers") for the fiscal years ended December 31, 2009 and 2008.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35"/>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Awards(1)</w:t>
            </w:r>
          </w:p>
        </w:tc>
        <w:tc>
          <w:tcPr>
            <w:tcW w:w="160" w:type="dxa"/>
            <w:vAlign w:val="bottom"/>
          </w:tcPr>
          <w:p>
            <w:pPr>
              <w:spacing w:after="0"/>
              <w:rPr>
                <w:sz w:val="14"/>
                <w:szCs w:val="14"/>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Compensation</w:t>
            </w: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282,962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38,301(2)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345,463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President and Chief</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272,500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243,747(3)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41,487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631,084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860" w:type="dxa"/>
            <w:vAlign w:val="bottom"/>
            <w:gridSpan w:val="4"/>
          </w:tcPr>
          <w:p>
            <w:pPr>
              <w:spacing w:after="0"/>
              <w:rPr>
                <w:sz w:val="20"/>
                <w:szCs w:val="20"/>
                <w:color w:val="auto"/>
              </w:rPr>
            </w:pPr>
            <w:r>
              <w:rPr>
                <w:rFonts w:ascii="Arial" w:cs="Arial" w:eastAsia="Arial" w:hAnsi="Arial"/>
                <w:sz w:val="18"/>
                <w:szCs w:val="18"/>
                <w:color w:val="auto"/>
              </w:rPr>
              <w:t>Richard D. Smith</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276,231</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39,500(4)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339,931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60" w:type="dxa"/>
            <w:vAlign w:val="bottom"/>
            <w:gridSpan w:val="4"/>
          </w:tcPr>
          <w:p>
            <w:pPr>
              <w:spacing w:after="0"/>
              <w:rPr>
                <w:sz w:val="20"/>
                <w:szCs w:val="20"/>
                <w:color w:val="auto"/>
              </w:rPr>
            </w:pPr>
            <w:r>
              <w:rPr>
                <w:rFonts w:ascii="Arial" w:cs="Arial" w:eastAsia="Arial" w:hAnsi="Arial"/>
                <w:sz w:val="18"/>
                <w:szCs w:val="18"/>
                <w:color w:val="auto"/>
              </w:rPr>
              <w:t>Chief Financial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282,500</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73,350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251,862(5)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360"/>
              <w:spacing w:after="0"/>
              <w:rPr>
                <w:sz w:val="20"/>
                <w:szCs w:val="20"/>
                <w:color w:val="auto"/>
              </w:rPr>
            </w:pPr>
            <w:r>
              <w:rPr>
                <w:rFonts w:ascii="Arial" w:cs="Arial" w:eastAsia="Arial" w:hAnsi="Arial"/>
                <w:sz w:val="18"/>
                <w:szCs w:val="18"/>
                <w:color w:val="auto"/>
                <w:w w:val="83"/>
              </w:rPr>
              <w:t>44,344</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652,056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127,404</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12,355(6)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139,759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Vice President of Marketing</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139,583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3"/>
              </w:rPr>
              <w:t>13,018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0" w:hanging="531"/>
        <w:spacing w:after="0" w:line="370" w:lineRule="auto"/>
        <w:tabs>
          <w:tab w:leader="none" w:pos="1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43" w:lineRule="exact"/>
        <w:rPr>
          <w:rFonts w:ascii="Arial" w:cs="Arial" w:eastAsia="Arial" w:hAnsi="Arial"/>
          <w:sz w:val="15"/>
          <w:szCs w:val="15"/>
          <w:color w:val="auto"/>
        </w:rPr>
      </w:pPr>
    </w:p>
    <w:p>
      <w:pPr>
        <w:ind w:left="1680" w:hanging="531"/>
        <w:spacing w:after="0" w:line="256"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Compensation for Mr. Warzala for 2009 includes (a) fair value of personal use of Company provided automobile of $8,007, as determined with reference to IRS regulations, (b) the Company's contribution of $5,500 to tax-qualified defined contribution plans, (c) the Company paid life insurance premiums of $22,075, (d) physical examination expenses of $219 and (e) financial planning services of $2,500.</w:t>
      </w:r>
    </w:p>
    <w:p>
      <w:pPr>
        <w:spacing w:after="0" w:line="210" w:lineRule="exact"/>
        <w:rPr>
          <w:rFonts w:ascii="Arial" w:cs="Arial" w:eastAsia="Arial" w:hAnsi="Arial"/>
          <w:sz w:val="18"/>
          <w:szCs w:val="18"/>
          <w:color w:val="auto"/>
        </w:rPr>
      </w:pPr>
    </w:p>
    <w:p>
      <w:pPr>
        <w:ind w:left="1680" w:right="40" w:hanging="531"/>
        <w:spacing w:after="0" w:line="298"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Non-Equity Incentive Plan Compensation for Mr. Warzala for 2008 includes (a) $221,130 pursuant to the Annual Incentive Bonus Plan, which is generally available to all employees of the Company and is payable based upon the achievement of Company performance goals established by the Board of Directors and (b) contribution under the Deferred Compensation Plan of $22,617 upon achievement of Company performance goals established by the Board of Directors.</w:t>
      </w:r>
    </w:p>
    <w:p>
      <w:pPr>
        <w:spacing w:after="0" w:line="180" w:lineRule="exact"/>
        <w:rPr>
          <w:rFonts w:ascii="Arial" w:cs="Arial" w:eastAsia="Arial" w:hAnsi="Arial"/>
          <w:sz w:val="16"/>
          <w:szCs w:val="16"/>
          <w:color w:val="auto"/>
        </w:rPr>
      </w:pPr>
    </w:p>
    <w:p>
      <w:pPr>
        <w:ind w:left="1680" w:right="200" w:hanging="531"/>
        <w:spacing w:after="0" w:line="286"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Other Compensation for Mr. Smith for 2009 includes (a) fair value of personal use of Company provided automobile of $12,960, as determined with reference to IRS regulations, (b) the Company's contribution of $5,500 to tax-qualified defined contribution plans,</w:t>
      </w:r>
    </w:p>
    <w:p>
      <w:pPr>
        <w:ind w:left="1680"/>
        <w:spacing w:after="0"/>
        <w:rPr>
          <w:rFonts w:ascii="Arial" w:cs="Arial" w:eastAsia="Arial" w:hAnsi="Arial"/>
          <w:sz w:val="16"/>
          <w:szCs w:val="16"/>
          <w:color w:val="auto"/>
        </w:rPr>
      </w:pPr>
      <w:r>
        <w:rPr>
          <w:rFonts w:ascii="Arial" w:cs="Arial" w:eastAsia="Arial" w:hAnsi="Arial"/>
          <w:sz w:val="18"/>
          <w:szCs w:val="18"/>
          <w:color w:val="auto"/>
        </w:rPr>
        <w:t>(c) physical examination expenses of $195 and (d) the Company paid life insurance premiums of $20,845.</w:t>
      </w:r>
    </w:p>
    <w:p>
      <w:pPr>
        <w:spacing w:after="0" w:line="245" w:lineRule="exact"/>
        <w:rPr>
          <w:rFonts w:ascii="Arial" w:cs="Arial" w:eastAsia="Arial" w:hAnsi="Arial"/>
          <w:sz w:val="16"/>
          <w:szCs w:val="16"/>
          <w:color w:val="auto"/>
        </w:rPr>
      </w:pPr>
    </w:p>
    <w:p>
      <w:pPr>
        <w:ind w:left="1680" w:right="40" w:hanging="531"/>
        <w:spacing w:after="0" w:line="256"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Non-Equity Incentive Plan Compensation for Mr. Smith for 2008 includes (a) $229,245 pursuant to the Annual Incentive Bonus Plan, which is generally available to all employees of the Company and is payable based upon the achievement of Company performance goals established by the Board of Directors and (b) contribution under the Deferred Compensation Plan of $22,617 upon achievement of Company performance goals established by the Board of Directors.</w:t>
      </w:r>
    </w:p>
    <w:p>
      <w:pPr>
        <w:spacing w:after="0" w:line="210" w:lineRule="exact"/>
        <w:rPr>
          <w:rFonts w:ascii="Arial" w:cs="Arial" w:eastAsia="Arial" w:hAnsi="Arial"/>
          <w:sz w:val="18"/>
          <w:szCs w:val="18"/>
          <w:color w:val="auto"/>
        </w:rPr>
      </w:pPr>
    </w:p>
    <w:p>
      <w:pPr>
        <w:ind w:left="1680" w:right="100" w:hanging="531"/>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Compensation for Mr. Wyman for 2009 includes (a) auto allowance paid of $6,000, (b) fair value of personal use portion of reimbursed automobile operating expenses of $855, as determined with reference to IRS regulations, and (c) the Company's contribution of $5,500 to tax-qualified defined contribution plans.</w:t>
      </w:r>
    </w:p>
    <w:p>
      <w:pPr>
        <w:spacing w:after="0" w:line="207" w:lineRule="exact"/>
        <w:rPr>
          <w:rFonts w:ascii="Arial" w:cs="Arial" w:eastAsia="Arial" w:hAnsi="Arial"/>
          <w:sz w:val="18"/>
          <w:szCs w:val="18"/>
          <w:color w:val="auto"/>
        </w:rPr>
      </w:pPr>
    </w:p>
    <w:p>
      <w:pPr>
        <w:jc w:val="both"/>
        <w:ind w:left="1680" w:right="40" w:hanging="531"/>
        <w:spacing w:after="0" w:line="259" w:lineRule="auto"/>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Non-Equity Incentive Plan Compensation for Mr. Wyman for 2008 represents amount paid pursuant to the Annual Incentive Bonus Plan, which is generally available to all employees of the Company and is payable based upon the achievement of Company performance goals established by the Board of Directors.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Certain Named Executive Officers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has employment agreements with Richard S. Warzala, President and Chief Executive Officer, and Richard D. Smith, Chief Financial Officer. The Agreements have an initial term of five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years, through 2014, and continue subsequently on a year-to-year basis unless the Company or the officer gives termination notice at least 60 days prior to expiration of the initial or subsequent terms. The Agreements contain the provisions outlined below.</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Agreements provide an annual base salary of not less than $275,000 for Mr. Warzala and $285,000 for Mr. Smith, and may be reviewed</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for increase on a merit basis. Mr. Warzala's salary was increased to $295,000 effective May 12, 2009 and to $325,000 effective March 1, 2010.</w:t>
      </w:r>
    </w:p>
    <w:p>
      <w:pPr>
        <w:spacing w:after="0" w:line="139" w:lineRule="exact"/>
        <w:rPr>
          <w:sz w:val="20"/>
          <w:szCs w:val="20"/>
          <w:color w:val="auto"/>
        </w:rPr>
      </w:pPr>
    </w:p>
    <w:p>
      <w:pPr>
        <w:ind w:right="20" w:firstLine="348"/>
        <w:spacing w:after="0" w:line="308" w:lineRule="auto"/>
        <w:rPr>
          <w:sz w:val="20"/>
          <w:szCs w:val="20"/>
          <w:color w:val="auto"/>
        </w:rPr>
      </w:pPr>
      <w:r>
        <w:rPr>
          <w:rFonts w:ascii="Arial" w:cs="Arial" w:eastAsia="Arial" w:hAnsi="Arial"/>
          <w:sz w:val="15"/>
          <w:szCs w:val="15"/>
          <w:i w:val="1"/>
          <w:iCs w:val="1"/>
          <w:color w:val="auto"/>
        </w:rPr>
        <w:t xml:space="preserve">Annual Incentive Bonus. </w:t>
      </w:r>
      <w:r>
        <w:rPr>
          <w:rFonts w:ascii="Arial" w:cs="Arial" w:eastAsia="Arial" w:hAnsi="Arial"/>
          <w:sz w:val="15"/>
          <w:szCs w:val="15"/>
          <w:color w:val="auto"/>
        </w:rPr>
        <w:t>Annual incentive bonuses are paid based on achieving performance criteria recommended annually by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and approved by the Board of Directors. The performance criteria will recognize the overall financial performance of the Company and the improvements made in financial results. The amount of incentive that an executive officer may receive is based upon the following two components: an individual target bonus (which is a percentage of the individual's salary), and the Company's performance based on Economic Value Added (EVA). EVA is defined as net operating profit after taxes less a cost of capital charge. For 2009, the individual target bonus was set at 60% for both Messrs. Smith and Warzala. The Company's EVA performance goals are set annually. If the target EVA is achieved, then the target bonus is paid. If the actual EVA achieved falls between the threshold and the target EVA, the bonus awarded is equal to the target bonus multiplied times the prorata percent of the EVA target achieved (0% to 100% of the target bonus amount). If the actual EVA achieved is greater than the target EVA, then the bonus awarded will be greater than 100% of the target bonus amount with the bonus being a certain prorata percent of the incremental EVA achieved above the target EVA. There is no cap on the amount of EVA. For 2009, the Company did not meet performance thresholds specified at the beginning of 2009 for EVA and therefore no bonuses for executive officers were approved.</w:t>
      </w:r>
    </w:p>
    <w:p>
      <w:pPr>
        <w:spacing w:after="0" w:line="16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Long-Term Incentive Compensation. </w:t>
      </w:r>
      <w:r>
        <w:rPr>
          <w:rFonts w:ascii="Arial" w:cs="Arial" w:eastAsia="Arial" w:hAnsi="Arial"/>
          <w:sz w:val="16"/>
          <w:szCs w:val="16"/>
          <w:color w:val="auto"/>
        </w:rPr>
        <w:t>The Company utilizes stock based awards for long-term incentives. In making its determination regarding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based awards, the Board considers, among other things, the Employee's responsibilities and efforts and performance in relation to the business plan and forecast, the relationship between the benefits of Restricted Stock or Stock Options and improving shareholder value, the development and performance of the Company's products in the marketplace and an increase in the trading price per share of the Company's Common Stock. The Board also considers customary business practices and Long-Term Incentive Plan benefits granted in comparison to such benefits provided to other executives in similar positions.</w:t>
      </w:r>
    </w:p>
    <w:p>
      <w:pPr>
        <w:spacing w:after="0" w:line="170" w:lineRule="exact"/>
        <w:rPr>
          <w:sz w:val="20"/>
          <w:szCs w:val="20"/>
          <w:color w:val="auto"/>
        </w:rPr>
      </w:pPr>
    </w:p>
    <w:p>
      <w:pPr>
        <w:ind w:right="380" w:firstLine="348"/>
        <w:spacing w:after="0" w:line="305" w:lineRule="auto"/>
        <w:rPr>
          <w:sz w:val="20"/>
          <w:szCs w:val="20"/>
          <w:color w:val="auto"/>
        </w:rPr>
      </w:pPr>
      <w:r>
        <w:rPr>
          <w:rFonts w:ascii="Arial" w:cs="Arial" w:eastAsia="Arial" w:hAnsi="Arial"/>
          <w:sz w:val="15"/>
          <w:szCs w:val="15"/>
          <w:color w:val="auto"/>
        </w:rPr>
        <w:t>The Board approved a grant of 100,000 shares for Mr. Warzala effective January 4, 2010, with 33,334 shares vesting March 31, 2011 and 33,333 shares vesting on each of March 31, 2012 and 2013. The Board also approved awards of 35,100 shares for Mr. Warzala and 17,550 shares for Mr. Smith effective</w:t>
      </w:r>
    </w:p>
    <w:p>
      <w:pPr>
        <w:ind w:right="40"/>
        <w:spacing w:after="0" w:line="248" w:lineRule="auto"/>
        <w:rPr>
          <w:sz w:val="20"/>
          <w:szCs w:val="20"/>
          <w:color w:val="auto"/>
        </w:rPr>
      </w:pPr>
      <w:r>
        <w:rPr>
          <w:rFonts w:ascii="Arial" w:cs="Arial" w:eastAsia="Arial" w:hAnsi="Arial"/>
          <w:sz w:val="17"/>
          <w:szCs w:val="17"/>
          <w:color w:val="auto"/>
        </w:rPr>
        <w:t xml:space="preserve">March 11, 2010. Of these shares, 40% (14,040 for Mr. Warzala and 7,020 for Mr. Smith) will vest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on each of March 31, 2011, 2012, and 2013. The other 60% (21,060 for Mr. Warzala and 10,530 for Mr. Smith) will vest if established performance goals based on compounded annual growth rate of operating profit are achieved. If the target growth rate is achieved for the three years ending December 31, 2013, 100% of the shares will vest. If either the target is achieved each year or the cumulative target is achieved during any of the three years ending December 31, 2013, one-third of the shares will vest. If the actual growth rate achieved falls between the threshold and the target growth rate, the number of shares that will vest will be equal to the target growth rate multiplied times the prorata percent of the target growth rate achieved (0% to 100% of the awarded shares will vest).</w:t>
      </w:r>
    </w:p>
    <w:p>
      <w:pPr>
        <w:spacing w:after="0" w:line="204"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an automobile, personal financial planning, an annual physical examination and with life insurance for which the executive may designate the beneficiaries.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the event of termination prior to a change in control, the Agreements provide for continuation of salary, insurance benefits and other bonus prorations or settlements as outlined below.</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Payments upon retirement would be made pursuant to a retirement arrangement established with the Named Officer's consent,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settlement of the Annual Incentive Bonus for the current year.</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Termination for cause payments include salary continuation through the date of termination and benefit continuation until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termination month.</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death, salary continues to the end of the month containing the date of death and for three months following. Any proration of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Bonus is at the Board of Directors' discretion.</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Involuntary Termination for other than Cause, Retirement, Death or Disability. </w:t>
      </w:r>
      <w:r>
        <w:rPr>
          <w:rFonts w:ascii="Arial" w:cs="Arial" w:eastAsia="Arial" w:hAnsi="Arial"/>
          <w:sz w:val="18"/>
          <w:szCs w:val="18"/>
          <w:color w:val="auto"/>
        </w:rPr>
        <w:t>Involuntary termination payments include salary continuation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 and an equity award equal to the equity award provided for the fiscal year in which employment is terminated is granted.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Company has entered into separate agreements with Messrs. Smith, Warzala and Wyman, for termination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Under the terms of the agreements, upon termination by the Company (other than for cause as defined in the agreement) or by the executive for good reason (as defined in the agreement), they are entitled to receive a severance payment equal to 2.5 times (one times for Mr. Wyman) the sum of current annual base salary plus the highest amount paid or payable under the Annual Incentive Bonus Plan for any of the three preceding fiscal years, an allocation for incentive compensation for the current year up to the date of termination and a monthly payment for a two year period equal to 25% of the base salary for the individual to acquire insurance benefits. Any payments due under the Long-Term Incentive Payment Plan shall be paid in accordance with the plan provisions. The Company has similar agreements (providing one times severance payments) with certain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would not be in the best interests of the shareholders.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2009 Fiscal Year 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2009.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4"/>
          </w:tcPr>
          <w:p>
            <w:pPr>
              <w:ind w:left="104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6"/>
          </w:tcPr>
          <w:p>
            <w:pPr>
              <w:ind w:left="10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332"/>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Market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or Units of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Shares 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1"/>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8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42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45"/>
              <w:spacing w:after="0"/>
              <w:rPr>
                <w:sz w:val="20"/>
                <w:szCs w:val="20"/>
                <w:color w:val="auto"/>
              </w:rPr>
            </w:pPr>
            <w:r>
              <w:rPr>
                <w:rFonts w:ascii="Arial" w:cs="Arial" w:eastAsia="Arial" w:hAnsi="Arial"/>
                <w:sz w:val="14"/>
                <w:szCs w:val="14"/>
                <w:b w:val="1"/>
                <w:bCs w:val="1"/>
                <w:color w:val="auto"/>
                <w:w w:val="87"/>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1.7700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2/13/2010</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35,000(3)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4.2700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4/21/2011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14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69,300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4.8300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10/26/2010</w:t>
            </w: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35,000(3)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87,500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58,750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3.2000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8/16/2011</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4.2700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4/21/2011</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4.7500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2/19/2011</w:t>
            </w:r>
          </w:p>
        </w:tc>
        <w:tc>
          <w:tcPr>
            <w:tcW w:w="1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5.4600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10/28/2011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2009, all options are exercisable.</w:t>
      </w:r>
    </w:p>
    <w:p>
      <w:pPr>
        <w:spacing w:after="0" w:line="252" w:lineRule="exact"/>
        <w:rPr>
          <w:rFonts w:ascii="Arial" w:cs="Arial" w:eastAsia="Arial" w:hAnsi="Arial"/>
          <w:sz w:val="18"/>
          <w:szCs w:val="18"/>
          <w:color w:val="auto"/>
        </w:rPr>
      </w:pPr>
    </w:p>
    <w:p>
      <w:pPr>
        <w:ind w:left="1680" w:right="200" w:hanging="531"/>
        <w:spacing w:after="0" w:line="268"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Value is based on the closing price of the Company's common stock of $2.50 on December 31, 2009, as reported on the Nasdaq Global Market.</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Assuming continued employment with the Company, 16,667 shares vest on March 31 of 2010, 11,667 shares vest on March 31, 2011, and 6,666 shares vest on March 31, 2012.</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Assuming continued employment with the Company, 666 shares vest on March 31, 2010, and 333 shares vest on March 31, 2012.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2009</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shows all stock options exercised and value realized upon exercise, and all stock awards vested and value realized upon vesting by the Named Executive Officers during 2009.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Stock Awards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80" w:type="dxa"/>
            <w:vAlign w:val="bottom"/>
          </w:tcPr>
          <w:p>
            <w:pPr>
              <w:spacing w:after="0"/>
              <w:rPr>
                <w:sz w:val="12"/>
                <w:szCs w:val="12"/>
                <w:color w:val="auto"/>
              </w:rPr>
            </w:pPr>
          </w:p>
        </w:tc>
        <w:tc>
          <w:tcPr>
            <w:tcW w:w="102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auto"/>
                <w:w w:val="91"/>
              </w:rPr>
              <w:t>Value Realized</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1020" w:type="dxa"/>
            <w:vAlign w:val="bottom"/>
            <w:gridSpan w:val="2"/>
          </w:tcPr>
          <w:p>
            <w:pPr>
              <w:jc w:val="right"/>
              <w:ind w:right="117"/>
              <w:spacing w:after="0" w:line="149" w:lineRule="exact"/>
              <w:rPr>
                <w:sz w:val="20"/>
                <w:szCs w:val="20"/>
                <w:color w:val="auto"/>
              </w:rPr>
            </w:pPr>
            <w:r>
              <w:rPr>
                <w:rFonts w:ascii="Arial" w:cs="Arial" w:eastAsia="Arial" w:hAnsi="Arial"/>
                <w:sz w:val="14"/>
                <w:szCs w:val="14"/>
                <w:b w:val="1"/>
                <w:bCs w:val="1"/>
                <w:color w:val="auto"/>
              </w:rPr>
              <w:t>on Exercise</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160" w:type="dxa"/>
            <w:vAlign w:val="bottom"/>
          </w:tcPr>
          <w:p>
            <w:pPr>
              <w:spacing w:after="0"/>
              <w:rPr>
                <w:sz w:val="12"/>
                <w:szCs w:val="12"/>
                <w:color w:val="auto"/>
              </w:rPr>
            </w:pPr>
          </w:p>
        </w:tc>
        <w:tc>
          <w:tcPr>
            <w:tcW w:w="11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39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2"/>
              </w:rPr>
              <w:t>)(1)</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2"/>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620" w:type="dxa"/>
            <w:vAlign w:val="bottom"/>
            <w:gridSpan w:val="2"/>
            <w:vMerge w:val="restart"/>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21,840</w:t>
            </w: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Richard S. Warzala</w:t>
            </w:r>
          </w:p>
        </w:tc>
        <w:tc>
          <w:tcPr>
            <w:tcW w:w="12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680" w:right="16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Value realized equals the difference between the option exercise price and the fair market value of the Company's common stock on the date of exercise, multiplied by the number of shares for which the option was exercised.</w:t>
      </w:r>
    </w:p>
    <w:p>
      <w:pPr>
        <w:spacing w:after="0" w:line="199" w:lineRule="exact"/>
        <w:rPr>
          <w:rFonts w:ascii="Arial" w:cs="Arial" w:eastAsia="Arial" w:hAnsi="Arial"/>
          <w:sz w:val="18"/>
          <w:szCs w:val="18"/>
          <w:color w:val="auto"/>
        </w:rPr>
      </w:pPr>
    </w:p>
    <w:p>
      <w:pPr>
        <w:ind w:left="1680" w:right="420" w:hanging="531"/>
        <w:spacing w:after="0" w:line="268" w:lineRule="auto"/>
        <w:tabs>
          <w:tab w:leader="none" w:pos="1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Value realized equals the market value of the Company's common stock on the vesting date, multiplied by the number of shares that vested.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2009</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Board of Directors holds four regular full day meetings each year. Non-employee directors receive an annual retainer of $19,000, paid quarterly, plus $900 per full day meeting of the board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attended and $600 per telephone meeting attended. The Audit Committee chairman receives an annual retainer of $6,800, the Compensation Committee and Governance and Nominating Committee chairmen each receive an annual retainer of $4,000 and each committee member receives a $1,700 annual retainer, each of which are paid quarterly.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compensation paid by the Company to non-employee Directors for 2009.</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Fees Earned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or 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in Cash</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1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72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Delwin D. Hock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Graydon D. Hubbard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32,600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3,630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36,230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Michel M. Robert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21,800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24,220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25,820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line="259" w:lineRule="auto"/>
        <w:tabs>
          <w:tab w:leader="none" w:pos="2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number of stock options, all of which are exercisable, and unvested stock awards outstanding for each non-employee director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are shown below:</w:t>
      </w:r>
    </w:p>
    <w:p>
      <w:pPr>
        <w:spacing w:after="0" w:line="26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Unvested</w:t>
            </w: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48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w w:val="98"/>
              </w:rPr>
              <w:t>Options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84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line="20" w:lineRule="exact"/>
              <w:rPr>
                <w:sz w:val="1"/>
                <w:szCs w:val="1"/>
                <w:color w:val="auto"/>
              </w:rPr>
            </w:pPr>
          </w:p>
        </w:tc>
      </w:tr>
      <w:tr>
        <w:trPr>
          <w:trHeight w:val="190"/>
        </w:trPr>
        <w:tc>
          <w:tcPr>
            <w:tcW w:w="5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Delwin D. Hock</w:t>
            </w:r>
          </w:p>
        </w:tc>
        <w:tc>
          <w:tcPr>
            <w:tcW w:w="700" w:type="dxa"/>
            <w:vAlign w:val="bottom"/>
            <w:vMerge w:val="continue"/>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Graydon D. Hubbard</w:t>
            </w:r>
          </w:p>
        </w:tc>
        <w:tc>
          <w:tcPr>
            <w:tcW w:w="700" w:type="dxa"/>
            <w:vAlign w:val="bottom"/>
          </w:tcPr>
          <w:p>
            <w:pPr>
              <w:jc w:val="right"/>
              <w:spacing w:after="0"/>
              <w:rPr>
                <w:sz w:val="20"/>
                <w:szCs w:val="20"/>
                <w:color w:val="auto"/>
              </w:rPr>
            </w:pPr>
            <w:r>
              <w:rPr>
                <w:rFonts w:ascii="Arial" w:cs="Arial" w:eastAsia="Arial" w:hAnsi="Arial"/>
                <w:sz w:val="18"/>
                <w:szCs w:val="18"/>
                <w:color w:val="auto"/>
              </w:rPr>
              <w:t>5,166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Michel M. Robert</w:t>
            </w:r>
          </w:p>
        </w:tc>
        <w:tc>
          <w:tcPr>
            <w:tcW w:w="700" w:type="dxa"/>
            <w:vAlign w:val="bottom"/>
          </w:tcPr>
          <w:p>
            <w:pPr>
              <w:jc w:val="right"/>
              <w:spacing w:after="0"/>
              <w:rPr>
                <w:sz w:val="20"/>
                <w:szCs w:val="20"/>
                <w:color w:val="auto"/>
              </w:rPr>
            </w:pPr>
            <w:r>
              <w:rPr>
                <w:rFonts w:ascii="Arial" w:cs="Arial" w:eastAsia="Arial" w:hAnsi="Arial"/>
                <w:sz w:val="18"/>
                <w:szCs w:val="18"/>
                <w:color w:val="auto"/>
              </w:rPr>
              <w:t>3,500</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Board approved grants of restricted shares to each of the non-employee directors effective March 11, 2010, with one-third vesting each year on March 31, 2011, 2012 and 2013 as follows: Messrs. Hock and Pilmanis, 3,230 shares each; Mr. Hubbard, 3,285 shares; Messrs. Heath and Robert 2,230 shares each.</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31" w:lineRule="exact"/>
        <w:rPr>
          <w:sz w:val="20"/>
          <w:szCs w:val="20"/>
          <w:color w:val="auto"/>
        </w:rPr>
      </w:pPr>
    </w:p>
    <w:p>
      <w:pPr>
        <w:jc w:val="both"/>
        <w:ind w:right="680" w:firstLine="348"/>
        <w:spacing w:after="0" w:line="370" w:lineRule="auto"/>
        <w:rPr>
          <w:sz w:val="20"/>
          <w:szCs w:val="20"/>
          <w:color w:val="auto"/>
        </w:rPr>
      </w:pPr>
      <w:r>
        <w:rPr>
          <w:rFonts w:ascii="Arial" w:cs="Arial" w:eastAsia="Arial" w:hAnsi="Arial"/>
          <w:sz w:val="15"/>
          <w:szCs w:val="15"/>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0"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4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w w:val="94"/>
              </w:rPr>
              <w:t>Name and Address of Beneficial Owner</w:t>
            </w:r>
          </w:p>
        </w:tc>
        <w:tc>
          <w:tcPr>
            <w:tcW w:w="136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Beneficially Owned</w:t>
            </w:r>
          </w:p>
        </w:tc>
        <w:tc>
          <w:tcPr>
            <w:tcW w:w="14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1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1,022,504(2)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6"/>
              </w:rPr>
              <w:t>23 Inverness Way East, Suite 150</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Englewood, Colorado 80112</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48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2960" w:type="dxa"/>
            <w:vAlign w:val="bottom"/>
            <w:gridSpan w:val="3"/>
          </w:tcPr>
          <w:p>
            <w:pPr>
              <w:jc w:val="right"/>
              <w:ind w:right="120"/>
              <w:spacing w:after="0"/>
              <w:rPr>
                <w:sz w:val="20"/>
                <w:szCs w:val="20"/>
                <w:color w:val="auto"/>
              </w:rPr>
            </w:pPr>
            <w:r>
              <w:rPr>
                <w:rFonts w:ascii="Arial" w:cs="Arial" w:eastAsia="Arial" w:hAnsi="Arial"/>
                <w:sz w:val="18"/>
                <w:szCs w:val="18"/>
                <w:color w:val="auto"/>
              </w:rPr>
              <w:t>793,140(3)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w w:val="86"/>
              </w:rPr>
              <w:t>23 Inverness Way East, Suite 150</w:t>
            </w: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rPr>
              <w:t>Englewood, Colorado 80112</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2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749,366(4)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7560 Panorama Drive</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Boulder, Colorado 80303</w:t>
            </w:r>
          </w:p>
        </w:tc>
        <w:tc>
          <w:tcPr>
            <w:tcW w:w="1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480" w:type="dxa"/>
            <w:vAlign w:val="bottom"/>
            <w:gridSpan w:val="3"/>
          </w:tcPr>
          <w:p>
            <w:pPr>
              <w:spacing w:after="0"/>
              <w:rPr>
                <w:sz w:val="20"/>
                <w:szCs w:val="20"/>
                <w:color w:val="auto"/>
              </w:rPr>
            </w:pPr>
            <w:r>
              <w:rPr>
                <w:rFonts w:ascii="Arial" w:cs="Arial" w:eastAsia="Arial" w:hAnsi="Arial"/>
                <w:sz w:val="18"/>
                <w:szCs w:val="18"/>
                <w:color w:val="auto"/>
              </w:rPr>
              <w:t>Peter H. Kamin</w:t>
            </w:r>
          </w:p>
        </w:tc>
        <w:tc>
          <w:tcPr>
            <w:tcW w:w="2960" w:type="dxa"/>
            <w:vAlign w:val="bottom"/>
            <w:gridSpan w:val="3"/>
          </w:tcPr>
          <w:p>
            <w:pPr>
              <w:jc w:val="right"/>
              <w:ind w:right="120"/>
              <w:spacing w:after="0"/>
              <w:rPr>
                <w:sz w:val="20"/>
                <w:szCs w:val="20"/>
                <w:color w:val="auto"/>
              </w:rPr>
            </w:pPr>
            <w:r>
              <w:rPr>
                <w:rFonts w:ascii="Arial" w:cs="Arial" w:eastAsia="Arial" w:hAnsi="Arial"/>
                <w:sz w:val="18"/>
                <w:szCs w:val="18"/>
                <w:color w:val="auto"/>
              </w:rPr>
              <w:t>567,700(5)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w w:val="96"/>
              </w:rPr>
              <w:t>c/o The Nelson Law Firm, LLC</w:t>
            </w: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60" w:type="dxa"/>
            <w:vAlign w:val="bottom"/>
            <w:gridSpan w:val="2"/>
          </w:tcPr>
          <w:p>
            <w:pPr>
              <w:ind w:left="100"/>
              <w:spacing w:after="0" w:line="255" w:lineRule="exact"/>
              <w:rPr>
                <w:sz w:val="20"/>
                <w:szCs w:val="20"/>
                <w:color w:val="auto"/>
              </w:rPr>
            </w:pPr>
            <w:r>
              <w:rPr>
                <w:rFonts w:ascii="Arial" w:cs="Arial" w:eastAsia="Arial" w:hAnsi="Arial"/>
                <w:sz w:val="18"/>
                <w:szCs w:val="18"/>
                <w:color w:val="auto"/>
                <w:w w:val="97"/>
              </w:rPr>
              <w:t>75 South Broadway, 4</w:t>
            </w:r>
            <w:r>
              <w:rPr>
                <w:rFonts w:ascii="Arial" w:cs="Arial" w:eastAsia="Arial" w:hAnsi="Arial"/>
                <w:sz w:val="29"/>
                <w:szCs w:val="29"/>
                <w:color w:val="auto"/>
                <w:w w:val="97"/>
                <w:vertAlign w:val="superscript"/>
              </w:rPr>
              <w:t>th</w:t>
            </w:r>
            <w:r>
              <w:rPr>
                <w:rFonts w:ascii="Arial" w:cs="Arial" w:eastAsia="Arial" w:hAnsi="Arial"/>
                <w:sz w:val="18"/>
                <w:szCs w:val="18"/>
                <w:color w:val="auto"/>
                <w:w w:val="97"/>
              </w:rPr>
              <w:t xml:space="preserve"> Floor</w:t>
            </w: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gridSpan w:val="2"/>
          </w:tcPr>
          <w:p>
            <w:pPr>
              <w:ind w:left="100"/>
              <w:spacing w:after="0"/>
              <w:rPr>
                <w:sz w:val="20"/>
                <w:szCs w:val="20"/>
                <w:color w:val="auto"/>
              </w:rPr>
            </w:pPr>
            <w:r>
              <w:rPr>
                <w:rFonts w:ascii="Arial" w:cs="Arial" w:eastAsia="Arial" w:hAnsi="Arial"/>
                <w:sz w:val="18"/>
                <w:szCs w:val="18"/>
                <w:color w:val="auto"/>
                <w:w w:val="96"/>
              </w:rPr>
              <w:t>White Plains, New York 10601</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20" w:hanging="550"/>
        <w:spacing w:after="0" w:line="298" w:lineRule="auto"/>
        <w:tabs>
          <w:tab w:leader="none" w:pos="2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percentages are based upon 7,730,482 shares of Common Stock outstanding as of the Record Date, except for certain beneficial owners who hold stock options. The percentage for each beneficial owner holding presently exercisable stock options is based upon the sum of 7,730,482 shares plus the number of shares subject to presently exercisable stock options held only by such beneficial owner, as indicated in the following notes.</w:t>
      </w:r>
    </w:p>
    <w:p>
      <w:pPr>
        <w:spacing w:after="0" w:line="193" w:lineRule="exact"/>
        <w:rPr>
          <w:rFonts w:ascii="Arial" w:cs="Arial" w:eastAsia="Arial" w:hAnsi="Arial"/>
          <w:sz w:val="16"/>
          <w:szCs w:val="16"/>
          <w:color w:val="auto"/>
        </w:rPr>
      </w:pPr>
    </w:p>
    <w:p>
      <w:pPr>
        <w:ind w:left="2840" w:hanging="550"/>
        <w:spacing w:after="0" w:line="302" w:lineRule="auto"/>
        <w:tabs>
          <w:tab w:leader="none" w:pos="28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188,050 shares of Common Stock which Mr. Smith has the right to acquire upon the exercise of outstanding options, 52,550 shares of Common Stock granted as incentive restricted shares under the Company's stock incentive plans that have not yet vested and 373,205 shares of Common Stock held by the Company's Employee Stock Ownership Plan ("ESOP") as of the Record Date, as to which Mr. Smith could be deemed to have shared investment power as a trustee of the ESOP, which includes 12,791 shares of Common Stock credited to the ESOP account of Mr. Smith. Includes 360,488 shares of Common Stock held by Smith Family Trust, of which Mr. Smith is trustee. Includes 900 shares held by</w:t>
      </w:r>
    </w:p>
    <w:p>
      <w:pPr>
        <w:ind w:left="2840"/>
        <w:spacing w:after="0"/>
        <w:rPr>
          <w:rFonts w:ascii="Arial" w:cs="Arial" w:eastAsia="Arial" w:hAnsi="Arial"/>
          <w:sz w:val="15"/>
          <w:szCs w:val="15"/>
          <w:color w:val="auto"/>
        </w:rPr>
      </w:pPr>
      <w:r>
        <w:rPr>
          <w:rFonts w:ascii="Arial" w:cs="Arial" w:eastAsia="Arial" w:hAnsi="Arial"/>
          <w:sz w:val="18"/>
          <w:szCs w:val="18"/>
          <w:color w:val="auto"/>
        </w:rPr>
        <w:t>Mr. Smith's wife's IRA.</w:t>
      </w:r>
    </w:p>
    <w:p>
      <w:pPr>
        <w:spacing w:after="0" w:line="232" w:lineRule="exact"/>
        <w:rPr>
          <w:rFonts w:ascii="Arial" w:cs="Arial" w:eastAsia="Arial" w:hAnsi="Arial"/>
          <w:sz w:val="15"/>
          <w:szCs w:val="15"/>
          <w:color w:val="auto"/>
        </w:rPr>
      </w:pPr>
    </w:p>
    <w:p>
      <w:pPr>
        <w:ind w:left="2840" w:right="60" w:hanging="550"/>
        <w:spacing w:after="0" w:line="298" w:lineRule="auto"/>
        <w:tabs>
          <w:tab w:leader="none" w:pos="28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60,000 shares of Common Stock which Mr. Warzala has the right to acquire upon the exercise of outstanding options and 170,100 shares of Common Stock granted as incentive restricted shares under the Company's stock incentive plans that have not yet vested. Includes 8,736 shares of Common Stock credited to the ESOP account of Mr. Warzala and 57,754 shares of Common Stock held by Mr. Warzala's children.</w:t>
      </w:r>
    </w:p>
    <w:p>
      <w:pPr>
        <w:spacing w:after="0" w:line="180" w:lineRule="exact"/>
        <w:rPr>
          <w:rFonts w:ascii="Arial" w:cs="Arial" w:eastAsia="Arial" w:hAnsi="Arial"/>
          <w:sz w:val="16"/>
          <w:szCs w:val="16"/>
          <w:color w:val="auto"/>
        </w:rPr>
      </w:pPr>
    </w:p>
    <w:p>
      <w:pPr>
        <w:ind w:left="2840" w:right="160" w:hanging="550"/>
        <w:spacing w:after="0" w:line="268" w:lineRule="auto"/>
        <w:tabs>
          <w:tab w:leader="none" w:pos="2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88,800 shares of Common Stock held by the Prince Children's Trusts, of which Mr. Prince's wife is trustee and as to which Mr. Prince disclaims beneficial ownership.</w:t>
      </w:r>
    </w:p>
    <w:p>
      <w:pPr>
        <w:spacing w:after="0" w:line="212" w:lineRule="exact"/>
        <w:rPr>
          <w:rFonts w:ascii="Arial" w:cs="Arial" w:eastAsia="Arial" w:hAnsi="Arial"/>
          <w:sz w:val="18"/>
          <w:szCs w:val="18"/>
          <w:color w:val="auto"/>
        </w:rPr>
      </w:pPr>
    </w:p>
    <w:p>
      <w:pPr>
        <w:ind w:left="2840" w:right="40" w:hanging="550"/>
        <w:spacing w:after="0" w:line="259" w:lineRule="auto"/>
        <w:tabs>
          <w:tab w:leader="none" w:pos="2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Schedule 13G filed by Mr. Kamin with the Securities and Exchange Commission on or about February 2, 2005. Includes 131,400 shares of Common Stock held by Peter H. Kamin Childrens Trust, 157,732 shares held by Peter H. Kamin Profit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40"/>
        <w:spacing w:after="0" w:line="268" w:lineRule="auto"/>
        <w:rPr>
          <w:sz w:val="20"/>
          <w:szCs w:val="20"/>
          <w:color w:val="auto"/>
        </w:rPr>
      </w:pPr>
      <w:r>
        <w:rPr>
          <w:rFonts w:ascii="Arial" w:cs="Arial" w:eastAsia="Arial" w:hAnsi="Arial"/>
          <w:sz w:val="18"/>
          <w:szCs w:val="18"/>
          <w:color w:val="auto"/>
        </w:rPr>
        <w:t>Sharing Plan, 7,800 shares held by Peter H. Kamin Family Foundation and 59,300 shares held by 3K Limited Partnership, all as to which Mr. Kamin has sole voting and investment power.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22"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Amount of</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Directors, Nominees and Executive Officers</w:t>
            </w: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Beneficially Owned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Common 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1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69,493(2)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Graydon D. Hubbard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74,035(3)</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59,009(4)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Michel M. Robert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259,480(5)</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13,730(6)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1,022,504(7)</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793,140(8)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Kenneth R. Wyman</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30,155(9)</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nominees and executive officers as a</w:t>
            </w: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group</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2,321,546(10)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hanging="550"/>
        <w:spacing w:after="0"/>
        <w:tabs>
          <w:tab w:leader="none" w:pos="2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left="2840" w:right="20" w:hanging="550"/>
        <w:spacing w:after="0" w:line="298" w:lineRule="auto"/>
        <w:tabs>
          <w:tab w:leader="none" w:pos="2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percentages are based upon 7,730,482 shares of Common Stock outstanding as of the Record Date, except for certain beneficial owners who hold stock options. The percentage for each beneficial owner holding presently exercisable stock options is based upon the sum of 7,730,482 shares plus the number of shares subject to presently exercisable stock options held only by such beneficial owner, as indicated in the following notes.</w:t>
      </w:r>
    </w:p>
    <w:p>
      <w:pPr>
        <w:spacing w:after="0" w:line="180" w:lineRule="exact"/>
        <w:rPr>
          <w:rFonts w:ascii="Arial" w:cs="Arial" w:eastAsia="Arial" w:hAnsi="Arial"/>
          <w:sz w:val="16"/>
          <w:szCs w:val="16"/>
          <w:color w:val="auto"/>
        </w:rPr>
      </w:pPr>
    </w:p>
    <w:p>
      <w:pPr>
        <w:ind w:left="2840" w:right="240" w:hanging="550"/>
        <w:spacing w:after="0" w:line="259"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30,000 shares of Common Stock which Mr. Hock has the right to acquire upon the exercise of outstanding options and 7,730 shares of Common Stock granted as incentive restricted shares under the Company's stock incentive plans that have not yet vested.</w:t>
      </w:r>
    </w:p>
    <w:p>
      <w:pPr>
        <w:spacing w:after="0" w:line="207" w:lineRule="exact"/>
        <w:rPr>
          <w:rFonts w:ascii="Arial" w:cs="Arial" w:eastAsia="Arial" w:hAnsi="Arial"/>
          <w:sz w:val="18"/>
          <w:szCs w:val="18"/>
          <w:color w:val="auto"/>
        </w:rPr>
      </w:pPr>
    </w:p>
    <w:p>
      <w:pPr>
        <w:jc w:val="both"/>
        <w:ind w:left="2840" w:right="240" w:hanging="550"/>
        <w:spacing w:after="0" w:line="259"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25,000 shares of Common Stock which Mr. Hubbard has the right to acquire upon the exercise of outstanding options and 8,451 shares of Common Stock granted as incentive restricted shares under the Company's stock incentive plans that have not yet vested.</w:t>
      </w:r>
    </w:p>
    <w:p>
      <w:pPr>
        <w:spacing w:after="0" w:line="221" w:lineRule="exact"/>
        <w:rPr>
          <w:rFonts w:ascii="Arial" w:cs="Arial" w:eastAsia="Arial" w:hAnsi="Arial"/>
          <w:sz w:val="18"/>
          <w:szCs w:val="18"/>
          <w:color w:val="auto"/>
        </w:rPr>
      </w:pPr>
    </w:p>
    <w:p>
      <w:pPr>
        <w:jc w:val="both"/>
        <w:ind w:left="2840" w:right="240" w:hanging="550"/>
        <w:spacing w:after="0" w:line="259"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35,000 shares of Common Stock which Mr. Pilmanis has the right to acquire upon the exercise of outstanding options and 6,730 shares of Common Stock granted as incentive restricted shares under the Company's stock incentive plans that have not yet vested.</w:t>
      </w:r>
    </w:p>
    <w:p>
      <w:pPr>
        <w:spacing w:after="0" w:line="207" w:lineRule="exact"/>
        <w:rPr>
          <w:rFonts w:ascii="Arial" w:cs="Arial" w:eastAsia="Arial" w:hAnsi="Arial"/>
          <w:sz w:val="18"/>
          <w:szCs w:val="18"/>
          <w:color w:val="auto"/>
        </w:rPr>
      </w:pPr>
    </w:p>
    <w:p>
      <w:pPr>
        <w:ind w:left="2840" w:right="240" w:hanging="550"/>
        <w:spacing w:after="0" w:line="298" w:lineRule="auto"/>
        <w:tabs>
          <w:tab w:leader="none" w:pos="2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40,000 shares of Common Stock which Mr. Robert has the right to acquire upon the exercise of outstanding options and 5,730 shares of Common Stock granted as incentive restricted shares under the Company's stock incentive plans that have not yet vested. Includes 160,000 shares held by Mr. Robert's IRA. Includes 50,000 shares held by Mr. Robert's Childrens' trusts, of which Mr. Robert's wife is a co-trustee.</w:t>
      </w:r>
    </w:p>
    <w:p>
      <w:pPr>
        <w:spacing w:after="0" w:line="180" w:lineRule="exact"/>
        <w:rPr>
          <w:rFonts w:ascii="Arial" w:cs="Arial" w:eastAsia="Arial" w:hAnsi="Arial"/>
          <w:sz w:val="16"/>
          <w:szCs w:val="16"/>
          <w:color w:val="auto"/>
        </w:rPr>
      </w:pPr>
    </w:p>
    <w:p>
      <w:pPr>
        <w:ind w:left="2840" w:right="40" w:hanging="550"/>
        <w:spacing w:after="0" w:line="268" w:lineRule="auto"/>
        <w:tabs>
          <w:tab w:leader="none" w:pos="2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6,230 shares of Common Stock granted as incentive restricted shares under the Company's stock incentive plans that have not yet vested.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2840" w:hanging="550"/>
        <w:spacing w:after="0"/>
        <w:tabs>
          <w:tab w:leader="none" w:pos="2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52" w:lineRule="exact"/>
        <w:rPr>
          <w:rFonts w:ascii="Arial" w:cs="Arial" w:eastAsia="Arial" w:hAnsi="Arial"/>
          <w:sz w:val="18"/>
          <w:szCs w:val="18"/>
          <w:color w:val="auto"/>
        </w:rPr>
      </w:pPr>
    </w:p>
    <w:p>
      <w:pPr>
        <w:ind w:left="2840" w:hanging="550"/>
        <w:spacing w:after="0"/>
        <w:tabs>
          <w:tab w:leader="none" w:pos="2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note (3) under "Security Ownership of Certain Beneficial Owners."</w:t>
      </w:r>
    </w:p>
    <w:p>
      <w:pPr>
        <w:spacing w:after="0" w:line="238" w:lineRule="exact"/>
        <w:rPr>
          <w:rFonts w:ascii="Arial" w:cs="Arial" w:eastAsia="Arial" w:hAnsi="Arial"/>
          <w:sz w:val="18"/>
          <w:szCs w:val="18"/>
          <w:color w:val="auto"/>
        </w:rPr>
      </w:pPr>
    </w:p>
    <w:p>
      <w:pPr>
        <w:jc w:val="both"/>
        <w:ind w:left="2840" w:right="240" w:hanging="550"/>
        <w:spacing w:after="0" w:line="335" w:lineRule="auto"/>
        <w:tabs>
          <w:tab w:leader="none" w:pos="28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20,000 shares of Common Stock which Mr. Wyman has the right to acquire upon the exercise of outstanding options and 2,999 shares of Common Stock granted as incentive restricted shares under the Company's stock incentive plans that have not yet vested. Includes 6,759 shares of Common Stock credited to the ESOP account of Mr. Wyman.</w:t>
      </w:r>
    </w:p>
    <w:p>
      <w:pPr>
        <w:spacing w:after="0" w:line="155" w:lineRule="exact"/>
        <w:rPr>
          <w:rFonts w:ascii="Arial" w:cs="Arial" w:eastAsia="Arial" w:hAnsi="Arial"/>
          <w:sz w:val="15"/>
          <w:szCs w:val="15"/>
          <w:color w:val="auto"/>
        </w:rPr>
      </w:pPr>
    </w:p>
    <w:p>
      <w:pPr>
        <w:ind w:left="2840" w:hanging="550"/>
        <w:spacing w:after="0" w:line="253" w:lineRule="auto"/>
        <w:tabs>
          <w:tab w:leader="none" w:pos="2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393,050 shares of Common Stock which directors and executive officers have the right to acquire upon the exercise of outstanding options; (ii) 257,521 shares of Common Stock granted to directors and executive officers as incentive restricted shares under the Company's stock incentive plans that have not yet vested; and (iii) 373,205 shares of Common Stock held by the ESOP as to which Mr. Smith has shared investment power as trustee of the ESOP, which includes 12,791 shares of Common Stock held by the ESOP for the account of Mr. Smith, 8,736 shares of Common Stock held by the ESOP for the account of Mr. Warzala and 6,759 shares of Common Stock held by the ESOP for the account of Mr. Wyman.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2009, except that two individuals filed one Form 4 each to report Common Stock transactions late.</w:t>
      </w:r>
    </w:p>
    <w:p>
      <w:pPr>
        <w:spacing w:after="0" w:line="200" w:lineRule="exact"/>
        <w:rPr>
          <w:sz w:val="20"/>
          <w:szCs w:val="20"/>
          <w:color w:val="auto"/>
        </w:rPr>
      </w:pPr>
    </w:p>
    <w:p>
      <w:pPr>
        <w:spacing w:after="0" w:line="207" w:lineRule="exact"/>
        <w:rPr>
          <w:sz w:val="20"/>
          <w:szCs w:val="20"/>
          <w:color w:val="auto"/>
        </w:rPr>
      </w:pPr>
    </w:p>
    <w:p>
      <w:pPr>
        <w:jc w:val="center"/>
        <w:ind w:left="260" w:right="80"/>
        <w:spacing w:after="0" w:line="262" w:lineRule="auto"/>
        <w:rPr>
          <w:sz w:val="20"/>
          <w:szCs w:val="20"/>
          <w:color w:val="auto"/>
        </w:rPr>
      </w:pPr>
      <w:r>
        <w:rPr>
          <w:rFonts w:ascii="Arial" w:cs="Arial" w:eastAsia="Arial" w:hAnsi="Arial"/>
          <w:sz w:val="18"/>
          <w:szCs w:val="18"/>
          <w:b w:val="1"/>
          <w:bCs w:val="1"/>
          <w:color w:val="auto"/>
        </w:rPr>
        <w:t>PROPOSAL TWO: TO APPROVE AN AMENDMENT TO THE COMPANY'S ARTICLES OF INCORPORATION TO ADOPT A MAJORITY VOTE STANDARD IN UNCONTESTED ELECTIONS OF DIRECTORS AND A PLURALITY VOTE STANDARD IN CONTESTED ELECTIONS OF DIRECTORS</w:t>
      </w:r>
    </w:p>
    <w:p>
      <w:pPr>
        <w:spacing w:after="0" w:line="19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Upon recommendation of the Governance and Nominating Committee, the Board of Directors has approved, subject to the approval of the Company's shareholders, an amendment to the Company's Amended and Restated Articles of Incorporation (the "Company Articles"), to adopt a majority vote standard for uncontested elections of directors and a plurality vote standard for contested elections of directors.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Company Articles currently provide that Directors shall be elected upon receiving the affirmative vote of the holders of at least two-thirds of the shares of the Company entitled to vote thereon. The Board of Directors believes that it is in the best interests of the Company and its shareholders to amend the Company Articles in order to eliminate the two-thirds voting standard in an election of directors and to require that a nominee for director in an uncontested election receive a majority of the votes cast with respect to such director's election in order to be elected to the Board of Directors (a "majority vote standard").</w:t>
      </w:r>
    </w:p>
    <w:p>
      <w:pPr>
        <w:spacing w:after="0" w:line="16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a majority vote standard, each vote is specifically counted "for" or "against" the director's election. An affirmative majority of the total number of votes cast "for" or "against" a director nominee will be required for election. Shareholders will continue to be entitled to abstain with respect to the election of a director. Abstentions and broker non-votes will not be considered votes cast at the shareholder meeting and will be excluded in determining the number of votes cast "for" or "against" a director nominee.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Recent New York Stock Exchange rules changes prohibit brokers from voting for the election of directors unless they receive specific directions from the beneficial owners of shares held in "street name". Historically, in uncontested elections, many shareholders have not bothered to vote or to instruct their brokers how to vote. This proposed amendment to the Company Articles will allow uncontested elections for Directors to be decided by the majority of shares actually voted, provided a quorum is present at the shareholders meeting, rather than the affirmative vote of two-thirds of the shares entitled to vote thereon. Our Governance and Nominating Committee (composed entirely of Independent Directors) and our entire Board both unanimously determined that this proposed amendment likely will save us additional expenses of soliciting shareholders or of adjourning annual meetings in order to obtain required votes to elect Directors.</w:t>
      </w:r>
    </w:p>
    <w:p>
      <w:pPr>
        <w:spacing w:after="0" w:line="174"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majority vote standard does not apply, however, if the Board of Directors determines that the number of candidates for election exceeds the number of directors to be elected by the shareholders at that election. In that case, the nominees receiving the highest number of affirmative votes of the shares entitled to vote at the meeting, up to the number of directors to be elected by those shares, would be elected as directors (a "plurality vote standard").</w:t>
      </w:r>
    </w:p>
    <w:p>
      <w:pPr>
        <w:spacing w:after="0" w:line="16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Given the potential uncertainty of electing directors by a majority of votes cast in a contested election, the Board believes that a plurality vote standard in a contested election provides an effective and flexible method of providing shareholders with a meaningful role and reduces the complication in the election of directors since it eliminates the possibility of holdover directors. Under Colorado law, an incumbent director who is not re-elected may remain in office until his or her successor is elected and qualified and continue as a "holdover" director until his or her position is filled by a subsequent shareholder vote or his or her earlier resignation or removal by a shareholder vote.</w:t>
      </w:r>
    </w:p>
    <w:p>
      <w:pPr>
        <w:spacing w:after="0" w:line="197" w:lineRule="exact"/>
        <w:rPr>
          <w:sz w:val="20"/>
          <w:szCs w:val="20"/>
          <w:color w:val="auto"/>
        </w:rPr>
      </w:pPr>
    </w:p>
    <w:p>
      <w:pPr>
        <w:jc w:val="both"/>
        <w:ind w:firstLine="348"/>
        <w:spacing w:after="0" w:line="332" w:lineRule="auto"/>
        <w:rPr>
          <w:sz w:val="20"/>
          <w:szCs w:val="20"/>
          <w:color w:val="auto"/>
        </w:rPr>
      </w:pPr>
      <w:r>
        <w:rPr>
          <w:rFonts w:ascii="Arial" w:cs="Arial" w:eastAsia="Arial" w:hAnsi="Arial"/>
          <w:sz w:val="16"/>
          <w:szCs w:val="16"/>
          <w:color w:val="auto"/>
        </w:rPr>
        <w:t>The text of the proposed amendment to the Company Articles is attached to this proxy statement as Appendix A. Effective upon shareholder approval of this proposal, the Board of Directors has adopted an amendment to the Company's Bylaws to revise Section 2.16 to be consistent with the Company Articles.</w:t>
      </w:r>
    </w:p>
    <w:p>
      <w:pPr>
        <w:spacing w:after="0" w:line="13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affirmative vote of two-thirds of the shares entitled to vote at the Meeting is required to approve this Proposal Two. Abstentions and broker non-votes will have the same effect as votes against this Proposal Two. Unless otherwise instructed, proxies will be voted "FOR" the approval of this Proposal Two.</w:t>
      </w:r>
    </w:p>
    <w:p>
      <w:pPr>
        <w:spacing w:after="0" w:line="133"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THE BOARD OF DIRECTORS UNANIMOUSLY RECOMMENDS THAT SHAREHOLDERS VOTE "FOR" PROPOSAL TWO TO APPROVE AN AMENDMENT TO THE COMPANY'S ARTICLES OF INCORPORATION TO ADOPT A MAJORITY VOTE STANDARD IN UNCONTESTED ELECTIONS OF DIRECTORS AND A PLURALITY VOTE STANDARD IN CONTESTED ELECTIONS OF DIRECTORS.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THREE: TO APPROVE AN AMENDMENT TO THE COMPANY'S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STOCK INCENTIVE PLAN</w:t>
      </w:r>
    </w:p>
    <w:p>
      <w:pPr>
        <w:spacing w:after="0" w:line="21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Board of Directors has adopted resolutions approving an amendment to the Allied Motion Technologies Inc. 2007 Stock Incentive Plan (the "Plan") to increase the total number of shares authorized for issuance under the Plan and to increase the number of shares that may be granted as restricted stock in any year to an individual.</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summary describes the material terms of the Plan. This summary is qualified in its entirety by reference to the full text of the Plan, as amended. The amendment is attached to this proxy statement as Appendix B.</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purposes of the Plan are to promote the long-term financial success of the Corporation and to increase shareholder value by providing incentives to individuals who are responsible for the conduct and management of the Corporation's business or who are involved in endeavors significant to the Corporation's success with an inducement to acquire ownership interests in the Corporation, thus enabling the Corporation to attract and retain the services of outstanding individuals upon whose judgment, interest and special effort the successful conduct of its operations largely depend. These incentives are provided through the grant of stock options, stock appreciation rights, and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21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b w:val="1"/>
          <w:bCs w:val="1"/>
          <w:color w:val="auto"/>
        </w:rPr>
        <w:t xml:space="preserve">The Plan Committee. </w:t>
      </w:r>
      <w:r>
        <w:rPr>
          <w:rFonts w:ascii="Arial" w:cs="Arial" w:eastAsia="Arial" w:hAnsi="Arial"/>
          <w:sz w:val="16"/>
          <w:szCs w:val="16"/>
          <w:color w:val="auto"/>
        </w:rPr>
        <w:t>The Plan provides for grants of awards to such employees and non-employee directors of, and such other persons who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to, the Corporation as the committee appointed by the Corporation's Board of Directors may select from time to time. The Plan will be administered by the committee. The composition of the committee is intended to satisfy the provisions of Section 162(m) of the Internal Revenue Code and Rule 16b-3 of the Exchange Act, with respect to grants of awards to persons subject to these laws. The committee will be authorized, among other things, to construe, interpret and implement the provisions of the Plan, to select the persons to whom awards will be granted, to determine the terms and conditions of such awards and to make all other determinations deemed necessary or advisable for the administration of the Plan. The Plan provides, subject to certain limitations, for indemnification by the Corporation of any director, officer or employee against all reasonable expenses, including attorneys' fees, incurred in connection with any legal action arising from such person's action or failure to act in administering the Plan. All awards granted under the Plan will be evidenced by a written agreement between the Corporation and the participant specifying the terms and conditions of the award, consistent with the requirements of the Plan. The Committee will interpret the Plan and awards granted thereunder, and all determinations of the Committee will be final and binding on all persons having an interest in the Plan or any award.</w:t>
      </w:r>
    </w:p>
    <w:p>
      <w:pPr>
        <w:spacing w:after="0" w:line="16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 xml:space="preserve">Limitations on Awards. </w:t>
      </w:r>
      <w:r>
        <w:rPr>
          <w:rFonts w:ascii="Arial" w:cs="Arial" w:eastAsia="Arial" w:hAnsi="Arial"/>
          <w:sz w:val="18"/>
          <w:szCs w:val="18"/>
          <w:color w:val="auto"/>
        </w:rPr>
        <w:t>The Plan currently permits the issuance of awards reflecting an aggregate of 300,000 shares of the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amendment increased this number to 900,000 shares. Such shares shall be authorized but unissued shares of common stock. Generally, shares subject to an award that remain unissued upon expiration or cancellation of the award will be available for other awards under the Plan. During any calendar year, awards to a single participant will not exceed 200,000 shares subject to restricted stock awards, as increased by the amendment and 100,000 shares subject to stock options or appreciation rights.</w:t>
      </w:r>
    </w:p>
    <w:p>
      <w:pPr>
        <w:spacing w:after="0" w:line="193" w:lineRule="exact"/>
        <w:rPr>
          <w:sz w:val="20"/>
          <w:szCs w:val="20"/>
          <w:color w:val="auto"/>
        </w:rPr>
      </w:pPr>
    </w:p>
    <w:p>
      <w:pPr>
        <w:ind w:right="40" w:firstLine="341"/>
        <w:spacing w:after="0" w:line="296" w:lineRule="auto"/>
        <w:rPr>
          <w:sz w:val="20"/>
          <w:szCs w:val="20"/>
          <w:color w:val="auto"/>
        </w:rPr>
      </w:pPr>
      <w:r>
        <w:rPr>
          <w:rFonts w:ascii="Arial" w:cs="Arial" w:eastAsia="Arial" w:hAnsi="Arial"/>
          <w:sz w:val="16"/>
          <w:szCs w:val="16"/>
          <w:b w:val="1"/>
          <w:bCs w:val="1"/>
          <w:color w:val="auto"/>
        </w:rPr>
        <w:t xml:space="preserve">Adjustments to Awards. </w:t>
      </w:r>
      <w:r>
        <w:rPr>
          <w:rFonts w:ascii="Arial" w:cs="Arial" w:eastAsia="Arial" w:hAnsi="Arial"/>
          <w:sz w:val="16"/>
          <w:szCs w:val="16"/>
          <w:color w:val="auto"/>
        </w:rPr>
        <w:t>If the committee determines that any dividend or other distribution, or stock split, subdivision, consolidation,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or recapitalization other similar corporate transaction or event affects the common stock such that an adjustment would be appropriate in order to prevent dilution or enlargement of the rights of participants under the Plan, then the committee will make such equitable changes or adjustments as it deems necessary to the number and kind of shares of common stock or other property which may thereafter be issued in connection with awards, the limits on individual awards, the number and kind of shares of common stock subject to each outstanding award, and the exercise price of each award.</w:t>
      </w:r>
    </w:p>
    <w:p>
      <w:pPr>
        <w:spacing w:after="0" w:line="162"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b w:val="1"/>
          <w:bCs w:val="1"/>
          <w:color w:val="auto"/>
        </w:rPr>
        <w:t xml:space="preserve">Amendment or Termination of the Plan. </w:t>
      </w:r>
      <w:r>
        <w:rPr>
          <w:rFonts w:ascii="Arial" w:cs="Arial" w:eastAsia="Arial" w:hAnsi="Arial"/>
          <w:sz w:val="18"/>
          <w:szCs w:val="18"/>
          <w:color w:val="auto"/>
        </w:rPr>
        <w:t>The Board may amend or terminate the Plan at any time; provided, however, that stockholder approval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any amendment for which stockholder approval is required and for any amendment which increases the number of shares subject to awards, materially modifies the requirements for eligibility for awards, or extends the term of the Plan, and no such action may, without the consent of the participant, adversely affect the participant's rights and obligations under any outstanding award. It is expected that the number of participants in the Plan will vary over the term of the Plan.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Under the Plan</w:t>
      </w:r>
    </w:p>
    <w:p>
      <w:pPr>
        <w:spacing w:after="0" w:line="219" w:lineRule="exact"/>
        <w:rPr>
          <w:sz w:val="20"/>
          <w:szCs w:val="20"/>
          <w:color w:val="auto"/>
        </w:rPr>
      </w:pPr>
    </w:p>
    <w:p>
      <w:pPr>
        <w:ind w:right="360" w:firstLine="351"/>
        <w:spacing w:after="0" w:line="262"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Awards may be granted to employees, directors and consultants of the Corporation or any present or future subsidiary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stock options may be granted only to employees who, as of the time of grant, are employees of the Corporation or any subsidiary corporation of the Corporation.</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b w:val="1"/>
          <w:bCs w:val="1"/>
          <w:color w:val="auto"/>
        </w:rPr>
        <w:t xml:space="preserve">Stock Option Awards. </w:t>
      </w:r>
      <w:r>
        <w:rPr>
          <w:rFonts w:ascii="Arial" w:cs="Arial" w:eastAsia="Arial" w:hAnsi="Arial"/>
          <w:sz w:val="18"/>
          <w:szCs w:val="18"/>
          <w:color w:val="auto"/>
        </w:rPr>
        <w:t>The committee may grant nonstatutory stock options, incentive stock options within the meaning of Code Section 422,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these. The committee will determine each option's expiration date and purchase price per share payable upon the exercise of such option, which will not be less than the fair market value of a share of common stock on the date of grant. However, any incentive stock option granted to a person who at the time of grant owns stock possessing more than 10% of the total combined voting power of all classes of stock of the Corporation or any subsidiary corporation of the Corporation (a "ten percent shareholder") must have an exercise price equal to at least 110% of the fair market value of a share of common stock on the date of grant.</w:t>
      </w:r>
    </w:p>
    <w:p>
      <w:pPr>
        <w:spacing w:after="0" w:line="19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Options will become vested and exercisable at such times or upon such events and subject to such terms, conditions, performance criteria or restrictions as specified by the committee. The maximum term of any option granted under the Plan is ten years, provided that an incentive stock option granted to a ten percent shareholder must have a term not exceeding five years. Unless otherwise permitted by the committee, an option generally will remain exercisable for thirty days following the participant's termination of service, provided that if service terminates as a result of the participant's death, the option generally will remain exercisable for six months and if service terminates as a result of the participant's death, the option will remain exercisable for three months, but in any event the option must be exercised no later than its expiration date.</w:t>
      </w:r>
    </w:p>
    <w:p>
      <w:pPr>
        <w:spacing w:after="0" w:line="17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Options are nontransferable by the participant other than by will or by the laws of descent and distribution, and are exercisable during the participant's lifetime only by the participant.</w:t>
      </w:r>
    </w:p>
    <w:p>
      <w:pPr>
        <w:spacing w:after="0" w:line="186"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Plan provides that the option exercise price may be paid in cash, by check, or in cash equivalent; by means of a cashless exercise; by tender to the Corporation of shares of common stock owned by the participant having a fair market value not less than the exercise price; by such other lawful consideration as approved by the committee; or by any combination of these. Nevertheless, the committee may restrict the forms of payment permitted in connection with any option grant. No option may be exercised unless the participant has made adequate provision for federal, state, local and foreign taxes, if any, relating to the exercise of the option, including, if permitted or required by the Corporation, through the participant's surrender of a portion of the option shares to the Corporation.</w:t>
      </w:r>
    </w:p>
    <w:p>
      <w:pPr>
        <w:spacing w:after="0" w:line="192"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Stock Appreciation Right Awards. </w:t>
      </w:r>
      <w:r>
        <w:rPr>
          <w:rFonts w:ascii="Arial" w:cs="Arial" w:eastAsia="Arial" w:hAnsi="Arial"/>
          <w:sz w:val="18"/>
          <w:szCs w:val="18"/>
          <w:color w:val="auto"/>
        </w:rPr>
        <w:t>Stock appreciation rights awarded pursuant to the Plan will become exercisable at such times and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committee may determine. The committee will determine the expiration date and exercise price of such stock appreciation right, which will not be less than the fair market value of a share of common stock on the date of grant.</w:t>
      </w:r>
    </w:p>
    <w:p>
      <w:pPr>
        <w:spacing w:after="0" w:line="19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exercise of any stock appreciation right, the participant is entitled to receive an amount equal to the excess of the fair market value of the underlying shares of common stock as to which the right is exercised over the aggregate exercise price for such shares. At the committee's discretion, it may make payment of this stock price appreciation in cash or in shares of common stock whose fair market value on the exercise date equals the payment amount. The payment will be made in a lump sum. The maximum term of any stock appreciation right granted under the Plan is ten years.</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Stock appreciation rights generally are nontransferable by the participant other than by will or by the laws of descent and distribution, and generally are exercisable during the participant's lifetime only by the participant. Other terms of stock appreciation rights generally are similar to the terms of comparable stock options.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Shares of restricted stock awarded pursuant to the Plan will become vested at such times as the committee may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will determine whether such shares of restricted stock will be issued at the beginning of the restriction period, in which cash the participant will be eligible to receive any dividends paid on such shares and the participant will be entitled to vote such shares during the restriction period, or at the end of the restriction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Features of the Plan</w:t>
      </w:r>
    </w:p>
    <w:p>
      <w:pPr>
        <w:spacing w:after="0" w:line="219"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b w:val="1"/>
          <w:bCs w:val="1"/>
          <w:color w:val="auto"/>
        </w:rPr>
        <w:t xml:space="preserve">Approved Transactions. </w:t>
      </w:r>
      <w:r>
        <w:rPr>
          <w:rFonts w:ascii="Arial" w:cs="Arial" w:eastAsia="Arial" w:hAnsi="Arial"/>
          <w:sz w:val="16"/>
          <w:szCs w:val="16"/>
          <w:color w:val="auto"/>
        </w:rPr>
        <w:t>The Plan provides that an "Approved Transaction" occurs upon (a) the acquisition by any person, entity or group (other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its subsidiaries, or any employee benefit plan of the Corporation or its subsidiaries), through one transaction or a series of transactions during a 24-month period, of more than 40% of the combined voting power of the then outstanding voting securities of the any subsidiary of the Corporation; (b)) the sale, exchange or other disposition of all or substantially all of the assets of any subsidiary of Corporation or any division of the Corporation or a subsidiary; (c) the merger or consolidation of the Corporation with one or more other corporations; (d) the sale or other disposition of all or substantially all of the assets of the Corporation pursuant to a plan of liquidation of the Corporation; (e) the exchange by the holders of more than 50% of the outstanding shares of common stock of the Corporation for securities issued by another entity; (f)) the acquisition by any person, entity or group (other than the Corporation and its subsidiaries, or any employee benefit plan of the Corporation or its subsidiaries), through one transaction or a series of transactions during a 24-month period, of more than 40% of the combined voting power of the then outstanding voting securities of the Corporation; or (g) a change in the majority of the members of the Board other than by voluntary resignation, retirement or death during a 24 month period.</w:t>
      </w:r>
    </w:p>
    <w:p>
      <w:pPr>
        <w:spacing w:after="0" w:line="17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the event of an Approved Transaction, with respect to any participant whose employment or service is affected by the approved transaction, as determined under the Plan, all stock options and stock appreciation rights held by such participant will become exercisable, and the restriction period will lapse with respect to all restricted stock.</w:t>
      </w:r>
    </w:p>
    <w:p>
      <w:pPr>
        <w:spacing w:after="0" w:line="19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an Approved Transaction occurs, the committee may direct, without the consent of any participant, that the surviving, continuing, successor or purchasing entity or its parent either will assume all outstanding options and stock appreciation rights or substitute substantially equivalent options or rights for its stock. If any option or stock appreciation right is not to be assumed or substituted for as provided in the preceding sentence, and is not to be canceled as provided in the following paragraph, in connection with an Approved Transaction, the committee, in its sole discretion, may give written notice to the participant establishing a date by which such option or stock appreciation right must be exercised (to the extent vested) prior to the consummation of the Approved Transaction. Any such option or stock appreciation right that is not exercised by the date specified in such notice shall terminate upon the consummation of the Approved Transaction.</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an Approved Transaction occurs, the Plan also authorizes the committee, in its discretion and without the consent of any participant, to cancel each or any outstanding option or stock appreciation right upon such Approved Transaction in exchange for a payment to the participant with respect to each vested share subject to the cancelled award of an amount equal to the excess of the fair market value per share over the exercise price per share of such award multiplied by the number of shares underlying such award, with such payment to be made in cash, in shares of stock of the corporation or other entity which is a party to the approved transaction, or any other property which has a fair market value equal to the payment due the participant.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Federal Income Tax Consequences</w:t>
      </w:r>
    </w:p>
    <w:p>
      <w:pPr>
        <w:spacing w:after="0" w:line="225"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The following discussion is a brief summary of certain U.S. federal income tax consequences under current federal income tax laws relating to awards under the Plan. This summary is not intended to be exhaustive and, among other things, does not describe state, local or foreign income and other tax consequences.</w:t>
      </w:r>
    </w:p>
    <w:p>
      <w:pPr>
        <w:spacing w:after="0" w:line="11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Non-Qualified Stock Options. </w:t>
      </w:r>
      <w:r>
        <w:rPr>
          <w:rFonts w:ascii="Arial" w:cs="Arial" w:eastAsia="Arial" w:hAnsi="Arial"/>
          <w:sz w:val="16"/>
          <w:szCs w:val="16"/>
          <w:color w:val="auto"/>
        </w:rPr>
        <w:t>A participant will not recognize any taxable income upon the grant of a non-qualified stock option. The Corporation will</w:t>
      </w:r>
      <w:r>
        <w:rPr>
          <w:rFonts w:ascii="Arial" w:cs="Arial" w:eastAsia="Arial" w:hAnsi="Arial"/>
          <w:sz w:val="16"/>
          <w:szCs w:val="16"/>
          <w:b w:val="1"/>
          <w:bCs w:val="1"/>
          <w:color w:val="auto"/>
        </w:rPr>
        <w:t xml:space="preserve"> </w:t>
      </w:r>
      <w:r>
        <w:rPr>
          <w:rFonts w:ascii="Arial" w:cs="Arial" w:eastAsia="Arial" w:hAnsi="Arial"/>
          <w:sz w:val="16"/>
          <w:szCs w:val="16"/>
          <w:color w:val="auto"/>
        </w:rPr>
        <w:t>not be entitled to a tax deduction with respect to the grant of a non-qualified stock option. Upon exercise of a non-qualified stock option, the excess of the fair market value of common stock on the exercise date over the option exercise price will be taxable as compensation income to the participant and will be subject to applicable withholding taxes. The Corporation will generally be entitled to a tax deduction at such time in the amount of such compensation income. The participant's tax basis for common stock received pursuant to the exercise of a non-qualified stock option will equal the sum of such compensation income and the exercise price. In the event of a sale, exchange or other distribution of common stock received upon the exercise of a non-qualified stock option, any appreciation or depreciation after the exercise date generally will constitute a capital gain or loss.</w:t>
      </w:r>
    </w:p>
    <w:p>
      <w:pPr>
        <w:spacing w:after="0" w:line="167" w:lineRule="exact"/>
        <w:rPr>
          <w:sz w:val="20"/>
          <w:szCs w:val="20"/>
          <w:color w:val="auto"/>
        </w:rPr>
      </w:pPr>
    </w:p>
    <w:p>
      <w:pPr>
        <w:ind w:right="40" w:firstLine="351"/>
        <w:spacing w:after="0" w:line="302" w:lineRule="auto"/>
        <w:rPr>
          <w:sz w:val="20"/>
          <w:szCs w:val="20"/>
          <w:color w:val="auto"/>
        </w:rPr>
      </w:pPr>
      <w:r>
        <w:rPr>
          <w:rFonts w:ascii="Arial" w:cs="Arial" w:eastAsia="Arial" w:hAnsi="Arial"/>
          <w:sz w:val="15"/>
          <w:szCs w:val="15"/>
          <w:b w:val="1"/>
          <w:bCs w:val="1"/>
          <w:color w:val="auto"/>
        </w:rPr>
        <w:t xml:space="preserve">Incentive Stock Options. </w:t>
      </w:r>
      <w:r>
        <w:rPr>
          <w:rFonts w:ascii="Arial" w:cs="Arial" w:eastAsia="Arial" w:hAnsi="Arial"/>
          <w:sz w:val="15"/>
          <w:szCs w:val="15"/>
          <w:color w:val="auto"/>
        </w:rPr>
        <w:t>A participant will not recognize any taxable income at the time of grant or timely exercise of an incentive stock option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will not be entitled to a tax deduction with respect to such grant or exercise. The exercise of an incentive stock option may, however, give rise to taxable compensation income, and a tax deduction to the Corporation, if the incentive stock option is not exercised on a timely basis (generally, while the participant is employed by the Corporation or within 90 days after termination of employment) or if the participant subsequently engages in a "disqualifying disposition" as described below. A sale or exchange by a participant of shares acquired upon the exercise of an incentive stock option more than one year after the transfer of the shares to such participant and more than two years after the date of grant of the incentive stock option will result in any difference between the net sale proceeds and the exercise price being treated as long-term capital gain (or loss) to the participant. If such sale or exchange takes place within two years after the date of the grant of the incentive stock option or within one year from the date of the issuance of the incentive stock option shares to the participant, such sale or exchange generally will constitute a "disqualifying disposition" of such shares that will have the following results: any excess of (a) the lesser of (i) the fair market value of the shares at the time of exercise of the incentive stock option and (ii) the amount realized on such disqualifying disposition of the shares over</w:t>
      </w:r>
    </w:p>
    <w:p>
      <w:pPr>
        <w:spacing w:after="0" w:line="3" w:lineRule="exact"/>
        <w:rPr>
          <w:sz w:val="20"/>
          <w:szCs w:val="20"/>
          <w:color w:val="auto"/>
        </w:rPr>
      </w:pPr>
    </w:p>
    <w:p>
      <w:pPr>
        <w:ind w:right="80" w:firstLine="8"/>
        <w:spacing w:after="0" w:line="295" w:lineRule="auto"/>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option exercise price of such shares will be ordinary income to the participant and the Corporation will generally be entitled to a tax deduction in the amount of such income. Any further gain or loss after the date of exercise generally will constitute a capital gain or loss and will not result in any deduction by the Corporation. The amount by which the fair market value of the common stock on the exercise date of any incentive stock option exceeds the option price will be an item of adjustment for purposes of the "alternative minimum tax" imposed by Code Section 55.</w:t>
      </w:r>
    </w:p>
    <w:p>
      <w:pPr>
        <w:spacing w:after="0" w:line="163" w:lineRule="exact"/>
        <w:rPr>
          <w:sz w:val="20"/>
          <w:szCs w:val="20"/>
          <w:color w:val="auto"/>
        </w:rPr>
      </w:pPr>
    </w:p>
    <w:p>
      <w:pPr>
        <w:ind w:right="20" w:firstLine="348"/>
        <w:spacing w:after="0" w:line="275" w:lineRule="auto"/>
        <w:rPr>
          <w:sz w:val="20"/>
          <w:szCs w:val="20"/>
          <w:color w:val="auto"/>
        </w:rPr>
      </w:pPr>
      <w:r>
        <w:rPr>
          <w:rFonts w:ascii="Arial" w:cs="Arial" w:eastAsia="Arial" w:hAnsi="Arial"/>
          <w:sz w:val="18"/>
          <w:szCs w:val="18"/>
          <w:b w:val="1"/>
          <w:bCs w:val="1"/>
          <w:color w:val="auto"/>
        </w:rPr>
        <w:t xml:space="preserve">Transferred Options: Estate and Gift Taxes. </w:t>
      </w:r>
      <w:r>
        <w:rPr>
          <w:rFonts w:ascii="Arial" w:cs="Arial" w:eastAsia="Arial" w:hAnsi="Arial"/>
          <w:sz w:val="18"/>
          <w:szCs w:val="18"/>
          <w:color w:val="auto"/>
        </w:rPr>
        <w:t>If incentive stock options or non-qualified stock options are held until death, federal and, if applicable, state</w:t>
      </w:r>
      <w:r>
        <w:rPr>
          <w:rFonts w:ascii="Arial" w:cs="Arial" w:eastAsia="Arial" w:hAnsi="Arial"/>
          <w:sz w:val="18"/>
          <w:szCs w:val="18"/>
          <w:b w:val="1"/>
          <w:bCs w:val="1"/>
          <w:color w:val="auto"/>
        </w:rPr>
        <w:t xml:space="preserve"> </w:t>
      </w:r>
      <w:r>
        <w:rPr>
          <w:rFonts w:ascii="Arial" w:cs="Arial" w:eastAsia="Arial" w:hAnsi="Arial"/>
          <w:sz w:val="18"/>
          <w:szCs w:val="18"/>
          <w:color w:val="auto"/>
        </w:rPr>
        <w:t>estate and inheritance taxes would be imposed on the fair market value of the options at the time of death.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A participant generally will not realize taxable income and the Corporation will not be entitled to a deduction upon the grant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At the time the shares are no longer subject to a substantial risk of forfeiture (as defined in the Code) or become transferable, the participant will realize taxable ordinary income in an amount equal to the fair market value of such number of shares which have become nonforfeitable or transferable. However, a participant may make an income recognition election under Code Section 83(b) (an "83(b) Election"), within 30 days of the grant of restricted shares, to recognize taxable ordinary income in the year the restricted stock is awarded in an amount equal to their fair market value at the time of the award, determined without regard to the restrictions. In that event, the Corporation will be entitled to a deduction in such year in the same amount, provided that the Corporation complies with applicable income tax reporting requirements, and any gain or loss realized by the participant upon the subsequent disposition of the shares will be capital gain or loss and will not result in any further deduction to the Corporation. Any dividends with respect to the restricted shares that are paid or made available to a participant who has not made an 83(b) Election while the shares remain forfeitable are treated as additional compensation taxable as ordinary income to the participant and deductible by the Corporation when paid. If an 83(b) Election has been made with respect to the restricted shares, the dividends represent ordinary dividend income to the participant and are not deductible by the Corporation. If the participant makes an 83(b) Election and subsequently forfeits the shares, the participant is not entitled to a deduction as a consequence of such forfeiture, and the Corporation must include as ordinary income the amount it previously deducted in the year of grant with respect to such shares.</w:t>
      </w:r>
    </w:p>
    <w:p>
      <w:pPr>
        <w:spacing w:after="0" w:line="175"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Stock Appreciation Rights. </w:t>
      </w:r>
      <w:r>
        <w:rPr>
          <w:rFonts w:ascii="Arial" w:cs="Arial" w:eastAsia="Arial" w:hAnsi="Arial"/>
          <w:sz w:val="16"/>
          <w:szCs w:val="16"/>
          <w:color w:val="auto"/>
        </w:rPr>
        <w:t>There will be no federal income tax consequences to either the participant or the Corporation on the grant of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right, or during the period that such a right remains outstanding. Upon exercise of such a right, the cash, common stock or other property received by the participant is taxable to the participant as ordinary income and the Corporation will be entitled to a corresponding deduction, provided it complies with applicable income tax reporting requirements. Upon the sale of any common stock acquired by exercise of a stock appreciation right, the participant will realize long-term or short-term gain or loss, depending upon the holding period of such shares.</w:t>
      </w:r>
    </w:p>
    <w:p>
      <w:pPr>
        <w:spacing w:after="0" w:line="162" w:lineRule="exact"/>
        <w:rPr>
          <w:sz w:val="20"/>
          <w:szCs w:val="20"/>
          <w:color w:val="auto"/>
        </w:rPr>
      </w:pPr>
    </w:p>
    <w:p>
      <w:pPr>
        <w:ind w:right="140" w:firstLine="348"/>
        <w:spacing w:after="0" w:line="262" w:lineRule="auto"/>
        <w:rPr>
          <w:sz w:val="20"/>
          <w:szCs w:val="20"/>
          <w:color w:val="auto"/>
        </w:rPr>
      </w:pPr>
      <w:r>
        <w:rPr>
          <w:rFonts w:ascii="Arial" w:cs="Arial" w:eastAsia="Arial" w:hAnsi="Arial"/>
          <w:sz w:val="18"/>
          <w:szCs w:val="18"/>
          <w:b w:val="1"/>
          <w:bCs w:val="1"/>
          <w:color w:val="auto"/>
        </w:rPr>
        <w:t xml:space="preserve">Tax Consequences of Vesting Upon an Approved Transaction. </w:t>
      </w:r>
      <w:r>
        <w:rPr>
          <w:rFonts w:ascii="Arial" w:cs="Arial" w:eastAsia="Arial" w:hAnsi="Arial"/>
          <w:sz w:val="18"/>
          <w:szCs w:val="18"/>
          <w:color w:val="auto"/>
        </w:rPr>
        <w:t>The accelerated vesting of awards under the Plan in connection with an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could cause award holders to be subject to the federal excise tax on "excess parachute payments" and cause a corresponding loss of deduction on the part of the Corporation.</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Code Section 409A. </w:t>
      </w:r>
      <w:r>
        <w:rPr>
          <w:rFonts w:ascii="Arial" w:cs="Arial" w:eastAsia="Arial" w:hAnsi="Arial"/>
          <w:sz w:val="16"/>
          <w:szCs w:val="16"/>
          <w:color w:val="auto"/>
        </w:rPr>
        <w:t>Congress enacted Section 409A of the Code under the American Jobs Creation Act of 2004. Under Code Section 409A,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deferred under a "nonqualified deferred compensation plan" are included in income when deferred, or when the amount is no longer subject to a substantial risk of forfeiture, if later, unless the plan complies with certain requirements imposed under Code Section 409A, including requirements related to the timing of elections and distributions. If a plan fails to comply with the requirements of Code Section 409A, then all deferred amounts are included in the individual's taxable income, and the individual is subject to an additional tax equal to 20% plus interest at the IRS underpayment rate plus 1% from the time the amount first was deferred or no longer was subject to a substantial risk of forfeiture, if later, to the time the amount is included in income. While the IRS has provided exceptions for some equity-based arrangements, other types of equity-based arrangements are considered nonqualified deferred compensation subject to Code Section 409A. Under Code Section 409A, exceptions from the application of Code Section 409A include transfers of restricted stock, stock options granted at fair market value (including nonstatutory stock options and incentive stock options), and stock appreciation rights (if the stock appreciation right is granted at the fair market value of the underlying shares of stock). The Plan is intended to be administered in a manner consistent with the requirements for exemption of the awards from Section 409A. However, notwithstanding the foregoing, neither the Corporation nor the committee will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have any liability to any person in the event Code Section 409A applies to any award in a manner that results in adverse tax consequences for the participant or any of his beneficiaries or transferees.</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Benefits under the Plan will depend on number of factors, including the fair market value of common stock on future dates and the exercise decisions made by the participants. Consequently, it is not possible to determine the benefits that might be received by the participants receiving grants under the Plan.</w:t>
      </w:r>
    </w:p>
    <w:p>
      <w:pPr>
        <w:spacing w:after="0" w:line="13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approve the amendment to the 2007 Stock Incentive Plan.</w:t>
      </w:r>
    </w:p>
    <w:p>
      <w:pPr>
        <w:spacing w:after="0" w:line="180"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THE BOARD OF DIRECTORS UNANIMOUSLY RECOMMENDS A VOTE "FOR" PROPOSAL THREE TO APPROVE THE AMENDMENT TO THE COMPANY'S 2007 STOCK INCENTIVE PLAN. UNLESS OTHERWISE INSTRUCTED, PROXIES WILL BE VOTED "FOR" THE AMENDMENT.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FOUR: RATIFICATION OF INDEPENDENT REGISTERED PUBLIC ACCOUNTING FIRM</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Audit Committee of the Board of Directors has appointed Ehrhardt Keefe Steiner &amp; Hottman PC (EKS&amp;H) to act as auditors for the fiscal year ending December 31, 2010. EKS&amp;H has served as the independent registered public accounting firm for the Company since 2006. A representative of EKS&amp;H is expected to be present at the Annual Meeting and will have an opportunity to make a statement, if he or she so desires, and will be available to respond to appropriate questions.</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97"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EKS&amp;H. The directors of the Company unanimously recommend a vote "FOR" the ratification of EKS&amp;H as the Company's independent registered public accounting firm for 2009. Unless otherwise instructed, proxies will be voted "FOR" ratification of the appointment of EKS&amp;H.</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fees paid by the Company for the audit and other services provided by EKS&amp;H for 2009 and 2008.</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207,970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210,335</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31,533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46,896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88,503</w:t>
            </w:r>
          </w:p>
        </w:tc>
        <w:tc>
          <w:tcPr>
            <w:tcW w:w="0" w:type="dxa"/>
            <w:vAlign w:val="bottom"/>
          </w:tcPr>
          <w:p>
            <w:pPr>
              <w:spacing w:after="0"/>
              <w:rPr>
                <w:sz w:val="1"/>
                <w:szCs w:val="1"/>
                <w:color w:val="auto"/>
              </w:rPr>
            </w:pPr>
          </w:p>
        </w:tc>
      </w:tr>
      <w:tr>
        <w:trPr>
          <w:trHeight w:val="27"/>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300,923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345,734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0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840" w:right="420" w:hanging="550"/>
        <w:spacing w:after="0" w:line="259" w:lineRule="auto"/>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fees include amounts related to professional services provided in connection with the audits of the Company's annual financial statements, reviews of the Company's quarterly financial statements and audit services provided in connection with other regulatory filings,</w:t>
      </w:r>
    </w:p>
    <w:p>
      <w:pPr>
        <w:spacing w:after="0" w:line="221" w:lineRule="exact"/>
        <w:rPr>
          <w:rFonts w:ascii="Arial" w:cs="Arial" w:eastAsia="Arial" w:hAnsi="Arial"/>
          <w:sz w:val="18"/>
          <w:szCs w:val="18"/>
          <w:color w:val="auto"/>
        </w:rPr>
      </w:pPr>
    </w:p>
    <w:p>
      <w:pPr>
        <w:ind w:left="2840" w:hanging="550"/>
        <w:spacing w:after="0"/>
        <w:tabs>
          <w:tab w:leader="none" w:pos="2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Audit-related fees consist of benefit plan audits.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2840" w:hanging="550"/>
        <w:spacing w:after="0"/>
        <w:tabs>
          <w:tab w:leader="none" w:pos="2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principally include fees for tax compliance and tax consulting.</w:t>
      </w:r>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3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affirmative vote of a majority of the votes cast on the proposal, assuming a quorum is present at the Meeting, is required to ratify the appointment of Ehrhardt Keefe Steiner &amp; Hottman PC as the Company's independent public accounting firm for 2010.</w:t>
      </w:r>
    </w:p>
    <w:p>
      <w:pPr>
        <w:spacing w:after="0" w:line="180" w:lineRule="exact"/>
        <w:rPr>
          <w:sz w:val="20"/>
          <w:szCs w:val="20"/>
          <w:color w:val="auto"/>
        </w:rPr>
      </w:pPr>
    </w:p>
    <w:p>
      <w:pPr>
        <w:ind w:right="94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RATIFICATION. UNLESS OTHERWISE INSTRUCTED, PROXIES WILL BE VOTED "FOR" THE RATIFICATION.</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Our management does not know of any other matters to come before the 2010 Annual Meeting. However, if any other matters come before the Annual Meeting, it is the intention of the persons designated as proxies to vote in accordance with their judgment on such matters.</w:t>
      </w:r>
    </w:p>
    <w:p>
      <w:pPr>
        <w:spacing w:after="0" w:line="34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SHAREHOLDER PROPOSALS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 THE 2011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31"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2011 Annual Meeting of Shareholders must submit such proposal to the Company at its office at 23 Inverness Way East, Suite 150, Englewood, Colorado 80112, Attention: Secretary, no later than November 24, 2010, in order to be considered for inclusion, if appropriate, in the Company's proxy statement and form of proxy relating to its 2011 Annual Meeting of Shareholders.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any shareholder proposal to be presented in connection with the 2011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Based upon a meeting date of May 12, 2011 for the 2011 Annual Meeting of Shareholders, a qualified shareholder intending to introduce a proposal or nominate a director at the 2011 Annual Meeting of Shareholders should give written notice to the Company's Secretary not later than March 13, 2011 and not earlier than February 11, 2011.</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Such requests and any shareholder proposals should be sent to the Secretary of the Company at 23 Inverness Way East, Suite 150, Englewood, Colorado 80112.</w:t>
      </w:r>
    </w:p>
    <w:p>
      <w:pPr>
        <w:spacing w:after="0" w:line="18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165735</wp:posOffset>
            </wp:positionV>
            <wp:extent cx="2418080" cy="3689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19, 2010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9.2 of the Company's Amended and Restated Articles of Incorporation will be amended and restated to read as follows: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Election of Directors.</w:t>
      </w:r>
      <w:r>
        <w:rPr>
          <w:rFonts w:ascii="Arial" w:cs="Arial" w:eastAsia="Arial" w:hAnsi="Arial"/>
          <w:sz w:val="16"/>
          <w:szCs w:val="16"/>
          <w:color w:val="auto"/>
        </w:rPr>
        <w:t xml:space="preserve"> Except as provided in the Company's Bylaws with respect to the election of a Director to fill a vacancy in the Board of Directors, each Director shall be elected by the vote of the majority of the votes cast with respect to the Director at any shareholder meeting held for the election of directors at which a quorum is present, or an adjournment thereof; provided, however, that if as of the date that is ten days in advance of the date the Company files its definitive proxy statement (regardless of whether or not thereafter revised or supplemented) with the Securities and Exchange Commission with respect to a shareholder meeting the number of nominees for election as a Director is greater than the number of directors to be elected, then the Directors shall be elected at the meeting by the vote of a plurality of the shares represented in person or by proxy at that meeting and entitled to vote on the election of Directors. For purposes of this Section, a majority of the votes cast means the number of shares voted "for" a Director exceeds the number of votes cast "against" the Director. Broker non-votes and abstentions will not be considered votes cast at the shareholder meeting and will be excluded in determining the number of votes cast at the shareholder meeting. Each Director shall hold office for the term for which he is elected and until his successor has been elected and qualified.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B</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ALLIED MOTION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AMENDMENT is made by Allied Motion Technologies Inc., a Colorado corporation (the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Corporation entered into and executed the Allied Motion Technologies Inc. 2007 Stock Incentive Plan (the "Plan"); and</w:t>
      </w:r>
    </w:p>
    <w:p>
      <w:pPr>
        <w:spacing w:after="0" w:line="225" w:lineRule="exact"/>
        <w:rPr>
          <w:sz w:val="20"/>
          <w:szCs w:val="20"/>
          <w:color w:val="auto"/>
        </w:rPr>
      </w:pPr>
    </w:p>
    <w:p>
      <w:pPr>
        <w:ind w:left="360" w:right="400"/>
        <w:spacing w:after="0" w:line="501" w:lineRule="auto"/>
        <w:rPr>
          <w:sz w:val="20"/>
          <w:szCs w:val="20"/>
          <w:color w:val="auto"/>
        </w:rPr>
      </w:pPr>
      <w:r>
        <w:rPr>
          <w:rFonts w:ascii="Arial" w:cs="Arial" w:eastAsia="Arial" w:hAnsi="Arial"/>
          <w:sz w:val="18"/>
          <w:szCs w:val="18"/>
          <w:color w:val="auto"/>
        </w:rPr>
        <w:t>WHEREAS, Section 9.1 of the Plan provides that "The Board may at any time terminate, and from time-to-time may amend or modify, the Plan..."; and WHEREAS, the Corporation desires to amend the Plan.</w:t>
      </w:r>
    </w:p>
    <w:p>
      <w:pPr>
        <w:ind w:left="360"/>
        <w:spacing w:after="0"/>
        <w:rPr>
          <w:sz w:val="20"/>
          <w:szCs w:val="20"/>
          <w:color w:val="auto"/>
        </w:rPr>
      </w:pPr>
      <w:r>
        <w:rPr>
          <w:rFonts w:ascii="Arial" w:cs="Arial" w:eastAsia="Arial" w:hAnsi="Arial"/>
          <w:sz w:val="18"/>
          <w:szCs w:val="18"/>
          <w:color w:val="auto"/>
        </w:rPr>
        <w:t>NOW THEREFORE, the Corporation hereby amends the Plan as follows:</w:t>
      </w:r>
    </w:p>
    <w:p>
      <w:pPr>
        <w:spacing w:after="0" w:line="225" w:lineRule="exact"/>
        <w:rPr>
          <w:sz w:val="20"/>
          <w:szCs w:val="20"/>
          <w:color w:val="auto"/>
        </w:rPr>
      </w:pPr>
    </w:p>
    <w:p>
      <w:pPr>
        <w:ind w:left="360" w:right="2840" w:hanging="1"/>
        <w:spacing w:after="0" w:line="563" w:lineRule="auto"/>
        <w:tabs>
          <w:tab w:leader="none" w:pos="711"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first sentence of Section 4.1 hereby is amended to read as follows (underlined language added or changed): 900,000 </w:t>
      </w:r>
      <w:r>
        <w:rPr>
          <w:rFonts w:ascii="Arial" w:cs="Arial" w:eastAsia="Arial" w:hAnsi="Arial"/>
          <w:sz w:val="16"/>
          <w:szCs w:val="16"/>
          <w:color w:val="auto"/>
        </w:rPr>
        <w:t>Shares are authorized for issuance under the Plan in accordance with the provisions of the Plan.</w:t>
      </w:r>
    </w:p>
    <w:p>
      <w:pPr>
        <w:spacing w:after="0" w:line="1" w:lineRule="exact"/>
        <w:rPr>
          <w:rFonts w:ascii="Arial" w:cs="Arial" w:eastAsia="Arial" w:hAnsi="Arial"/>
          <w:sz w:val="16"/>
          <w:szCs w:val="16"/>
          <w:i w:val="1"/>
          <w:iCs w:val="1"/>
          <w:color w:val="auto"/>
        </w:rPr>
      </w:pPr>
    </w:p>
    <w:p>
      <w:pPr>
        <w:ind w:left="720" w:hanging="361"/>
        <w:spacing w:after="0"/>
        <w:tabs>
          <w:tab w:leader="none" w:pos="7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Section 4.1(c) hereby is amended to read as follows (underlined language added or changed):</w:t>
      </w:r>
    </w:p>
    <w:p>
      <w:pPr>
        <w:spacing w:after="0" w:line="238" w:lineRule="exact"/>
        <w:rPr>
          <w:rFonts w:ascii="Arial" w:cs="Arial" w:eastAsia="Arial" w:hAnsi="Arial"/>
          <w:sz w:val="18"/>
          <w:szCs w:val="18"/>
          <w:i w:val="1"/>
          <w:iCs w:val="1"/>
          <w:color w:val="auto"/>
        </w:rPr>
      </w:pPr>
    </w:p>
    <w:p>
      <w:pPr>
        <w:ind w:left="1080" w:right="20" w:hanging="532"/>
        <w:spacing w:after="0" w:line="268"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maximum number of Shares of Stock that may be covered by Awards granted to any one Eligible Participant during any calendar year shall be </w:t>
      </w:r>
      <w:r>
        <w:rPr>
          <w:rFonts w:ascii="Arial" w:cs="Arial" w:eastAsia="Arial" w:hAnsi="Arial"/>
          <w:sz w:val="18"/>
          <w:szCs w:val="18"/>
          <w:i w:val="1"/>
          <w:iCs w:val="1"/>
          <w:color w:val="auto"/>
        </w:rPr>
        <w:t xml:space="preserve">200,000 </w:t>
      </w:r>
      <w:r>
        <w:rPr>
          <w:rFonts w:ascii="Arial" w:cs="Arial" w:eastAsia="Arial" w:hAnsi="Arial"/>
          <w:sz w:val="18"/>
          <w:szCs w:val="18"/>
          <w:color w:val="auto"/>
        </w:rPr>
        <w:t>Shares for Restricted Stock Awards plus 100,000 Shares for Option and SAR Awards.</w:t>
      </w:r>
    </w:p>
    <w:p>
      <w:pPr>
        <w:spacing w:after="0" w:line="185" w:lineRule="exact"/>
        <w:rPr>
          <w:rFonts w:ascii="Arial" w:cs="Arial" w:eastAsia="Arial" w:hAnsi="Arial"/>
          <w:sz w:val="18"/>
          <w:szCs w:val="18"/>
          <w:color w:val="auto"/>
        </w:rPr>
      </w:pPr>
    </w:p>
    <w:p>
      <w:pPr>
        <w:ind w:right="40" w:firstLine="359"/>
        <w:spacing w:after="0" w:line="268" w:lineRule="auto"/>
        <w:tabs>
          <w:tab w:leader="none" w:pos="702"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Except as provided above, the Corporation hereby reaffirms and readopts each and every other provision of the Plan, to the extent not inconsistent with this amendment.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4 The effective date of this amendment shall be January 1, 2010, and this amendment shall apply to all currently outstanding stock award agreements and all future stock awards granted under the Plan.</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WITNESS WHEREOF, the undersigned officer of the Corporation, having been duly authorized by the Board of Directors of the Corporation, has signed this amendment effective as of the date set forth above.</w:t>
      </w:r>
    </w:p>
    <w:p>
      <w:pPr>
        <w:spacing w:after="0" w:line="200" w:lineRule="exact"/>
        <w:rPr>
          <w:sz w:val="20"/>
          <w:szCs w:val="20"/>
          <w:color w:val="auto"/>
        </w:rPr>
      </w:pP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ALLIED MOTION TECHNOLOGIES INC.</w:t>
      </w:r>
    </w:p>
    <w:p>
      <w:pPr>
        <w:spacing w:after="0" w:line="252" w:lineRule="exact"/>
        <w:rPr>
          <w:sz w:val="20"/>
          <w:szCs w:val="20"/>
          <w:color w:val="auto"/>
        </w:rPr>
      </w:pPr>
    </w:p>
    <w:p>
      <w:pPr>
        <w:ind w:left="508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M. CHIARMONTE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71120</wp:posOffset>
            </wp:positionV>
            <wp:extent cx="2941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78" w:lineRule="exact"/>
        <w:rPr>
          <w:sz w:val="20"/>
          <w:szCs w:val="20"/>
          <w:color w:val="auto"/>
        </w:rPr>
      </w:pPr>
    </w:p>
    <w:p>
      <w:pPr>
        <w:ind w:left="5080"/>
        <w:spacing w:after="0"/>
        <w:tabs>
          <w:tab w:leader="none" w:pos="5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Secretary and Treasurer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22"/>
          <w:szCs w:val="22"/>
          <w:b w:val="1"/>
          <w:bCs w:val="1"/>
          <w:color w:val="auto"/>
        </w:rPr>
        <w:t>ALLIED MOTION TECHNOLOGIES INC.</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23 Inverness Way East, Ste. 150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Englewood, CO 80112</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May 13, 2010, and at all adjournments thereof, with respect to the following:</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ANNUAL MEETING OF SHAREHOLDERS OF</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ALLIED MOTION TECHNOLOGIES INC.</w:t>
      </w:r>
    </w:p>
    <w:p>
      <w:pPr>
        <w:jc w:val="center"/>
        <w:ind w:right="-59"/>
        <w:spacing w:after="0"/>
        <w:rPr>
          <w:sz w:val="20"/>
          <w:szCs w:val="20"/>
          <w:color w:val="auto"/>
        </w:rPr>
      </w:pPr>
      <w:r>
        <w:rPr>
          <w:rFonts w:ascii="Arial" w:cs="Arial" w:eastAsia="Arial" w:hAnsi="Arial"/>
          <w:sz w:val="18"/>
          <w:szCs w:val="18"/>
          <w:b w:val="1"/>
          <w:bCs w:val="1"/>
          <w:color w:val="auto"/>
        </w:rPr>
        <w:t>MAY 13, 2010</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https://materials.proxyvote.com/019330</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EACH NOMINEE NAMED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ALL OTHER PROPOSALS</w:t>
      </w:r>
    </w:p>
    <w:p>
      <w:pPr>
        <w:spacing w:after="0" w:line="213" w:lineRule="exact"/>
        <w:rPr>
          <w:sz w:val="20"/>
          <w:szCs w:val="20"/>
          <w:color w:val="auto"/>
        </w:rPr>
      </w:pPr>
    </w:p>
    <w:p>
      <w:pPr>
        <w:jc w:val="center"/>
        <w:ind w:left="340"/>
        <w:spacing w:after="0" w:line="232" w:lineRule="exact"/>
        <w:rPr>
          <w:sz w:val="20"/>
          <w:szCs w:val="20"/>
          <w:color w:val="auto"/>
        </w:rPr>
      </w:pPr>
      <w:r>
        <w:rPr>
          <w:rFonts w:ascii="Arial" w:cs="Arial" w:eastAsia="Arial" w:hAnsi="Arial"/>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To elect seven directors to hold office until the next Annual Meeting of shareholders.</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NOMINEES:</w:t>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 D. Hock, G.D. Hubbard, G. J. Pilmanis, M.M. Robert,</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S.R. Heath, Jr. R.D. Smith, R.S. Warzala</w:t>
      </w:r>
    </w:p>
    <w:p>
      <w:pPr>
        <w:spacing w:after="0" w:line="240" w:lineRule="exact"/>
        <w:rPr>
          <w:sz w:val="20"/>
          <w:szCs w:val="20"/>
          <w:color w:val="auto"/>
        </w:rPr>
      </w:pPr>
    </w:p>
    <w:p>
      <w:pPr>
        <w:ind w:left="1400" w:hanging="609"/>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FOR ALL NOMINEES</w:t>
      </w:r>
    </w:p>
    <w:p>
      <w:pPr>
        <w:spacing w:after="0" w:line="252" w:lineRule="exact"/>
        <w:rPr>
          <w:rFonts w:ascii="Arial" w:cs="Arial" w:eastAsia="Arial" w:hAnsi="Arial"/>
          <w:sz w:val="18"/>
          <w:szCs w:val="18"/>
          <w:color w:val="auto"/>
        </w:rPr>
      </w:pPr>
    </w:p>
    <w:p>
      <w:pPr>
        <w:ind w:left="1400" w:right="7820" w:hanging="609"/>
        <w:spacing w:after="0" w:line="275" w:lineRule="auto"/>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for all nominees</w:t>
      </w:r>
    </w:p>
    <w:p>
      <w:pPr>
        <w:spacing w:after="0" w:line="200" w:lineRule="exact"/>
        <w:rPr>
          <w:rFonts w:ascii="Arial" w:cs="Arial" w:eastAsia="Arial" w:hAnsi="Arial"/>
          <w:sz w:val="18"/>
          <w:szCs w:val="18"/>
          <w:color w:val="auto"/>
        </w:rPr>
      </w:pPr>
    </w:p>
    <w:p>
      <w:pPr>
        <w:ind w:left="1400" w:right="8260" w:hanging="609"/>
        <w:spacing w:after="0" w:line="378" w:lineRule="auto"/>
        <w:tabs>
          <w:tab w:leader="none" w:pos="1400" w:val="left"/>
        </w:tabs>
        <w:numPr>
          <w:ilvl w:val="0"/>
          <w:numId w:val="19"/>
        </w:numPr>
        <w:rPr>
          <w:rFonts w:ascii="Arial" w:cs="Arial" w:eastAsia="Arial" w:hAnsi="Arial"/>
          <w:sz w:val="15"/>
          <w:szCs w:val="15"/>
          <w:color w:val="auto"/>
        </w:rPr>
      </w:pPr>
      <w:r>
        <w:rPr>
          <w:rFonts w:ascii="Arial" w:cs="Arial" w:eastAsia="Arial" w:hAnsi="Arial"/>
          <w:sz w:val="15"/>
          <w:szCs w:val="15"/>
          <w:b w:val="1"/>
          <w:bCs w:val="1"/>
          <w:color w:val="auto"/>
        </w:rPr>
        <w:t xml:space="preserve">FOR ALL EXCEPT </w:t>
      </w:r>
      <w:r>
        <w:rPr>
          <w:rFonts w:ascii="Arial" w:cs="Arial" w:eastAsia="Arial" w:hAnsi="Arial"/>
          <w:sz w:val="15"/>
          <w:szCs w:val="15"/>
          <w:color w:val="auto"/>
        </w:rPr>
        <w:t>(See instructions below)</w:t>
      </w:r>
    </w:p>
    <w:p>
      <w:pPr>
        <w:spacing w:after="0" w:line="132" w:lineRule="exact"/>
        <w:rPr>
          <w:sz w:val="20"/>
          <w:szCs w:val="20"/>
          <w:color w:val="auto"/>
        </w:rPr>
      </w:pPr>
    </w:p>
    <w:p>
      <w:pPr>
        <w:ind w:left="800" w:right="200"/>
        <w:spacing w:after="0" w:line="262" w:lineRule="auto"/>
        <w:rPr>
          <w:sz w:val="20"/>
          <w:szCs w:val="20"/>
          <w:color w:val="auto"/>
        </w:rPr>
      </w:pPr>
      <w:r>
        <w:rPr>
          <w:rFonts w:ascii="Arial" w:cs="Arial" w:eastAsia="Arial" w:hAnsi="Arial"/>
          <w:sz w:val="18"/>
          <w:szCs w:val="18"/>
          <w:color w:val="auto"/>
        </w:rPr>
        <w:t xml:space="preserve">INSTRUCTIONS: To withhold authority to vote for any individual nominee(s), mark </w:t>
      </w:r>
      <w:r>
        <w:rPr>
          <w:rFonts w:ascii="Arial" w:cs="Arial" w:eastAsia="Arial" w:hAnsi="Arial"/>
          <w:sz w:val="18"/>
          <w:szCs w:val="18"/>
          <w:b w:val="1"/>
          <w:bCs w:val="1"/>
          <w:color w:val="auto"/>
        </w:rPr>
        <w:t>"FOR ALL EXCEPT"</w:t>
      </w:r>
      <w:r>
        <w:rPr>
          <w:rFonts w:ascii="Arial" w:cs="Arial" w:eastAsia="Arial" w:hAnsi="Arial"/>
          <w:sz w:val="18"/>
          <w:szCs w:val="18"/>
          <w:color w:val="auto"/>
        </w:rPr>
        <w:t xml:space="preserve"> and print that nominee's name in the space provided below. </w:t>
      </w:r>
      <w:r>
        <w:rPr>
          <w:rFonts w:ascii="Arial" w:cs="Arial" w:eastAsia="Arial" w:hAnsi="Arial"/>
          <w:sz w:val="18"/>
          <w:szCs w:val="18"/>
          <w:b w:val="1"/>
          <w:bCs w:val="1"/>
          <w:color w:val="auto"/>
        </w:rPr>
        <w:t>IF AUTHORITY TO VOTE FOR NOMINEES IS NOT EXPRESSLY WITHHELD, IT SHALL BE DEEMED</w:t>
      </w:r>
      <w:r>
        <w:rPr>
          <w:rFonts w:ascii="Arial" w:cs="Arial" w:eastAsia="Arial" w:hAnsi="Arial"/>
          <w:sz w:val="18"/>
          <w:szCs w:val="18"/>
          <w:color w:val="auto"/>
        </w:rPr>
        <w:t xml:space="preserve"> </w:t>
      </w:r>
      <w:r>
        <w:rPr>
          <w:rFonts w:ascii="Arial" w:cs="Arial" w:eastAsia="Arial" w:hAnsi="Arial"/>
          <w:sz w:val="18"/>
          <w:szCs w:val="18"/>
          <w:b w:val="1"/>
          <w:bCs w:val="1"/>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341630</wp:posOffset>
            </wp:positionV>
            <wp:extent cx="67665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APPROVAL OF THE AMENDMENT TO THE COMPANY'S ARTICLES OF INCORPORATION</w:t>
      </w:r>
    </w:p>
    <w:p>
      <w:pPr>
        <w:spacing w:after="0" w:line="15" w:lineRule="exact"/>
        <w:rPr>
          <w:sz w:val="20"/>
          <w:szCs w:val="20"/>
          <w:color w:val="auto"/>
        </w:rPr>
      </w:pPr>
    </w:p>
    <w:p>
      <w:pPr>
        <w:ind w:left="800"/>
        <w:spacing w:after="0"/>
        <w:tabs>
          <w:tab w:leader="none" w:pos="1380" w:val="left"/>
          <w:tab w:leader="none" w:pos="4400" w:val="left"/>
          <w:tab w:leader="none" w:pos="5020" w:val="left"/>
          <w:tab w:leader="none" w:pos="8040" w:val="left"/>
          <w:tab w:leader="none" w:pos="8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358775</wp:posOffset>
            </wp:positionV>
            <wp:extent cx="67665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APPROVAL OF THE AMENDMENT TO THE COMPANY'S 2007 STOCK INCENTIVE PLAN</w:t>
      </w:r>
    </w:p>
    <w:p>
      <w:pPr>
        <w:spacing w:after="0" w:line="15" w:lineRule="exact"/>
        <w:rPr>
          <w:sz w:val="20"/>
          <w:szCs w:val="20"/>
          <w:color w:val="auto"/>
        </w:rPr>
      </w:pPr>
    </w:p>
    <w:p>
      <w:pPr>
        <w:ind w:left="800"/>
        <w:spacing w:after="0"/>
        <w:tabs>
          <w:tab w:leader="none" w:pos="1380" w:val="left"/>
          <w:tab w:leader="none" w:pos="4400" w:val="left"/>
          <w:tab w:leader="none" w:pos="5020" w:val="left"/>
          <w:tab w:leader="none" w:pos="8040" w:val="left"/>
          <w:tab w:leader="none" w:pos="868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358775</wp:posOffset>
            </wp:positionV>
            <wp:extent cx="67665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6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60"/>
        <w:spacing w:after="0"/>
        <w:tabs>
          <w:tab w:leader="none" w:pos="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RATIFICATION OF THE APPOINTMENT OF THE COMPANY'S INDEPENDENT PUBLIC ACCOUNTING FIRM FOR 2010</w:t>
      </w:r>
    </w:p>
    <w:p>
      <w:pPr>
        <w:ind w:left="800"/>
        <w:spacing w:after="0"/>
        <w:tabs>
          <w:tab w:leader="none" w:pos="1380" w:val="left"/>
          <w:tab w:leader="none" w:pos="4400" w:val="left"/>
          <w:tab w:leader="none" w:pos="5020" w:val="left"/>
          <w:tab w:leader="none" w:pos="8040" w:val="left"/>
          <w:tab w:leader="none" w:pos="8680" w:val="left"/>
        </w:tabs>
        <w:rPr>
          <w:sz w:val="20"/>
          <w:szCs w:val="20"/>
          <w:color w:val="auto"/>
        </w:rPr>
      </w:pPr>
      <w:r>
        <w:rPr>
          <w:rFonts w:ascii="Arial" w:cs="Arial" w:eastAsia="Arial" w:hAnsi="Arial"/>
          <w:sz w:val="26"/>
          <w:szCs w:val="26"/>
          <w:color w:val="auto"/>
          <w:vertAlign w:val="subscript"/>
        </w:rPr>
        <w:t>o</w:t>
      </w:r>
      <w:r>
        <w:rPr>
          <w:sz w:val="20"/>
          <w:szCs w:val="20"/>
          <w:color w:val="auto"/>
        </w:rPr>
        <w:tab/>
      </w: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ABSTAIN</w:t>
      </w:r>
    </w:p>
    <w:p>
      <w:pPr>
        <w:spacing w:after="0" w:line="205" w:lineRule="exact"/>
        <w:rPr>
          <w:sz w:val="20"/>
          <w:szCs w:val="20"/>
          <w:color w:val="auto"/>
        </w:rPr>
      </w:pPr>
    </w:p>
    <w:p>
      <w:pPr>
        <w:ind w:right="100" w:firstLine="395"/>
        <w:spacing w:after="0" w:line="258" w:lineRule="auto"/>
        <w:rPr>
          <w:sz w:val="20"/>
          <w:szCs w:val="20"/>
          <w:color w:val="auto"/>
        </w:rPr>
      </w:pPr>
      <w:r>
        <w:rPr>
          <w:rFonts w:ascii="Arial" w:cs="Arial" w:eastAsia="Arial" w:hAnsi="Arial"/>
          <w:sz w:val="18"/>
          <w:szCs w:val="18"/>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the approval of Items 2 and 3 and FOR ratification in Item 4. In their discretion, the proxies are authorized to vote upon such other business as may properly come before the Annual Meeting.</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AND RETURN THIS PROXY IN THE ENCLOSED POSTAGE PAID ENVELOPE AS PROMPTLY AS POSSIBLE.</w:t>
      </w:r>
    </w:p>
    <w:p>
      <w:pPr>
        <w:spacing w:after="0" w:line="229" w:lineRule="exact"/>
        <w:rPr>
          <w:sz w:val="20"/>
          <w:szCs w:val="20"/>
          <w:color w:val="auto"/>
        </w:rPr>
      </w:pPr>
    </w:p>
    <w:p>
      <w:pPr>
        <w:spacing w:after="0"/>
        <w:tabs>
          <w:tab w:leader="none" w:pos="4140" w:val="left"/>
          <w:tab w:leader="none" w:pos="5780" w:val="left"/>
          <w:tab w:leader="none" w:pos="9960" w:val="left"/>
        </w:tabs>
        <w:rPr>
          <w:sz w:val="20"/>
          <w:szCs w:val="20"/>
          <w:color w:val="auto"/>
        </w:rPr>
      </w:pPr>
      <w:r>
        <w:rPr>
          <w:rFonts w:ascii="Arial" w:cs="Arial" w:eastAsia="Arial" w:hAnsi="Arial"/>
          <w:sz w:val="14"/>
          <w:szCs w:val="14"/>
          <w:color w:val="auto"/>
        </w:rPr>
        <w:t>Signature of Shareholder: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Shareholder: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41910</wp:posOffset>
            </wp:positionV>
            <wp:extent cx="8058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41910</wp:posOffset>
            </wp:positionV>
            <wp:extent cx="3771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41910</wp:posOffset>
            </wp:positionV>
            <wp:extent cx="805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41910</wp:posOffset>
            </wp:positionV>
            <wp:extent cx="377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Please sign exactly as your name appears on this Proxy. When shares are held jointly, each holder should sign. When signing as executor,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lvl w:ilvl="1">
      <w:lvlJc w:val="left"/>
      <w:lvlText w:val="(%2)"/>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7"/>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3"/>
    </w:lvl>
  </w:abstractNum>
  <w:abstractNum w:abstractNumId="17">
    <w:nsid w:val="3F2DBA31"/>
    <w:multiLevelType w:val="hybridMultilevel"/>
    <w:lvl w:ilvl="0">
      <w:lvlJc w:val="left"/>
      <w:lvlText w:val="%1."/>
      <w:numFmt w:val="decimal"/>
      <w:start w:val="1"/>
    </w:lvl>
    <w:lvl w:ilvl="1">
      <w:lvlJc w:val="left"/>
      <w:lvlText w:val="(%2)"/>
      <w:numFmt w:val="lowerLetter"/>
      <w:start w:val="3"/>
    </w:lvl>
  </w:abstractNum>
  <w:abstractNum w:abstractNumId="18">
    <w:nsid w:val="7C83E45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2019-12-10T00:17:34Z</dcterms:created>
  <dcterms:modified xsi:type="dcterms:W3CDTF">2019-12-10T00:17:34Z</dcterms:modified>
</cp:coreProperties>
</file>