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92"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Washington, D.C. 20549</w:t>
      </w:r>
    </w:p>
    <w:p>
      <w:pPr>
        <w:spacing w:after="0" w:line="267"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21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8"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5"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Preliminary Proxy Statement</w:t>
      </w:r>
    </w:p>
    <w:p>
      <w:pPr>
        <w:spacing w:after="0" w:line="127"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Confidential, for Use of the Commission Only (as permitted by Rule 14a-6(e)(2))</w:t>
      </w:r>
    </w:p>
    <w:p>
      <w:pPr>
        <w:spacing w:after="0" w:line="127"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Definitive Proxy Statement</w:t>
      </w:r>
    </w:p>
    <w:p>
      <w:pPr>
        <w:spacing w:after="0" w:line="113"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Definitive Additional Materials</w:t>
      </w:r>
    </w:p>
    <w:p>
      <w:pPr>
        <w:spacing w:after="0" w:line="127"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Soliciting Material under §240.14a-12</w:t>
      </w:r>
    </w:p>
    <w:p>
      <w:pPr>
        <w:spacing w:after="0" w:line="390" w:lineRule="exact"/>
        <w:rPr>
          <w:sz w:val="24"/>
          <w:szCs w:val="24"/>
          <w:color w:val="auto"/>
        </w:rPr>
      </w:pPr>
    </w:p>
    <w:p>
      <w:pPr>
        <w:jc w:val="center"/>
        <w:ind w:right="-340"/>
        <w:spacing w:after="0"/>
        <w:rPr>
          <w:sz w:val="20"/>
          <w:szCs w:val="20"/>
          <w:color w:val="auto"/>
        </w:rPr>
      </w:pPr>
      <w:r>
        <w:rPr>
          <w:rFonts w:ascii="Arial" w:cs="Arial" w:eastAsia="Arial" w:hAnsi="Arial"/>
          <w:sz w:val="53"/>
          <w:szCs w:val="53"/>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5"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5"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No fee required.</w:t>
      </w:r>
    </w:p>
    <w:p>
      <w:pPr>
        <w:spacing w:after="0" w:line="113"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Fee paid previously with preliminary materials.</w:t>
      </w:r>
    </w:p>
    <w:p>
      <w:pPr>
        <w:spacing w:after="0" w:line="127" w:lineRule="exact"/>
        <w:rPr>
          <w:sz w:val="24"/>
          <w:szCs w:val="24"/>
          <w:color w:val="auto"/>
        </w:rPr>
      </w:pPr>
    </w:p>
    <w:p>
      <w:pPr>
        <w:spacing w:after="0" w:line="198" w:lineRule="exact"/>
        <w:tabs>
          <w:tab w:leader="none" w:pos="200" w:val="left"/>
          <w:tab w:leader="none" w:pos="300" w:val="left"/>
          <w:tab w:leader="none" w:pos="42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401955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273685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1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243459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70"/>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ind w:left="17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ALLIED MOTION TECHNOLOGIES INC.</w:t>
      </w:r>
    </w:p>
    <w:p>
      <w:pPr>
        <w:spacing w:after="0" w:line="3" w:lineRule="exact"/>
        <w:rPr>
          <w:sz w:val="20"/>
          <w:szCs w:val="20"/>
          <w:color w:val="auto"/>
        </w:rPr>
      </w:pPr>
    </w:p>
    <w:p>
      <w:pPr>
        <w:spacing w:after="0"/>
        <w:tabs>
          <w:tab w:leader="none" w:pos="100" w:val="left"/>
          <w:tab w:leader="none" w:pos="2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6"/>
          <w:szCs w:val="16"/>
          <w:color w:val="auto"/>
        </w:rPr>
        <w:t>495 Commerce Drive, Suite 3</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Amherst, New York 14228</w:t>
      </w:r>
    </w:p>
    <w:p>
      <w:pPr>
        <w:spacing w:after="0" w:line="361" w:lineRule="exact"/>
        <w:rPr>
          <w:sz w:val="20"/>
          <w:szCs w:val="20"/>
          <w:color w:val="auto"/>
        </w:rPr>
      </w:pPr>
    </w:p>
    <w:p>
      <w:pPr>
        <w:sectPr>
          <w:pgSz w:w="11900" w:h="16838" w:orient="portrait"/>
          <w:cols w:equalWidth="0" w:num="2">
            <w:col w:w="5110" w:space="720"/>
            <w:col w:w="3260"/>
          </w:cols>
          <w:pgMar w:left="1390" w:top="265" w:right="1419" w:bottom="1440" w:gutter="0" w:footer="0" w:header="0"/>
        </w:sectPr>
      </w:pPr>
    </w:p>
    <w:p>
      <w:pPr>
        <w:spacing w:after="0" w:line="87" w:lineRule="exact"/>
        <w:rPr>
          <w:sz w:val="20"/>
          <w:szCs w:val="20"/>
          <w:color w:val="auto"/>
        </w:rPr>
      </w:pPr>
    </w:p>
    <w:p>
      <w:pPr>
        <w:ind w:left="10"/>
        <w:spacing w:after="0"/>
        <w:rPr>
          <w:sz w:val="20"/>
          <w:szCs w:val="20"/>
          <w:color w:val="auto"/>
        </w:rPr>
      </w:pPr>
      <w:r>
        <w:rPr>
          <w:rFonts w:ascii="Arial" w:cs="Arial" w:eastAsia="Arial" w:hAnsi="Arial"/>
          <w:sz w:val="29"/>
          <w:szCs w:val="29"/>
          <w:b w:val="1"/>
          <w:bCs w:val="1"/>
          <w:color w:val="auto"/>
        </w:rPr>
        <w:t>NOTICE OF SPECIAL MEETING OF SHAREHOLDERS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880" w:type="dxa"/>
            <w:vAlign w:val="bottom"/>
            <w:gridSpan w:val="2"/>
          </w:tcPr>
          <w:p>
            <w:pPr>
              <w:spacing w:after="0"/>
              <w:rPr>
                <w:sz w:val="20"/>
                <w:szCs w:val="20"/>
                <w:color w:val="auto"/>
              </w:rPr>
            </w:pPr>
            <w:r>
              <w:rPr>
                <w:rFonts w:ascii="Arial" w:cs="Arial" w:eastAsia="Arial" w:hAnsi="Arial"/>
                <w:sz w:val="16"/>
                <w:szCs w:val="16"/>
                <w:b w:val="1"/>
                <w:bCs w:val="1"/>
                <w:color w:val="2D64AF"/>
              </w:rPr>
              <w:t xml:space="preserve">DATE:  </w:t>
            </w:r>
            <w:r>
              <w:rPr>
                <w:rFonts w:ascii="Arial" w:cs="Arial" w:eastAsia="Arial" w:hAnsi="Arial"/>
                <w:sz w:val="3"/>
                <w:szCs w:val="3"/>
                <w:color w:val="000000"/>
              </w:rPr>
              <w:t>​</w:t>
            </w:r>
          </w:p>
        </w:tc>
        <w:tc>
          <w:tcPr>
            <w:tcW w:w="3720" w:type="dxa"/>
            <w:vAlign w:val="bottom"/>
          </w:tcPr>
          <w:p>
            <w:pPr>
              <w:spacing w:after="0"/>
              <w:rPr>
                <w:sz w:val="20"/>
                <w:szCs w:val="20"/>
                <w:color w:val="auto"/>
              </w:rPr>
            </w:pPr>
            <w:r>
              <w:rPr>
                <w:rFonts w:ascii="Arial" w:cs="Arial" w:eastAsia="Arial" w:hAnsi="Arial"/>
                <w:sz w:val="16"/>
                <w:szCs w:val="16"/>
                <w:color w:val="auto"/>
              </w:rPr>
              <w:t>August 11, 2023</w:t>
            </w:r>
          </w:p>
        </w:tc>
      </w:tr>
      <w:tr>
        <w:trPr>
          <w:trHeight w:val="247"/>
        </w:trPr>
        <w:tc>
          <w:tcPr>
            <w:tcW w:w="540" w:type="dxa"/>
            <w:vAlign w:val="bottom"/>
          </w:tcPr>
          <w:p>
            <w:pPr>
              <w:spacing w:after="0"/>
              <w:rPr>
                <w:sz w:val="20"/>
                <w:szCs w:val="20"/>
                <w:color w:val="auto"/>
              </w:rPr>
            </w:pPr>
            <w:r>
              <w:rPr>
                <w:rFonts w:ascii="Arial" w:cs="Arial" w:eastAsia="Arial" w:hAnsi="Arial"/>
                <w:sz w:val="16"/>
                <w:szCs w:val="16"/>
                <w:b w:val="1"/>
                <w:bCs w:val="1"/>
                <w:color w:val="2D64AF"/>
              </w:rPr>
              <w:t>TIME:</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3720" w:type="dxa"/>
            <w:vAlign w:val="bottom"/>
          </w:tcPr>
          <w:p>
            <w:pPr>
              <w:spacing w:after="0"/>
              <w:rPr>
                <w:sz w:val="20"/>
                <w:szCs w:val="20"/>
                <w:color w:val="auto"/>
              </w:rPr>
            </w:pPr>
            <w:r>
              <w:rPr>
                <w:rFonts w:ascii="Arial" w:cs="Arial" w:eastAsia="Arial" w:hAnsi="Arial"/>
                <w:sz w:val="16"/>
                <w:szCs w:val="16"/>
                <w:color w:val="auto"/>
              </w:rPr>
              <w:t>9:00 a.m. Eastern Time</w:t>
            </w:r>
          </w:p>
        </w:tc>
      </w:tr>
      <w:tr>
        <w:trPr>
          <w:trHeight w:val="408"/>
        </w:trPr>
        <w:tc>
          <w:tcPr>
            <w:tcW w:w="880" w:type="dxa"/>
            <w:vAlign w:val="bottom"/>
            <w:gridSpan w:val="2"/>
          </w:tcPr>
          <w:p>
            <w:pPr>
              <w:spacing w:after="0"/>
              <w:rPr>
                <w:sz w:val="20"/>
                <w:szCs w:val="20"/>
                <w:color w:val="auto"/>
              </w:rPr>
            </w:pPr>
            <w:r>
              <w:rPr>
                <w:rFonts w:ascii="Arial" w:cs="Arial" w:eastAsia="Arial" w:hAnsi="Arial"/>
                <w:sz w:val="16"/>
                <w:szCs w:val="16"/>
                <w:b w:val="1"/>
                <w:bCs w:val="1"/>
                <w:color w:val="2D64AF"/>
              </w:rPr>
              <w:t>ONLINE:</w:t>
            </w:r>
            <w:r>
              <w:rPr>
                <w:rFonts w:ascii="Arial" w:cs="Arial" w:eastAsia="Arial" w:hAnsi="Arial"/>
                <w:sz w:val="3"/>
                <w:szCs w:val="3"/>
                <w:color w:val="000000"/>
              </w:rPr>
              <w:t>​</w:t>
            </w:r>
          </w:p>
        </w:tc>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www.virtualshareholdermeeting.com/AMOT2023SM</w:t>
            </w:r>
          </w:p>
        </w:tc>
      </w:tr>
    </w:tbl>
    <w:p>
      <w:pPr>
        <w:spacing w:after="0" w:line="253"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To the Shareholders of Allied Motion Technologies Inc.:</w:t>
      </w:r>
    </w:p>
    <w:p>
      <w:pPr>
        <w:spacing w:after="0" w:line="138" w:lineRule="exact"/>
        <w:rPr>
          <w:sz w:val="20"/>
          <w:szCs w:val="20"/>
          <w:color w:val="auto"/>
        </w:rPr>
      </w:pPr>
    </w:p>
    <w:p>
      <w:pPr>
        <w:ind w:left="10" w:right="140"/>
        <w:spacing w:after="0" w:line="256" w:lineRule="auto"/>
        <w:rPr>
          <w:sz w:val="20"/>
          <w:szCs w:val="20"/>
          <w:color w:val="auto"/>
        </w:rPr>
      </w:pPr>
      <w:r>
        <w:rPr>
          <w:rFonts w:ascii="Arial" w:cs="Arial" w:eastAsia="Arial" w:hAnsi="Arial"/>
          <w:sz w:val="16"/>
          <w:szCs w:val="16"/>
          <w:color w:val="auto"/>
        </w:rPr>
        <w:t xml:space="preserve">You are hereby notified that a Special Meeting of Shareholders of Allied Motion Technologies Inc. (the “Special Meeting”) will be held virtually on Friday, August 11, 2023 at 9:00 a.m. (Eastern Time). The meeting can be accessed by visiting </w:t>
      </w:r>
      <w:r>
        <w:rPr>
          <w:rFonts w:ascii="Arial" w:cs="Arial" w:eastAsia="Arial" w:hAnsi="Arial"/>
          <w:sz w:val="16"/>
          <w:szCs w:val="16"/>
          <w:u w:val="single" w:color="auto"/>
          <w:color w:val="auto"/>
        </w:rPr>
        <w:t>www.virtualshareholdermeeting.com/AMOT2023SM</w:t>
      </w:r>
      <w:r>
        <w:rPr>
          <w:rFonts w:ascii="Arial" w:cs="Arial" w:eastAsia="Arial" w:hAnsi="Arial"/>
          <w:sz w:val="16"/>
          <w:szCs w:val="16"/>
          <w:color w:val="auto"/>
        </w:rPr>
        <w:t xml:space="preserve"> where you will be able to listen to the meeting live, submit questions and vote online.</w:t>
      </w:r>
    </w:p>
    <w:p>
      <w:pPr>
        <w:spacing w:after="0" w:line="92" w:lineRule="exact"/>
        <w:rPr>
          <w:sz w:val="20"/>
          <w:szCs w:val="20"/>
          <w:color w:val="auto"/>
        </w:rPr>
      </w:pPr>
    </w:p>
    <w:p>
      <w:pPr>
        <w:ind w:left="10"/>
        <w:spacing w:after="0"/>
        <w:rPr>
          <w:sz w:val="20"/>
          <w:szCs w:val="20"/>
          <w:color w:val="auto"/>
        </w:rPr>
      </w:pPr>
      <w:r>
        <w:rPr>
          <w:rFonts w:ascii="Arial" w:cs="Arial" w:eastAsia="Arial" w:hAnsi="Arial"/>
          <w:sz w:val="16"/>
          <w:szCs w:val="16"/>
          <w:color w:val="auto"/>
        </w:rPr>
        <w:t>At this meeting, the shareholders will be asked to act on the following matters:</w:t>
      </w:r>
    </w:p>
    <w:p>
      <w:pPr>
        <w:spacing w:after="0" w:line="113" w:lineRule="exact"/>
        <w:rPr>
          <w:sz w:val="20"/>
          <w:szCs w:val="20"/>
          <w:color w:val="auto"/>
        </w:rPr>
      </w:pPr>
    </w:p>
    <w:p>
      <w:pPr>
        <w:ind w:left="190" w:hanging="190"/>
        <w:spacing w:after="0" w:line="261" w:lineRule="auto"/>
        <w:tabs>
          <w:tab w:leader="none" w:pos="19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to approve a proposal to amend the Amended and Restated Articles of Incorporation (the “Articles of Incorporation”) of Allied Motion Technologies Inc. (the “Company”) to change the name of the Company from Allied Motion Technologies Inc. to Allient Inc. (the “Name Change”); and</w:t>
      </w:r>
    </w:p>
    <w:p>
      <w:pPr>
        <w:spacing w:after="0" w:line="74" w:lineRule="exact"/>
        <w:rPr>
          <w:rFonts w:ascii="Arial" w:cs="Arial" w:eastAsia="Arial" w:hAnsi="Arial"/>
          <w:sz w:val="16"/>
          <w:szCs w:val="16"/>
          <w:b w:val="1"/>
          <w:bCs w:val="1"/>
          <w:color w:val="auto"/>
        </w:rPr>
      </w:pPr>
    </w:p>
    <w:p>
      <w:pPr>
        <w:ind w:left="190" w:hanging="190"/>
        <w:spacing w:after="0"/>
        <w:tabs>
          <w:tab w:leader="none" w:pos="19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to transact such other business as may properly come before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wp:posOffset>
            </wp:positionV>
            <wp:extent cx="57778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090"/>
          </w:cols>
          <w:pgMar w:left="1390" w:top="265" w:right="1419" w:bottom="1440" w:gutter="0" w:footer="0" w:header="0"/>
          <w:type w:val="continuous"/>
        </w:sectPr>
      </w:pPr>
    </w:p>
    <w:p>
      <w:pPr>
        <w:spacing w:after="0" w:line="240" w:lineRule="exact"/>
        <w:rPr>
          <w:sz w:val="20"/>
          <w:szCs w:val="20"/>
          <w:color w:val="auto"/>
        </w:rPr>
      </w:pPr>
    </w:p>
    <w:p>
      <w:pPr>
        <w:ind w:left="50" w:hanging="50"/>
        <w:spacing w:after="0"/>
        <w:tabs>
          <w:tab w:leader="none" w:pos="50" w:val="left"/>
        </w:tabs>
        <w:numPr>
          <w:ilvl w:val="0"/>
          <w:numId w:val="2"/>
        </w:numPr>
        <w:rPr>
          <w:rFonts w:ascii="Arial" w:cs="Arial" w:eastAsia="Arial" w:hAnsi="Arial"/>
          <w:sz w:val="4"/>
          <w:szCs w:val="4"/>
          <w:color w:val="auto"/>
        </w:rPr>
      </w:pPr>
      <w:r>
        <w:rPr>
          <w:rFonts w:ascii="Arial" w:cs="Arial" w:eastAsia="Arial" w:hAnsi="Arial"/>
          <w:sz w:val="16"/>
          <w:szCs w:val="16"/>
          <w:b w:val="1"/>
          <w:bCs w:val="1"/>
          <w:color w:val="2D64AF"/>
        </w:rPr>
        <w:t>Voting can be completed in one of four ways:</w:t>
      </w:r>
    </w:p>
    <w:p>
      <w:pPr>
        <w:spacing w:after="0" w:line="82" w:lineRule="exact"/>
        <w:rPr>
          <w:rFonts w:ascii="Arial" w:cs="Arial" w:eastAsia="Arial" w:hAnsi="Arial"/>
          <w:sz w:val="4"/>
          <w:szCs w:val="4"/>
          <w:color w:val="auto"/>
        </w:rPr>
      </w:pPr>
    </w:p>
    <w:p>
      <w:pPr>
        <w:ind w:left="110" w:hanging="110"/>
        <w:spacing w:after="0"/>
        <w:tabs>
          <w:tab w:leader="none" w:pos="110" w:val="left"/>
        </w:tabs>
        <w:numPr>
          <w:ilvl w:val="0"/>
          <w:numId w:val="2"/>
        </w:numPr>
        <w:rPr>
          <w:rFonts w:ascii="Arial" w:cs="Arial" w:eastAsia="Arial" w:hAnsi="Arial"/>
          <w:sz w:val="4"/>
          <w:szCs w:val="4"/>
          <w:color w:val="auto"/>
        </w:rPr>
      </w:pPr>
      <w:r>
        <w:rPr>
          <w:rFonts w:ascii="Arial" w:cs="Arial" w:eastAsia="Arial" w:hAnsi="Arial"/>
          <w:sz w:val="1"/>
          <w:szCs w:val="1"/>
          <w:color w:val="auto"/>
        </w:rPr>
        <w:drawing>
          <wp:inline distT="0" distB="0" distL="0" distR="0">
            <wp:extent cx="248285" cy="248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
          <w:szCs w:val="4"/>
          <w:color w:val="auto"/>
        </w:rPr>
        <w:t xml:space="preserve">    ​​</w:t>
      </w:r>
      <w:r>
        <w:rPr>
          <w:rFonts w:ascii="Arial" w:cs="Arial" w:eastAsia="Arial" w:hAnsi="Arial"/>
          <w:sz w:val="16"/>
          <w:szCs w:val="16"/>
          <w:color w:val="auto"/>
        </w:rPr>
        <w:t>Returning the proxy card by mail</w:t>
      </w:r>
    </w:p>
    <w:p>
      <w:pPr>
        <w:ind w:left="23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28321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210" cy="248920"/>
                    </a:xfrm>
                    <a:prstGeom prst="rect">
                      <a:avLst/>
                    </a:prstGeom>
                    <a:noFill/>
                  </pic:spPr>
                </pic:pic>
              </a:graphicData>
            </a:graphic>
          </wp:anchor>
        </w:drawing>
      </w:r>
    </w:p>
    <w:p>
      <w:pPr>
        <w:spacing w:after="0" w:line="112" w:lineRule="exact"/>
        <w:rPr>
          <w:sz w:val="20"/>
          <w:szCs w:val="20"/>
          <w:color w:val="auto"/>
        </w:rPr>
      </w:pPr>
    </w:p>
    <w:p>
      <w:pPr>
        <w:ind w:left="810"/>
        <w:spacing w:after="0"/>
        <w:rPr>
          <w:sz w:val="20"/>
          <w:szCs w:val="20"/>
          <w:color w:val="auto"/>
        </w:rPr>
      </w:pPr>
      <w:r>
        <w:rPr>
          <w:rFonts w:ascii="Arial" w:cs="Arial" w:eastAsia="Arial" w:hAnsi="Arial"/>
          <w:sz w:val="16"/>
          <w:szCs w:val="16"/>
          <w:color w:val="auto"/>
        </w:rPr>
        <w:t>Through the telephone at</w:t>
      </w:r>
    </w:p>
    <w:p>
      <w:pPr>
        <w:ind w:left="10"/>
        <w:spacing w:after="0" w:line="221" w:lineRule="auto"/>
        <w:tabs>
          <w:tab w:leader="none" w:pos="49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4"/>
          <w:szCs w:val="4"/>
          <w:color w:val="auto"/>
        </w:rPr>
        <w:t xml:space="preserve">  </w:t>
      </w:r>
      <w:r>
        <w:rPr>
          <w:rFonts w:ascii="Arial" w:cs="Arial" w:eastAsia="Arial" w:hAnsi="Arial"/>
          <w:sz w:val="1"/>
          <w:szCs w:val="1"/>
          <w:color w:val="auto"/>
        </w:rPr>
        <w:t>​      ​</w:t>
      </w:r>
    </w:p>
    <w:p>
      <w:pPr>
        <w:ind w:left="810"/>
        <w:spacing w:after="0"/>
        <w:rPr>
          <w:sz w:val="20"/>
          <w:szCs w:val="20"/>
          <w:color w:val="auto"/>
        </w:rPr>
      </w:pPr>
      <w:r>
        <w:rPr>
          <w:rFonts w:ascii="Arial" w:cs="Arial" w:eastAsia="Arial" w:hAnsi="Arial"/>
          <w:sz w:val="16"/>
          <w:szCs w:val="16"/>
          <w:color w:val="auto"/>
        </w:rPr>
        <w:t>1-800-690-6903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1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24828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54" w:lineRule="exact"/>
        <w:rPr>
          <w:sz w:val="20"/>
          <w:szCs w:val="20"/>
          <w:color w:val="auto"/>
        </w:rPr>
      </w:pPr>
    </w:p>
    <w:p>
      <w:pPr>
        <w:jc w:val="center"/>
        <w:ind w:left="-239"/>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43815</wp:posOffset>
            </wp:positionV>
            <wp:extent cx="248285"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310" w:lineRule="exact"/>
        <w:rPr>
          <w:sz w:val="20"/>
          <w:szCs w:val="20"/>
          <w:color w:val="auto"/>
        </w:rPr>
      </w:pPr>
    </w:p>
    <w:p>
      <w:pPr>
        <w:spacing w:after="0"/>
        <w:tabs>
          <w:tab w:leader="none" w:pos="10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74" w:lineRule="exact"/>
        <w:rPr>
          <w:sz w:val="20"/>
          <w:szCs w:val="20"/>
          <w:color w:val="auto"/>
        </w:rPr>
      </w:pPr>
    </w:p>
    <w:p>
      <w:pPr>
        <w:jc w:val="center"/>
        <w:ind w:left="-239"/>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540" w:type="dxa"/>
            <w:vAlign w:val="bottom"/>
          </w:tcPr>
          <w:p>
            <w:pPr>
              <w:spacing w:after="0"/>
              <w:rPr>
                <w:sz w:val="20"/>
                <w:szCs w:val="20"/>
                <w:color w:val="auto"/>
              </w:rPr>
            </w:pPr>
            <w:r>
              <w:rPr>
                <w:rFonts w:ascii="Arial" w:cs="Arial" w:eastAsia="Arial" w:hAnsi="Arial"/>
                <w:sz w:val="16"/>
                <w:szCs w:val="16"/>
                <w:color w:val="auto"/>
              </w:rPr>
              <w:t>Online at</w:t>
            </w:r>
          </w:p>
        </w:tc>
        <w:tc>
          <w:tcPr>
            <w:tcW w:w="1180" w:type="dxa"/>
            <w:vAlign w:val="bottom"/>
          </w:tcPr>
          <w:p>
            <w:pPr>
              <w:ind w:left="400"/>
              <w:spacing w:after="0"/>
              <w:rPr>
                <w:sz w:val="20"/>
                <w:szCs w:val="20"/>
                <w:color w:val="auto"/>
              </w:rPr>
            </w:pPr>
            <w:r>
              <w:rPr>
                <w:rFonts w:ascii="Arial" w:cs="Arial" w:eastAsia="Arial" w:hAnsi="Arial"/>
                <w:sz w:val="4"/>
                <w:szCs w:val="4"/>
                <w:color w:val="auto"/>
              </w:rPr>
              <w:t>​</w:t>
            </w:r>
          </w:p>
        </w:tc>
        <w:tc>
          <w:tcPr>
            <w:tcW w:w="500" w:type="dxa"/>
            <w:vAlign w:val="bottom"/>
          </w:tcPr>
          <w:p>
            <w:pPr>
              <w:spacing w:after="0"/>
              <w:rPr>
                <w:sz w:val="17"/>
                <w:szCs w:val="17"/>
                <w:color w:val="auto"/>
              </w:rPr>
            </w:pPr>
          </w:p>
        </w:tc>
      </w:tr>
      <w:tr>
        <w:trPr>
          <w:trHeight w:val="207"/>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www.proxyvote.com</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39"/>
        </w:trPr>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80" w:type="dxa"/>
            <w:vAlign w:val="bottom"/>
          </w:tcPr>
          <w:p>
            <w:pPr>
              <w:ind w:left="540"/>
              <w:spacing w:after="0"/>
              <w:rPr>
                <w:sz w:val="20"/>
                <w:szCs w:val="20"/>
                <w:color w:val="auto"/>
              </w:rPr>
            </w:pPr>
            <w:r>
              <w:rPr>
                <w:rFonts w:ascii="Arial" w:cs="Arial" w:eastAsia="Arial" w:hAnsi="Arial"/>
                <w:sz w:val="4"/>
                <w:szCs w:val="4"/>
                <w:color w:val="auto"/>
              </w:rPr>
              <w:t>​</w:t>
            </w:r>
          </w:p>
        </w:tc>
        <w:tc>
          <w:tcPr>
            <w:tcW w:w="500" w:type="dxa"/>
            <w:vAlign w:val="bottom"/>
          </w:tcPr>
          <w:p>
            <w:pPr>
              <w:ind w:left="360"/>
              <w:spacing w:after="0"/>
              <w:rPr>
                <w:sz w:val="20"/>
                <w:szCs w:val="20"/>
                <w:color w:val="auto"/>
              </w:rPr>
            </w:pPr>
            <w:r>
              <w:rPr>
                <w:rFonts w:ascii="Arial" w:cs="Arial" w:eastAsia="Arial" w:hAnsi="Arial"/>
                <w:sz w:val="4"/>
                <w:szCs w:val="4"/>
                <w:color w:val="auto"/>
              </w:rPr>
              <w:t>​</w:t>
            </w:r>
          </w:p>
        </w:tc>
      </w:tr>
      <w:tr>
        <w:trPr>
          <w:trHeight w:val="300"/>
        </w:trPr>
        <w:tc>
          <w:tcPr>
            <w:tcW w:w="60" w:type="dxa"/>
            <w:vAlign w:val="bottom"/>
          </w:tcPr>
          <w:p>
            <w:pPr>
              <w:spacing w:after="0"/>
              <w:rPr>
                <w:sz w:val="20"/>
                <w:szCs w:val="20"/>
                <w:color w:val="auto"/>
              </w:rPr>
            </w:pPr>
            <w:r>
              <w:rPr>
                <w:rFonts w:ascii="Arial" w:cs="Arial" w:eastAsia="Arial" w:hAnsi="Arial"/>
                <w:sz w:val="4"/>
                <w:szCs w:val="4"/>
                <w:color w:val="auto"/>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540" w:type="dxa"/>
            <w:vAlign w:val="bottom"/>
          </w:tcPr>
          <w:p>
            <w:pPr>
              <w:spacing w:after="0"/>
              <w:rPr>
                <w:sz w:val="20"/>
                <w:szCs w:val="20"/>
                <w:color w:val="auto"/>
              </w:rPr>
            </w:pPr>
            <w:r>
              <w:rPr>
                <w:rFonts w:ascii="Arial" w:cs="Arial" w:eastAsia="Arial" w:hAnsi="Arial"/>
                <w:sz w:val="16"/>
                <w:szCs w:val="16"/>
                <w:color w:val="auto"/>
              </w:rPr>
              <w:t>Attend the special meeting at:</w:t>
            </w:r>
          </w:p>
        </w:tc>
        <w:tc>
          <w:tcPr>
            <w:tcW w:w="1180" w:type="dxa"/>
            <w:vAlign w:val="bottom"/>
          </w:tcPr>
          <w:p>
            <w:pPr>
              <w:spacing w:after="0"/>
              <w:rPr>
                <w:sz w:val="24"/>
                <w:szCs w:val="24"/>
                <w:color w:val="auto"/>
              </w:rPr>
            </w:pPr>
          </w:p>
        </w:tc>
        <w:tc>
          <w:tcPr>
            <w:tcW w:w="500" w:type="dxa"/>
            <w:vAlign w:val="bottom"/>
          </w:tcPr>
          <w:p>
            <w:pPr>
              <w:ind w:left="500"/>
              <w:spacing w:after="0"/>
              <w:rPr>
                <w:sz w:val="20"/>
                <w:szCs w:val="20"/>
                <w:color w:val="auto"/>
              </w:rPr>
            </w:pPr>
            <w:r>
              <w:rPr>
                <w:rFonts w:ascii="Arial" w:cs="Arial" w:eastAsia="Arial" w:hAnsi="Arial"/>
                <w:sz w:val="4"/>
                <w:szCs w:val="4"/>
                <w:color w:val="auto"/>
              </w:rPr>
              <w:t>​</w:t>
            </w:r>
          </w:p>
        </w:tc>
      </w:tr>
      <w:tr>
        <w:trPr>
          <w:trHeight w:val="162"/>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6"/>
                <w:szCs w:val="16"/>
                <w:color w:val="auto"/>
              </w:rPr>
              <w:t>www.virtualshareholdermeeting.com/AMOT2023SM</w:t>
            </w:r>
          </w:p>
        </w:tc>
        <w:tc>
          <w:tcPr>
            <w:tcW w:w="5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102870</wp:posOffset>
            </wp:positionV>
            <wp:extent cx="5777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3">
            <w:col w:w="3550" w:space="240"/>
            <w:col w:w="280" w:space="460"/>
            <w:col w:w="4560"/>
          </w:cols>
          <w:pgMar w:left="1390" w:top="265" w:right="1419" w:bottom="1440" w:gutter="0" w:footer="0" w:header="0"/>
          <w:type w:val="continuous"/>
        </w:sectPr>
      </w:pPr>
    </w:p>
    <w:p>
      <w:pPr>
        <w:ind w:left="10" w:right="500"/>
        <w:spacing w:after="0" w:line="276" w:lineRule="auto"/>
        <w:rPr>
          <w:sz w:val="20"/>
          <w:szCs w:val="20"/>
          <w:color w:val="auto"/>
        </w:rPr>
      </w:pPr>
      <w:r>
        <w:rPr>
          <w:rFonts w:ascii="Arial" w:cs="Arial" w:eastAsia="Arial" w:hAnsi="Arial"/>
          <w:sz w:val="16"/>
          <w:szCs w:val="16"/>
          <w:color w:val="auto"/>
        </w:rPr>
        <w:t>Only shareholders of record at the close of business on June 23, 2023 are entitled to notice of and to vote at the Special Meeting and any adjournment thereof.</w:t>
      </w:r>
    </w:p>
    <w:p>
      <w:pPr>
        <w:spacing w:after="0" w:line="63" w:lineRule="exact"/>
        <w:rPr>
          <w:sz w:val="20"/>
          <w:szCs w:val="20"/>
          <w:color w:val="auto"/>
        </w:rPr>
      </w:pPr>
    </w:p>
    <w:p>
      <w:pPr>
        <w:ind w:left="10" w:right="20"/>
        <w:spacing w:after="0" w:line="251" w:lineRule="auto"/>
        <w:rPr>
          <w:sz w:val="20"/>
          <w:szCs w:val="20"/>
          <w:color w:val="auto"/>
        </w:rPr>
      </w:pPr>
      <w:r>
        <w:rPr>
          <w:rFonts w:ascii="Arial" w:cs="Arial" w:eastAsia="Arial" w:hAnsi="Arial"/>
          <w:sz w:val="16"/>
          <w:szCs w:val="16"/>
          <w:color w:val="auto"/>
        </w:rPr>
        <w:t>To attend the Special Meeting, you will need the 16-digit control number included on your proxy card or on the instructions that accompanied your proxy materials. Shares held in your name as the shareholder of record may be voted electronically during the Special Meeting. Shares for which you are the beneficial owner but not the shareholder of record also may be voted electronically during the Special Meeting. Even if you plan to attend the Special Meeting online, we recommend that you vote by proxy in advance so that your vote will be counted if you later decide not to participate in the Special Meeting. The Special Meeting will begin promptly at 9:00 a.m. (Eastern Time). Online check-in will begin at 8:45 a.m. (Eastern Time), and you should allow ample time for the online check-in procedures.</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wp:posOffset>
            </wp:positionV>
            <wp:extent cx="108839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83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140" w:lineRule="exact"/>
        <w:rPr>
          <w:sz w:val="20"/>
          <w:szCs w:val="20"/>
          <w:color w:val="auto"/>
        </w:rPr>
      </w:pPr>
    </w:p>
    <w:p>
      <w:pPr>
        <w:ind w:left="10"/>
        <w:spacing w:after="0"/>
        <w:rPr>
          <w:sz w:val="20"/>
          <w:szCs w:val="20"/>
          <w:color w:val="auto"/>
        </w:rPr>
      </w:pPr>
      <w:r>
        <w:rPr>
          <w:rFonts w:ascii="Arial" w:cs="Arial" w:eastAsia="Arial" w:hAnsi="Arial"/>
          <w:sz w:val="16"/>
          <w:szCs w:val="16"/>
          <w:color w:val="auto"/>
        </w:rPr>
        <w:t>Joseph P. Kubarek</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6"/>
          <w:szCs w:val="16"/>
          <w:i w:val="1"/>
          <w:iCs w:val="1"/>
          <w:color w:val="auto"/>
        </w:rPr>
        <w:t>Secretary</w:t>
      </w:r>
    </w:p>
    <w:p>
      <w:pPr>
        <w:spacing w:after="0" w:line="115"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June 30, 2023</w:t>
      </w:r>
    </w:p>
    <w:p>
      <w:pPr>
        <w:spacing w:after="0" w:line="113" w:lineRule="exact"/>
        <w:rPr>
          <w:sz w:val="20"/>
          <w:szCs w:val="20"/>
          <w:color w:val="auto"/>
        </w:rPr>
      </w:pPr>
    </w:p>
    <w:p>
      <w:pPr>
        <w:ind w:left="10" w:right="360"/>
        <w:spacing w:after="0" w:line="276" w:lineRule="auto"/>
        <w:rPr>
          <w:sz w:val="20"/>
          <w:szCs w:val="20"/>
          <w:color w:val="auto"/>
        </w:rPr>
      </w:pPr>
      <w:r>
        <w:rPr>
          <w:rFonts w:ascii="Arial" w:cs="Arial" w:eastAsia="Arial" w:hAnsi="Arial"/>
          <w:sz w:val="16"/>
          <w:szCs w:val="16"/>
          <w:color w:val="auto"/>
        </w:rPr>
        <w:t xml:space="preserve">Important Notice Regarding the Internet Availability of Proxy Materials: This Proxy Statement is available on the Internet at </w:t>
      </w:r>
      <w:r>
        <w:rPr>
          <w:rFonts w:ascii="Arial" w:cs="Arial" w:eastAsia="Arial" w:hAnsi="Arial"/>
          <w:sz w:val="16"/>
          <w:szCs w:val="16"/>
          <w:u w:val="single" w:color="auto"/>
          <w:color w:val="auto"/>
        </w:rPr>
        <w:t>http://materials.proxyvote.com/019330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88900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0"/>
          </w:cols>
          <w:pgMar w:left="1390" w:top="265" w:right="14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Arial" w:cs="Arial" w:eastAsia="Arial" w:hAnsi="Arial"/>
          <w:sz w:val="41"/>
          <w:szCs w:val="41"/>
          <w:color w:val="2D64AF"/>
        </w:rPr>
        <w:t>TABLE OF CONTENTS</w:t>
      </w:r>
    </w:p>
    <w:p>
      <w:pPr>
        <w:spacing w:after="0" w:line="262" w:lineRule="exact"/>
        <w:rPr>
          <w:sz w:val="20"/>
          <w:szCs w:val="20"/>
          <w:color w:val="auto"/>
        </w:rPr>
      </w:pPr>
    </w:p>
    <w:p>
      <w:pPr>
        <w:jc w:val="both"/>
        <w:ind w:left="8200"/>
        <w:spacing w:after="0"/>
        <w:tabs>
          <w:tab w:leader="none" w:pos="856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140" w:type="dxa"/>
            <w:vAlign w:val="bottom"/>
            <w:gridSpan w:val="28"/>
          </w:tcPr>
          <w:p>
            <w:pPr>
              <w:spacing w:after="0"/>
              <w:rPr>
                <w:sz w:val="20"/>
                <w:szCs w:val="20"/>
                <w:color w:val="auto"/>
              </w:rPr>
            </w:pPr>
            <w:r>
              <w:rPr>
                <w:rFonts w:ascii="Arial" w:cs="Arial" w:eastAsia="Arial" w:hAnsi="Arial"/>
                <w:sz w:val="22"/>
                <w:szCs w:val="22"/>
                <w:b w:val="1"/>
                <w:bCs w:val="1"/>
                <w:color w:val="0000EE"/>
              </w:rPr>
              <w:t>QUESTIONS AND ANSWERS ABOUT THE SPECIAL MEETING</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166"/>
        </w:trPr>
        <w:tc>
          <w:tcPr>
            <w:tcW w:w="180" w:type="dxa"/>
            <w:vAlign w:val="bottom"/>
            <w:tcBorders>
              <w:bottom w:val="single" w:sz="8" w:color="0000EE"/>
            </w:tcBorders>
          </w:tcPr>
          <w:p>
            <w:pPr>
              <w:spacing w:after="0"/>
              <w:rPr>
                <w:sz w:val="14"/>
                <w:szCs w:val="14"/>
                <w:color w:val="auto"/>
              </w:rPr>
            </w:pPr>
          </w:p>
        </w:tc>
        <w:tc>
          <w:tcPr>
            <w:tcW w:w="160" w:type="dxa"/>
            <w:vAlign w:val="bottom"/>
            <w:tcBorders>
              <w:bottom w:val="single" w:sz="8" w:color="0000EE"/>
            </w:tcBorders>
          </w:tcPr>
          <w:p>
            <w:pPr>
              <w:spacing w:after="0"/>
              <w:rPr>
                <w:sz w:val="14"/>
                <w:szCs w:val="14"/>
                <w:color w:val="auto"/>
              </w:rPr>
            </w:pPr>
          </w:p>
        </w:tc>
        <w:tc>
          <w:tcPr>
            <w:tcW w:w="880" w:type="dxa"/>
            <w:vAlign w:val="bottom"/>
            <w:tcBorders>
              <w:bottom w:val="single" w:sz="8" w:color="0000EE"/>
            </w:tcBorders>
          </w:tcPr>
          <w:p>
            <w:pPr>
              <w:spacing w:after="0"/>
              <w:rPr>
                <w:sz w:val="14"/>
                <w:szCs w:val="14"/>
                <w:color w:val="auto"/>
              </w:rPr>
            </w:pPr>
          </w:p>
        </w:tc>
        <w:tc>
          <w:tcPr>
            <w:tcW w:w="54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2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tcPr>
          <w:p>
            <w:pPr>
              <w:spacing w:after="0"/>
              <w:rPr>
                <w:sz w:val="14"/>
                <w:szCs w:val="14"/>
                <w:color w:val="auto"/>
              </w:rPr>
            </w:pPr>
          </w:p>
        </w:tc>
        <w:tc>
          <w:tcPr>
            <w:tcW w:w="400" w:type="dxa"/>
            <w:vAlign w:val="bottom"/>
            <w:tcBorders>
              <w:bottom w:val="single" w:sz="8" w:color="0000EE"/>
            </w:tcBorders>
          </w:tcPr>
          <w:p>
            <w:pPr>
              <w:spacing w:after="0"/>
              <w:rPr>
                <w:sz w:val="14"/>
                <w:szCs w:val="14"/>
                <w:color w:val="auto"/>
              </w:rPr>
            </w:pPr>
          </w:p>
        </w:tc>
        <w:tc>
          <w:tcPr>
            <w:tcW w:w="3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1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30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80" w:type="dxa"/>
            <w:vAlign w:val="bottom"/>
            <w:tcBorders>
              <w:bottom w:val="single" w:sz="8" w:color="0000EE"/>
            </w:tcBorders>
          </w:tcPr>
          <w:p>
            <w:pPr>
              <w:spacing w:after="0"/>
              <w:rPr>
                <w:sz w:val="14"/>
                <w:szCs w:val="14"/>
                <w:color w:val="auto"/>
              </w:rPr>
            </w:pPr>
          </w:p>
        </w:tc>
        <w:tc>
          <w:tcPr>
            <w:tcW w:w="500" w:type="dxa"/>
            <w:vAlign w:val="bottom"/>
            <w:tcBorders>
              <w:bottom w:val="single" w:sz="8" w:color="0000EE"/>
            </w:tcBorders>
          </w:tcPr>
          <w:p>
            <w:pPr>
              <w:spacing w:after="0"/>
              <w:rPr>
                <w:sz w:val="14"/>
                <w:szCs w:val="14"/>
                <w:color w:val="auto"/>
              </w:rPr>
            </w:pPr>
          </w:p>
        </w:tc>
        <w:tc>
          <w:tcPr>
            <w:tcW w:w="240" w:type="dxa"/>
            <w:vAlign w:val="bottom"/>
            <w:tcBorders>
              <w:bottom w:val="single" w:sz="8" w:color="0000EE"/>
            </w:tcBorders>
          </w:tcPr>
          <w:p>
            <w:pPr>
              <w:spacing w:after="0"/>
              <w:rPr>
                <w:sz w:val="14"/>
                <w:szCs w:val="14"/>
                <w:color w:val="auto"/>
              </w:rPr>
            </w:pPr>
          </w:p>
        </w:tc>
        <w:tc>
          <w:tcPr>
            <w:tcW w:w="160" w:type="dxa"/>
            <w:vAlign w:val="bottom"/>
            <w:tcBorders>
              <w:bottom w:val="single" w:sz="8" w:color="0000EE"/>
            </w:tcBorders>
          </w:tcPr>
          <w:p>
            <w:pPr>
              <w:spacing w:after="0"/>
              <w:rPr>
                <w:sz w:val="14"/>
                <w:szCs w:val="14"/>
                <w:color w:val="auto"/>
              </w:rPr>
            </w:pPr>
          </w:p>
        </w:tc>
        <w:tc>
          <w:tcPr>
            <w:tcW w:w="360" w:type="dxa"/>
            <w:vAlign w:val="bottom"/>
            <w:tcBorders>
              <w:bottom w:val="single" w:sz="8" w:color="0000EE"/>
            </w:tcBorders>
          </w:tcPr>
          <w:p>
            <w:pPr>
              <w:spacing w:after="0"/>
              <w:rPr>
                <w:sz w:val="14"/>
                <w:szCs w:val="14"/>
                <w:color w:val="auto"/>
              </w:rPr>
            </w:pPr>
          </w:p>
        </w:tc>
        <w:tc>
          <w:tcPr>
            <w:tcW w:w="960" w:type="dxa"/>
            <w:vAlign w:val="bottom"/>
            <w:tcBorders>
              <w:bottom w:val="single" w:sz="8" w:color="0000EE"/>
            </w:tcBorders>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180" w:type="dxa"/>
            <w:vAlign w:val="bottom"/>
          </w:tcPr>
          <w:p>
            <w:pPr>
              <w:spacing w:after="0"/>
              <w:rPr>
                <w:sz w:val="24"/>
                <w:szCs w:val="24"/>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Why did I receive this proxy?</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60" w:type="dxa"/>
            <w:vAlign w:val="bottom"/>
            <w:tcBorders>
              <w:bottom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Why is the Company proposing the Name Change?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460" w:type="dxa"/>
            <w:vAlign w:val="bottom"/>
            <w:tcBorders>
              <w:bottom w:val="single" w:sz="8" w:color="0000EE"/>
            </w:tcBorders>
            <w:gridSpan w:val="2"/>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30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Will the Company’s ticker change?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gridSpan w:val="2"/>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40" w:type="dxa"/>
            <w:vAlign w:val="bottom"/>
            <w:gridSpan w:val="2"/>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Will the Company’s CUSIP number change?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gridSpan w:val="3"/>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Should I send in my stock certificates in connection with the Name Change?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gridSpan w:val="3"/>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30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gridSpan w:val="2"/>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50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22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Who is entitled to vote?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540" w:type="dxa"/>
            <w:vAlign w:val="bottom"/>
            <w:tcBorders>
              <w:bottom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0" w:type="dxa"/>
            <w:vAlign w:val="bottom"/>
            <w:gridSpan w:val="3"/>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What is the quorum for the Special Meeting?</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gridSpan w:val="2"/>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gridSpan w:val="3"/>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How many votes do I have?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gridSpan w:val="2"/>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8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What is the difference between a shareholder of record and a beneficial owner of shares held in street name?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gridSpan w:val="2"/>
          </w:tcPr>
          <w:p>
            <w:pPr>
              <w:spacing w:after="0"/>
              <w:rPr>
                <w:sz w:val="5"/>
                <w:szCs w:val="5"/>
                <w:color w:val="auto"/>
              </w:rPr>
            </w:pPr>
          </w:p>
        </w:tc>
        <w:tc>
          <w:tcPr>
            <w:tcW w:w="1020" w:type="dxa"/>
            <w:vAlign w:val="bottom"/>
            <w:tcBorders>
              <w:bottom w:val="single" w:sz="8" w:color="0000EE"/>
            </w:tcBorders>
            <w:gridSpan w:val="4"/>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40" w:type="dxa"/>
            <w:vAlign w:val="bottom"/>
            <w:tcBorders>
              <w:bottom w:val="single" w:sz="8" w:color="0000EE"/>
            </w:tcBorders>
            <w:gridSpan w:val="2"/>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gridSpan w:val="2"/>
          </w:tcPr>
          <w:p>
            <w:pPr>
              <w:spacing w:after="0"/>
              <w:rPr>
                <w:sz w:val="5"/>
                <w:szCs w:val="5"/>
                <w:color w:val="auto"/>
              </w:rPr>
            </w:pPr>
          </w:p>
        </w:tc>
        <w:tc>
          <w:tcPr>
            <w:tcW w:w="380" w:type="dxa"/>
            <w:vAlign w:val="bottom"/>
            <w:tcBorders>
              <w:bottom w:val="single" w:sz="8" w:color="0000EE"/>
            </w:tcBorders>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2600" w:type="dxa"/>
            <w:vAlign w:val="bottom"/>
            <w:tcBorders>
              <w:bottom w:val="single" w:sz="8" w:color="0000EE"/>
            </w:tcBorders>
            <w:gridSpan w:val="3"/>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If I am a shareholder of record of Common Stock, how do I vote?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gridSpan w:val="2"/>
          </w:tcPr>
          <w:p>
            <w:pPr>
              <w:spacing w:after="0"/>
              <w:rPr>
                <w:sz w:val="5"/>
                <w:szCs w:val="5"/>
                <w:color w:val="auto"/>
              </w:rPr>
            </w:pPr>
          </w:p>
        </w:tc>
        <w:tc>
          <w:tcPr>
            <w:tcW w:w="1020" w:type="dxa"/>
            <w:vAlign w:val="bottom"/>
            <w:tcBorders>
              <w:bottom w:val="single" w:sz="8" w:color="0000EE"/>
            </w:tcBorders>
            <w:gridSpan w:val="4"/>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40" w:type="dxa"/>
            <w:vAlign w:val="bottom"/>
            <w:tcBorders>
              <w:bottom w:val="single" w:sz="8" w:color="0000EE"/>
            </w:tcBorders>
            <w:gridSpan w:val="2"/>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gridSpan w:val="2"/>
          </w:tcPr>
          <w:p>
            <w:pPr>
              <w:spacing w:after="0"/>
              <w:rPr>
                <w:sz w:val="5"/>
                <w:szCs w:val="5"/>
                <w:color w:val="auto"/>
              </w:rPr>
            </w:pPr>
          </w:p>
        </w:tc>
        <w:tc>
          <w:tcPr>
            <w:tcW w:w="380" w:type="dxa"/>
            <w:vAlign w:val="bottom"/>
            <w:tcBorders>
              <w:bottom w:val="single" w:sz="8" w:color="0000EE"/>
            </w:tcBorders>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120" w:type="dxa"/>
            <w:vAlign w:val="bottom"/>
            <w:gridSpan w:val="4"/>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If I am a beneficial owner of shares held in street name, how do I vote?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gridSpan w:val="2"/>
          </w:tcPr>
          <w:p>
            <w:pPr>
              <w:spacing w:after="0"/>
              <w:rPr>
                <w:sz w:val="3"/>
                <w:szCs w:val="3"/>
                <w:color w:val="auto"/>
              </w:rPr>
            </w:pPr>
          </w:p>
        </w:tc>
        <w:tc>
          <w:tcPr>
            <w:tcW w:w="1020" w:type="dxa"/>
            <w:vAlign w:val="bottom"/>
            <w:tcBorders>
              <w:bottom w:val="single" w:sz="8" w:color="0000EE"/>
            </w:tcBorders>
            <w:gridSpan w:val="4"/>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gridSpan w:val="2"/>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gridSpan w:val="2"/>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gridSpan w:val="2"/>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312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How can I participate in the virtual Special Meeting?</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gridSpan w:val="2"/>
          </w:tcPr>
          <w:p>
            <w:pPr>
              <w:spacing w:after="0"/>
              <w:rPr>
                <w:sz w:val="5"/>
                <w:szCs w:val="5"/>
                <w:color w:val="auto"/>
              </w:rPr>
            </w:pPr>
          </w:p>
        </w:tc>
        <w:tc>
          <w:tcPr>
            <w:tcW w:w="1020" w:type="dxa"/>
            <w:vAlign w:val="bottom"/>
            <w:tcBorders>
              <w:bottom w:val="single" w:sz="8" w:color="0000EE"/>
            </w:tcBorders>
            <w:gridSpan w:val="4"/>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40" w:type="dxa"/>
            <w:vAlign w:val="bottom"/>
            <w:tcBorders>
              <w:bottom w:val="single" w:sz="8" w:color="0000EE"/>
            </w:tcBorders>
            <w:gridSpan w:val="2"/>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gridSpan w:val="2"/>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3280" w:type="dxa"/>
            <w:vAlign w:val="bottom"/>
            <w:gridSpan w:val="5"/>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How many votes are required to act on the Name Change proposal?</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gridSpan w:val="2"/>
          </w:tcPr>
          <w:p>
            <w:pPr>
              <w:spacing w:after="0"/>
              <w:rPr>
                <w:sz w:val="5"/>
                <w:szCs w:val="5"/>
                <w:color w:val="auto"/>
              </w:rPr>
            </w:pPr>
          </w:p>
        </w:tc>
        <w:tc>
          <w:tcPr>
            <w:tcW w:w="1020" w:type="dxa"/>
            <w:vAlign w:val="bottom"/>
            <w:tcBorders>
              <w:bottom w:val="single" w:sz="8" w:color="0000EE"/>
            </w:tcBorders>
            <w:gridSpan w:val="4"/>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40" w:type="dxa"/>
            <w:vAlign w:val="bottom"/>
            <w:tcBorders>
              <w:bottom w:val="single" w:sz="8" w:color="0000EE"/>
            </w:tcBorders>
            <w:gridSpan w:val="2"/>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420" w:type="dxa"/>
            <w:vAlign w:val="bottom"/>
            <w:tcBorders>
              <w:bottom w:val="single" w:sz="8" w:color="0000EE"/>
            </w:tcBorders>
            <w:gridSpan w:val="3"/>
          </w:tcPr>
          <w:p>
            <w:pPr>
              <w:spacing w:after="0"/>
              <w:rPr>
                <w:sz w:val="5"/>
                <w:szCs w:val="5"/>
                <w:color w:val="auto"/>
              </w:rPr>
            </w:pPr>
          </w:p>
        </w:tc>
        <w:tc>
          <w:tcPr>
            <w:tcW w:w="740" w:type="dxa"/>
            <w:vAlign w:val="bottom"/>
            <w:tcBorders>
              <w:bottom w:val="single" w:sz="8" w:color="0000EE"/>
            </w:tcBorders>
            <w:gridSpan w:val="2"/>
          </w:tcPr>
          <w:p>
            <w:pPr>
              <w:spacing w:after="0"/>
              <w:rPr>
                <w:sz w:val="5"/>
                <w:szCs w:val="5"/>
                <w:color w:val="auto"/>
              </w:rPr>
            </w:pPr>
          </w:p>
        </w:tc>
        <w:tc>
          <w:tcPr>
            <w:tcW w:w="3280" w:type="dxa"/>
            <w:vAlign w:val="bottom"/>
            <w:gridSpan w:val="5"/>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Can I change my vote after I have voted?</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gridSpan w:val="2"/>
          </w:tcPr>
          <w:p>
            <w:pPr>
              <w:spacing w:after="0"/>
              <w:rPr>
                <w:sz w:val="3"/>
                <w:szCs w:val="3"/>
                <w:color w:val="auto"/>
              </w:rPr>
            </w:pPr>
          </w:p>
        </w:tc>
        <w:tc>
          <w:tcPr>
            <w:tcW w:w="1020" w:type="dxa"/>
            <w:vAlign w:val="bottom"/>
            <w:tcBorders>
              <w:bottom w:val="single" w:sz="8" w:color="0000EE"/>
            </w:tcBorders>
            <w:gridSpan w:val="4"/>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3"/>
          </w:tcPr>
          <w:p>
            <w:pPr>
              <w:spacing w:after="0"/>
              <w:rPr>
                <w:sz w:val="3"/>
                <w:szCs w:val="3"/>
                <w:color w:val="auto"/>
              </w:rPr>
            </w:pPr>
          </w:p>
        </w:tc>
        <w:tc>
          <w:tcPr>
            <w:tcW w:w="4020" w:type="dxa"/>
            <w:vAlign w:val="bottom"/>
            <w:gridSpan w:val="7"/>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Will anyone contact me regarding this vote?</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gridSpan w:val="2"/>
          </w:tcPr>
          <w:p>
            <w:pPr>
              <w:spacing w:after="0"/>
              <w:rPr>
                <w:sz w:val="5"/>
                <w:szCs w:val="5"/>
                <w:color w:val="auto"/>
              </w:rPr>
            </w:pPr>
          </w:p>
        </w:tc>
        <w:tc>
          <w:tcPr>
            <w:tcW w:w="1020" w:type="dxa"/>
            <w:vAlign w:val="bottom"/>
            <w:tcBorders>
              <w:bottom w:val="single" w:sz="8" w:color="0000EE"/>
            </w:tcBorders>
            <w:gridSpan w:val="4"/>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gridSpan w:val="2"/>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3"/>
          </w:tcPr>
          <w:p>
            <w:pPr>
              <w:spacing w:after="0"/>
              <w:rPr>
                <w:sz w:val="5"/>
                <w:szCs w:val="5"/>
                <w:color w:val="auto"/>
              </w:rPr>
            </w:pPr>
          </w:p>
        </w:tc>
        <w:tc>
          <w:tcPr>
            <w:tcW w:w="4020" w:type="dxa"/>
            <w:vAlign w:val="bottom"/>
            <w:gridSpan w:val="7"/>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Who has paid for this proxy solicitation?</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58"/>
        </w:trPr>
        <w:tc>
          <w:tcPr>
            <w:tcW w:w="180" w:type="dxa"/>
            <w:vAlign w:val="bottom"/>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88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gridSpan w:val="2"/>
          </w:tcPr>
          <w:p>
            <w:pPr>
              <w:spacing w:after="0"/>
              <w:rPr>
                <w:sz w:val="5"/>
                <w:szCs w:val="5"/>
                <w:color w:val="auto"/>
              </w:rPr>
            </w:pPr>
          </w:p>
        </w:tc>
        <w:tc>
          <w:tcPr>
            <w:tcW w:w="1020" w:type="dxa"/>
            <w:vAlign w:val="bottom"/>
            <w:tcBorders>
              <w:bottom w:val="single" w:sz="8" w:color="0000EE"/>
            </w:tcBorders>
            <w:gridSpan w:val="4"/>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380" w:type="dxa"/>
            <w:vAlign w:val="bottom"/>
            <w:gridSpan w:val="3"/>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3"/>
          </w:tcPr>
          <w:p>
            <w:pPr>
              <w:spacing w:after="0"/>
              <w:rPr>
                <w:sz w:val="5"/>
                <w:szCs w:val="5"/>
                <w:color w:val="auto"/>
              </w:rPr>
            </w:pPr>
          </w:p>
        </w:tc>
        <w:tc>
          <w:tcPr>
            <w:tcW w:w="4020" w:type="dxa"/>
            <w:vAlign w:val="bottom"/>
            <w:gridSpan w:val="7"/>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What does it mean if I receive more than one proxy card?</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gridSpan w:val="2"/>
          </w:tcPr>
          <w:p>
            <w:pPr>
              <w:spacing w:after="0"/>
              <w:rPr>
                <w:sz w:val="3"/>
                <w:szCs w:val="3"/>
                <w:color w:val="auto"/>
              </w:rPr>
            </w:pPr>
          </w:p>
        </w:tc>
        <w:tc>
          <w:tcPr>
            <w:tcW w:w="1040" w:type="dxa"/>
            <w:vAlign w:val="bottom"/>
            <w:tcBorders>
              <w:bottom w:val="single" w:sz="8" w:color="0000EE"/>
            </w:tcBorders>
            <w:gridSpan w:val="5"/>
          </w:tcPr>
          <w:p>
            <w:pPr>
              <w:spacing w:after="0"/>
              <w:rPr>
                <w:sz w:val="3"/>
                <w:szCs w:val="3"/>
                <w:color w:val="auto"/>
              </w:rPr>
            </w:pPr>
          </w:p>
        </w:tc>
        <w:tc>
          <w:tcPr>
            <w:tcW w:w="220" w:type="dxa"/>
            <w:vAlign w:val="bottom"/>
            <w:tcBorders>
              <w:bottom w:val="single" w:sz="8" w:color="0000EE"/>
            </w:tcBorders>
            <w:gridSpan w:val="2"/>
          </w:tcPr>
          <w:p>
            <w:pPr>
              <w:spacing w:after="0"/>
              <w:rPr>
                <w:sz w:val="3"/>
                <w:szCs w:val="3"/>
                <w:color w:val="auto"/>
              </w:rPr>
            </w:pPr>
          </w:p>
        </w:tc>
        <w:tc>
          <w:tcPr>
            <w:tcW w:w="380" w:type="dxa"/>
            <w:vAlign w:val="bottom"/>
            <w:tcBorders>
              <w:bottom w:val="single" w:sz="8" w:color="0000EE"/>
            </w:tcBorders>
            <w:gridSpan w:val="3"/>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420" w:type="dxa"/>
            <w:vAlign w:val="bottom"/>
            <w:tcBorders>
              <w:bottom w:val="single" w:sz="8" w:color="0000EE"/>
            </w:tcBorders>
            <w:gridSpan w:val="3"/>
          </w:tcPr>
          <w:p>
            <w:pPr>
              <w:spacing w:after="0"/>
              <w:rPr>
                <w:sz w:val="3"/>
                <w:szCs w:val="3"/>
                <w:color w:val="auto"/>
              </w:rPr>
            </w:pPr>
          </w:p>
        </w:tc>
        <w:tc>
          <w:tcPr>
            <w:tcW w:w="4020" w:type="dxa"/>
            <w:vAlign w:val="bottom"/>
            <w:gridSpan w:val="7"/>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When was this proxy statement mailed?</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60" w:type="dxa"/>
            <w:vAlign w:val="bottom"/>
            <w:tcBorders>
              <w:bottom w:val="single" w:sz="8" w:color="0000EE"/>
            </w:tcBorders>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8140" w:type="dxa"/>
            <w:vAlign w:val="bottom"/>
            <w:gridSpan w:val="28"/>
            <w:vMerge w:val="restart"/>
          </w:tcPr>
          <w:p>
            <w:pPr>
              <w:spacing w:after="0"/>
              <w:rPr>
                <w:sz w:val="20"/>
                <w:szCs w:val="20"/>
                <w:color w:val="auto"/>
              </w:rPr>
            </w:pPr>
            <w:r>
              <w:rPr>
                <w:rFonts w:ascii="Arial" w:cs="Arial" w:eastAsia="Arial" w:hAnsi="Arial"/>
                <w:sz w:val="22"/>
                <w:szCs w:val="22"/>
                <w:b w:val="1"/>
                <w:bCs w:val="1"/>
                <w:color w:val="0000EE"/>
              </w:rPr>
              <w:t>PROPOSAL TO BE VOTED ON</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179"/>
        </w:trPr>
        <w:tc>
          <w:tcPr>
            <w:tcW w:w="8140" w:type="dxa"/>
            <w:vAlign w:val="bottom"/>
            <w:gridSpan w:val="28"/>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7900" w:type="dxa"/>
            <w:vAlign w:val="bottom"/>
            <w:tcBorders>
              <w:bottom w:val="single" w:sz="8" w:color="0000EE"/>
            </w:tcBorders>
            <w:gridSpan w:val="26"/>
          </w:tcPr>
          <w:p>
            <w:pPr>
              <w:spacing w:after="0"/>
              <w:rPr>
                <w:sz w:val="20"/>
                <w:szCs w:val="20"/>
                <w:color w:val="auto"/>
              </w:rPr>
            </w:pPr>
            <w:r>
              <w:rPr>
                <w:rFonts w:ascii="Arial" w:cs="Arial" w:eastAsia="Arial" w:hAnsi="Arial"/>
                <w:sz w:val="15"/>
                <w:szCs w:val="15"/>
                <w:color w:val="0000EE"/>
              </w:rPr>
              <w:t>Proposal 1 – Approval of an Amendment to our Amended and Restated Articles of Incorporation to Change our Name</w:t>
            </w:r>
          </w:p>
        </w:tc>
        <w:tc>
          <w:tcPr>
            <w:tcW w:w="6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0000EE"/>
            </w:tcBorders>
          </w:tcPr>
          <w:p>
            <w:pPr>
              <w:ind w:left="20"/>
              <w:spacing w:after="0" w:line="142" w:lineRule="exact"/>
              <w:rPr>
                <w:sz w:val="20"/>
                <w:szCs w:val="20"/>
                <w:color w:val="auto"/>
              </w:rPr>
            </w:pPr>
            <w:r>
              <w:rPr>
                <w:rFonts w:ascii="Arial" w:cs="Arial" w:eastAsia="Arial" w:hAnsi="Arial"/>
                <w:sz w:val="15"/>
                <w:szCs w:val="15"/>
                <w:color w:val="0000EE"/>
                <w:w w:val="97"/>
              </w:rPr>
              <w:t>to Allient Inc.</w:t>
            </w:r>
          </w:p>
        </w:tc>
        <w:tc>
          <w:tcPr>
            <w:tcW w:w="6860" w:type="dxa"/>
            <w:vAlign w:val="bottom"/>
            <w:gridSpan w:val="24"/>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8140" w:type="dxa"/>
            <w:vAlign w:val="bottom"/>
            <w:gridSpan w:val="28"/>
          </w:tcPr>
          <w:p>
            <w:pPr>
              <w:spacing w:after="0"/>
              <w:rPr>
                <w:sz w:val="20"/>
                <w:szCs w:val="20"/>
                <w:color w:val="auto"/>
              </w:rPr>
            </w:pPr>
            <w:r>
              <w:rPr>
                <w:rFonts w:ascii="Arial" w:cs="Arial" w:eastAsia="Arial" w:hAnsi="Arial"/>
                <w:sz w:val="22"/>
                <w:szCs w:val="22"/>
                <w:b w:val="1"/>
                <w:bCs w:val="1"/>
                <w:color w:val="0000EE"/>
              </w:rPr>
              <w:t>OWNERSHIP OF COMPANY STOCK</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165"/>
        </w:trPr>
        <w:tc>
          <w:tcPr>
            <w:tcW w:w="180" w:type="dxa"/>
            <w:vAlign w:val="bottom"/>
            <w:tcBorders>
              <w:bottom w:val="single" w:sz="8" w:color="0000EE"/>
            </w:tcBorders>
          </w:tcPr>
          <w:p>
            <w:pPr>
              <w:spacing w:after="0"/>
              <w:rPr>
                <w:sz w:val="14"/>
                <w:szCs w:val="14"/>
                <w:color w:val="auto"/>
              </w:rPr>
            </w:pPr>
          </w:p>
        </w:tc>
        <w:tc>
          <w:tcPr>
            <w:tcW w:w="1660" w:type="dxa"/>
            <w:vAlign w:val="bottom"/>
            <w:tcBorders>
              <w:bottom w:val="single" w:sz="8" w:color="0000EE"/>
            </w:tcBorders>
            <w:gridSpan w:val="4"/>
          </w:tcPr>
          <w:p>
            <w:pPr>
              <w:spacing w:after="0"/>
              <w:rPr>
                <w:sz w:val="14"/>
                <w:szCs w:val="14"/>
                <w:color w:val="auto"/>
              </w:rPr>
            </w:pPr>
          </w:p>
        </w:tc>
        <w:tc>
          <w:tcPr>
            <w:tcW w:w="1640" w:type="dxa"/>
            <w:vAlign w:val="bottom"/>
            <w:tcBorders>
              <w:bottom w:val="single" w:sz="8" w:color="0000EE"/>
            </w:tcBorders>
            <w:gridSpan w:val="10"/>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4500" w:type="dxa"/>
            <w:vAlign w:val="bottom"/>
            <w:gridSpan w:val="11"/>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180" w:type="dxa"/>
            <w:vAlign w:val="bottom"/>
          </w:tcPr>
          <w:p>
            <w:pPr>
              <w:spacing w:after="0"/>
              <w:rPr>
                <w:sz w:val="24"/>
                <w:szCs w:val="24"/>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Security Ownership of Certain Beneficial Owners</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60" w:type="dxa"/>
            <w:vAlign w:val="bottom"/>
            <w:tcBorders>
              <w:bottom w:val="single" w:sz="8" w:color="0000EE"/>
            </w:tcBorders>
            <w:gridSpan w:val="4"/>
          </w:tcPr>
          <w:p>
            <w:pPr>
              <w:spacing w:after="0"/>
              <w:rPr>
                <w:sz w:val="3"/>
                <w:szCs w:val="3"/>
                <w:color w:val="auto"/>
              </w:rPr>
            </w:pPr>
          </w:p>
        </w:tc>
        <w:tc>
          <w:tcPr>
            <w:tcW w:w="1640" w:type="dxa"/>
            <w:vAlign w:val="bottom"/>
            <w:tcBorders>
              <w:bottom w:val="single" w:sz="8" w:color="0000EE"/>
            </w:tcBorders>
            <w:gridSpan w:val="10"/>
          </w:tcPr>
          <w:p>
            <w:pPr>
              <w:spacing w:after="0"/>
              <w:rPr>
                <w:sz w:val="3"/>
                <w:szCs w:val="3"/>
                <w:color w:val="auto"/>
              </w:rPr>
            </w:pPr>
          </w:p>
        </w:tc>
        <w:tc>
          <w:tcPr>
            <w:tcW w:w="80" w:type="dxa"/>
            <w:vAlign w:val="bottom"/>
          </w:tcPr>
          <w:p>
            <w:pPr>
              <w:spacing w:after="0"/>
              <w:rPr>
                <w:sz w:val="3"/>
                <w:szCs w:val="3"/>
                <w:color w:val="auto"/>
              </w:rPr>
            </w:pPr>
          </w:p>
        </w:tc>
        <w:tc>
          <w:tcPr>
            <w:tcW w:w="4580" w:type="dxa"/>
            <w:vAlign w:val="bottom"/>
            <w:gridSpan w:val="12"/>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960" w:type="dxa"/>
            <w:vAlign w:val="bottom"/>
            <w:gridSpan w:val="27"/>
          </w:tcPr>
          <w:p>
            <w:pPr>
              <w:spacing w:after="0"/>
              <w:rPr>
                <w:sz w:val="20"/>
                <w:szCs w:val="20"/>
                <w:color w:val="auto"/>
              </w:rPr>
            </w:pPr>
            <w:r>
              <w:rPr>
                <w:rFonts w:ascii="Arial" w:cs="Arial" w:eastAsia="Arial" w:hAnsi="Arial"/>
                <w:sz w:val="15"/>
                <w:szCs w:val="15"/>
                <w:color w:val="0000EE"/>
              </w:rPr>
              <w:t>Security Ownership of Management and Directors</w:t>
            </w: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44"/>
        </w:trPr>
        <w:tc>
          <w:tcPr>
            <w:tcW w:w="180" w:type="dxa"/>
            <w:vAlign w:val="bottom"/>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5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220" w:type="dxa"/>
            <w:vAlign w:val="bottom"/>
            <w:tcBorders>
              <w:bottom w:val="single" w:sz="8" w:color="0000EE"/>
            </w:tcBorders>
          </w:tcPr>
          <w:p>
            <w:pPr>
              <w:spacing w:after="0"/>
              <w:rPr>
                <w:sz w:val="3"/>
                <w:szCs w:val="3"/>
                <w:color w:val="auto"/>
              </w:rPr>
            </w:pPr>
          </w:p>
        </w:tc>
        <w:tc>
          <w:tcPr>
            <w:tcW w:w="60" w:type="dxa"/>
            <w:vAlign w:val="bottom"/>
            <w:tcBorders>
              <w:bottom w:val="single" w:sz="8" w:color="0000EE"/>
            </w:tcBorders>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30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1840" w:type="dxa"/>
            <w:vAlign w:val="bottom"/>
            <w:gridSpan w:val="5"/>
            <w:vMerge w:val="restart"/>
          </w:tcPr>
          <w:p>
            <w:pPr>
              <w:spacing w:after="0"/>
              <w:rPr>
                <w:sz w:val="20"/>
                <w:szCs w:val="20"/>
                <w:color w:val="auto"/>
              </w:rPr>
            </w:pPr>
            <w:r>
              <w:rPr>
                <w:rFonts w:ascii="Arial" w:cs="Arial" w:eastAsia="Arial" w:hAnsi="Arial"/>
                <w:sz w:val="22"/>
                <w:szCs w:val="22"/>
                <w:b w:val="1"/>
                <w:bCs w:val="1"/>
                <w:color w:val="0000EE"/>
                <w:w w:val="96"/>
              </w:rPr>
              <w:t>OTHER MATTERS</w:t>
            </w:r>
          </w:p>
        </w:tc>
        <w:tc>
          <w:tcPr>
            <w:tcW w:w="6300" w:type="dxa"/>
            <w:vAlign w:val="bottom"/>
            <w:gridSpan w:val="23"/>
            <w:vMerge w:val="restart"/>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4"/>
                <w:szCs w:val="4"/>
                <w:color w:val="auto"/>
              </w:rPr>
              <w:t>​</w:t>
            </w:r>
          </w:p>
        </w:tc>
        <w:tc>
          <w:tcPr>
            <w:tcW w:w="200" w:type="dxa"/>
            <w:vAlign w:val="bottom"/>
          </w:tcPr>
          <w:p>
            <w:pPr>
              <w:ind w:left="180"/>
              <w:spacing w:after="0"/>
              <w:rPr>
                <w:sz w:val="20"/>
                <w:szCs w:val="20"/>
                <w:color w:val="auto"/>
              </w:rPr>
            </w:pP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184"/>
        </w:trPr>
        <w:tc>
          <w:tcPr>
            <w:tcW w:w="1840" w:type="dxa"/>
            <w:vAlign w:val="bottom"/>
            <w:tcBorders>
              <w:bottom w:val="single" w:sz="8" w:color="0000EE"/>
            </w:tcBorders>
            <w:gridSpan w:val="5"/>
            <w:vMerge w:val="continue"/>
          </w:tcPr>
          <w:p>
            <w:pPr>
              <w:spacing w:after="0"/>
              <w:rPr>
                <w:sz w:val="15"/>
                <w:szCs w:val="15"/>
                <w:color w:val="auto"/>
              </w:rPr>
            </w:pPr>
          </w:p>
        </w:tc>
        <w:tc>
          <w:tcPr>
            <w:tcW w:w="6300" w:type="dxa"/>
            <w:vAlign w:val="bottom"/>
            <w:gridSpan w:val="23"/>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171450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-4765675</wp:posOffset>
            </wp:positionV>
            <wp:extent cx="5777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-1336675</wp:posOffset>
            </wp:positionV>
            <wp:extent cx="5777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-668020</wp:posOffset>
            </wp:positionV>
            <wp:extent cx="5777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51435</wp:posOffset>
            </wp:positionV>
            <wp:extent cx="57778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00EE"/>
        </w:rPr>
        <w:t>1</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1</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2</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2</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2</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2</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2</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3</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3</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3</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3</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3</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00EE"/>
        </w:rPr>
        <w:t>4</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4</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00EE"/>
        </w:rPr>
        <w:t>5</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5</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0000EE"/>
        </w:rPr>
        <w:t>5</w:t>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0000EE"/>
        </w:rPr>
        <w:t>7</w:t>
      </w:r>
    </w:p>
    <w:p>
      <w:pPr>
        <w:sectPr>
          <w:pgSz w:w="11900" w:h="16838" w:orient="portrait"/>
          <w:cols w:equalWidth="0" w:num="2">
            <w:col w:w="8600" w:space="380"/>
            <w:col w:w="120"/>
          </w:cols>
          <w:pgMar w:left="1400" w:top="265" w:right="139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QUESTIONS AND ANSWERS ABOUT</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THE SPECIAL MEETING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3"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You are receiving this proxy statement in connection with the special meeting of shareholders called by our Board with respect to soliciting shareholder votes for the purpose of approving an amendment to our Amended and Restated Articles of Incorporation (our “Articles of Incorporation”) to change the name of the Company from Allied Motion Technologies Inc. to Allient Inc. (the “Name Change”), as described below. You have been sent this proxy statement and the enclosed proxy card because our Board is soliciting your proxy to vote at the Special Meeting regarding the foregoing matter. The information included in this proxy statement relates to the proposal to be voted on at the Special Meeting, and certain other required information.</w:t>
      </w:r>
    </w:p>
    <w:p>
      <w:pPr>
        <w:spacing w:after="0" w:line="84"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You should carefully read this proxy statement, including the other documents we refer to in this proxy statement, as they contain important information about the Name Change and Special Meeting of the shareholders of the Company. This proxy statement summarizes the information you need to know to vote by proxy or to virtually attend and vote your shares at the Special Meeting. You do not need to virtually attend the Special Meeting in order to vote.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Your vote is very important. We encourage you to vote as soon as possible.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is the Company proposing the Name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3"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The Board of Directors believes it is in the Company’s best interest to change the name of the Company from “Allied Motion Technologies Inc.” to Allient Inc. to better reflect the progress the organization has made to evolve its technology portfolio beyond Motion into a broader set of Motion, Control and Power Quality solutions. Short for Allied Nexus Technologies, “Allient” captures the value opportunity that exists at the nexus of the three technology pillars. The broader recognition by the name Allient symbolizes the more encompassing technology solutions that the Company can now offer as it evolves into more comprehensive solutions for a rapidly expanding opportunity set of applications in key target markets. Allient is a reflection of the Company’s strategy for growth, commitment to serving its customers and value proposition for its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Company’s ticker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7"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In connection with our name change, the Company also plans to change its ticker on the Nasdaq to reflect the new name and expects to trade under the ticker “ALNT.”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Company’s CUSIP number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There will be no change to the Company’s CUSIP related to the name change nor the ticker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Should I send in my stock certificates in connection with the Name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3"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No. Do not send us your stock certificates. Following the Name Change, each stock certificate representing issued and outstanding shares of our Common Stock will continue to represent the same number of shares of Common Stock of the Company. It will not be necessary for you to exchange your existing stock certificates for stock certificates of the Company following the Name Change, and if you do so, it will be at your own cost.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23"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All shareholders of record as of the close of business on Friday, June 23, 2023 (the “Record Date”) are entitled to vote at the Special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for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7" w:lineRule="exact"/>
        <w:rPr>
          <w:sz w:val="20"/>
          <w:szCs w:val="20"/>
          <w:color w:val="auto"/>
        </w:rPr>
      </w:pPr>
    </w:p>
    <w:p>
      <w:pPr>
        <w:ind w:right="600"/>
        <w:spacing w:after="0" w:line="261" w:lineRule="auto"/>
        <w:rPr>
          <w:sz w:val="20"/>
          <w:szCs w:val="20"/>
          <w:color w:val="auto"/>
        </w:rPr>
      </w:pPr>
      <w:r>
        <w:rPr>
          <w:rFonts w:ascii="Arial" w:cs="Arial" w:eastAsia="Arial" w:hAnsi="Arial"/>
          <w:sz w:val="16"/>
          <w:szCs w:val="16"/>
          <w:color w:val="auto"/>
        </w:rPr>
        <w:t>A quorum at the Special Meeting will consist of a majority of the votes entitled to be cast by the holders of all shares of Common Stock outstanding on the Record Date. No business may be conducted at the Special Meeting if a quorum is not present. As of the Record Date, 16,180,170 shares of Common Stock were issued and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3" w:lineRule="exact"/>
        <w:rPr>
          <w:sz w:val="20"/>
          <w:szCs w:val="20"/>
          <w:color w:val="auto"/>
        </w:rPr>
      </w:pPr>
    </w:p>
    <w:p>
      <w:pPr>
        <w:ind w:right="820"/>
        <w:spacing w:after="0" w:line="276" w:lineRule="auto"/>
        <w:rPr>
          <w:sz w:val="20"/>
          <w:szCs w:val="20"/>
          <w:color w:val="auto"/>
        </w:rPr>
      </w:pPr>
      <w:r>
        <w:rPr>
          <w:rFonts w:ascii="Arial" w:cs="Arial" w:eastAsia="Arial" w:hAnsi="Arial"/>
          <w:sz w:val="16"/>
          <w:szCs w:val="16"/>
          <w:color w:val="auto"/>
        </w:rPr>
        <w:t>Each share of Common Stock outstanding on the Record Date is entitled to one vote on each item submitted to you for consideration.</w:t>
      </w:r>
    </w:p>
    <w:p>
      <w:pPr>
        <w:spacing w:after="0" w:line="213"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3"/>
          <w:szCs w:val="13"/>
          <w:color w:val="auto"/>
        </w:rPr>
        <w:t>Allied Motion Technologies Inc. | Special Meeting Proxy Statement |</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141605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220" w:right="400"/>
        <w:spacing w:after="0" w:line="285" w:lineRule="auto"/>
        <w:rPr>
          <w:sz w:val="20"/>
          <w:szCs w:val="20"/>
          <w:color w:val="auto"/>
        </w:rPr>
      </w:pPr>
      <w:r>
        <w:rPr>
          <w:rFonts w:ascii="Arial" w:cs="Arial" w:eastAsia="Arial" w:hAnsi="Arial"/>
          <w:sz w:val="18"/>
          <w:szCs w:val="18"/>
          <w:b w:val="1"/>
          <w:bCs w:val="1"/>
          <w:i w:val="1"/>
          <w:iCs w:val="1"/>
          <w:color w:val="auto"/>
        </w:rPr>
        <w:t>What is the difference between a shareholder of record and a beneficial owner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-22860</wp:posOffset>
            </wp:positionV>
            <wp:extent cx="5777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51" w:lineRule="exact"/>
        <w:rPr>
          <w:sz w:val="20"/>
          <w:szCs w:val="20"/>
          <w:color w:val="auto"/>
        </w:rPr>
      </w:pPr>
    </w:p>
    <w:p>
      <w:pPr>
        <w:ind w:left="220" w:right="100"/>
        <w:spacing w:after="0" w:line="281"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your shares are registered directly in your name with the Company’s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you are considered the shareholder of record with respect to those shares.</w:t>
      </w:r>
    </w:p>
    <w:p>
      <w:pPr>
        <w:spacing w:after="0" w:line="55" w:lineRule="exact"/>
        <w:rPr>
          <w:sz w:val="20"/>
          <w:szCs w:val="20"/>
          <w:color w:val="auto"/>
        </w:rPr>
      </w:pPr>
    </w:p>
    <w:p>
      <w:pPr>
        <w:ind w:left="220" w:right="20"/>
        <w:spacing w:after="0" w:line="258"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 shares are held in an account at a brokerage firm, bank, broker-dealer</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similar organization, then you are the beneficial owner of shares held in “street name.” The organization holding your account is considered the shareholder of record for purposes of voting at the Special Meeting. As a beneficial owner, you have the right to direct that organization on how to vote the shares held in your account.</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I am a shareholder of record of Common Stock,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20320</wp:posOffset>
            </wp:positionV>
            <wp:extent cx="577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3" w:lineRule="exact"/>
        <w:rPr>
          <w:sz w:val="20"/>
          <w:szCs w:val="20"/>
          <w:color w:val="auto"/>
        </w:rPr>
      </w:pPr>
    </w:p>
    <w:p>
      <w:pPr>
        <w:ind w:left="220" w:right="120"/>
        <w:spacing w:after="0" w:line="252"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 instruction form. Your shares will be voted at the Special Meeting in the manner you directed. If you vote by proxy and do not provide direction on a proposal, the proxy will be voted with the Board’s recommendation. You may also attend the virtual Special Meeting and vote your shares during the meeting.</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I am a beneficial owner of shares held in street name,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20320</wp:posOffset>
            </wp:positionV>
            <wp:extent cx="5777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23" w:lineRule="exact"/>
        <w:rPr>
          <w:sz w:val="20"/>
          <w:szCs w:val="20"/>
          <w:color w:val="auto"/>
        </w:rPr>
      </w:pPr>
    </w:p>
    <w:p>
      <w:pPr>
        <w:ind w:left="220" w:right="180"/>
        <w:spacing w:after="0" w:line="261" w:lineRule="auto"/>
        <w:rPr>
          <w:sz w:val="20"/>
          <w:szCs w:val="20"/>
          <w:color w:val="auto"/>
        </w:rPr>
      </w:pPr>
      <w:r>
        <w:rPr>
          <w:rFonts w:ascii="Arial" w:cs="Arial" w:eastAsia="Arial" w:hAnsi="Arial"/>
          <w:sz w:val="16"/>
          <w:szCs w:val="16"/>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w:t>
      </w:r>
    </w:p>
    <w:p>
      <w:pPr>
        <w:spacing w:after="0" w:line="75" w:lineRule="exact"/>
        <w:rPr>
          <w:sz w:val="20"/>
          <w:szCs w:val="20"/>
          <w:color w:val="auto"/>
        </w:rPr>
      </w:pPr>
    </w:p>
    <w:p>
      <w:pPr>
        <w:ind w:left="220" w:right="120"/>
        <w:spacing w:after="0" w:line="276" w:lineRule="auto"/>
        <w:rPr>
          <w:sz w:val="20"/>
          <w:szCs w:val="20"/>
          <w:color w:val="auto"/>
        </w:rPr>
      </w:pPr>
      <w:r>
        <w:rPr>
          <w:rFonts w:ascii="Arial" w:cs="Arial" w:eastAsia="Arial" w:hAnsi="Arial"/>
          <w:sz w:val="16"/>
          <w:szCs w:val="16"/>
          <w:color w:val="auto"/>
        </w:rPr>
        <w:t>The Name Change proposal is considered to be “routine” under applicable New York Stock Exchange rules. Accordingly, your broker may exercise its discretion to vote for or against the proposal in the absence of your instruction.</w:t>
      </w:r>
    </w:p>
    <w:p>
      <w:pPr>
        <w:spacing w:after="0" w:line="63" w:lineRule="exact"/>
        <w:rPr>
          <w:sz w:val="20"/>
          <w:szCs w:val="20"/>
          <w:color w:val="auto"/>
        </w:rPr>
      </w:pPr>
    </w:p>
    <w:p>
      <w:pPr>
        <w:ind w:left="220"/>
        <w:spacing w:after="0" w:line="261" w:lineRule="auto"/>
        <w:rPr>
          <w:sz w:val="20"/>
          <w:szCs w:val="20"/>
          <w:color w:val="auto"/>
        </w:rPr>
      </w:pPr>
      <w:r>
        <w:rPr>
          <w:rFonts w:ascii="Arial" w:cs="Arial" w:eastAsia="Arial" w:hAnsi="Arial"/>
          <w:sz w:val="16"/>
          <w:szCs w:val="16"/>
          <w:color w:val="auto"/>
        </w:rPr>
        <w:t>If your shares are held in street name you also may attend the virtual Special Meeting and vote your shares during the meeting. We recommend that you vote your shares in advance as described above so that your vote will be counted if you later decide not to attend the Special Meeting.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can I participate in the virtual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20320</wp:posOffset>
            </wp:positionV>
            <wp:extent cx="5777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3" w:lineRule="exact"/>
        <w:rPr>
          <w:sz w:val="20"/>
          <w:szCs w:val="20"/>
          <w:color w:val="auto"/>
        </w:rPr>
      </w:pPr>
    </w:p>
    <w:p>
      <w:pPr>
        <w:ind w:left="220" w:right="40"/>
        <w:spacing w:after="0" w:line="269" w:lineRule="auto"/>
        <w:rPr>
          <w:sz w:val="20"/>
          <w:szCs w:val="20"/>
          <w:color w:val="auto"/>
        </w:rPr>
      </w:pPr>
      <w:r>
        <w:rPr>
          <w:rFonts w:ascii="Arial" w:cs="Arial" w:eastAsia="Arial" w:hAnsi="Arial"/>
          <w:sz w:val="15"/>
          <w:szCs w:val="15"/>
          <w:color w:val="auto"/>
        </w:rPr>
        <w:t xml:space="preserve">You may participate in the virtual Special Meeting and vote your shares during the meeting by visiting our Special Meeting website at </w:t>
      </w:r>
      <w:r>
        <w:rPr>
          <w:rFonts w:ascii="Arial" w:cs="Arial" w:eastAsia="Arial" w:hAnsi="Arial"/>
          <w:sz w:val="15"/>
          <w:szCs w:val="15"/>
          <w:b w:val="1"/>
          <w:bCs w:val="1"/>
          <w:u w:val="single" w:color="auto"/>
          <w:color w:val="2D64AF"/>
        </w:rPr>
        <w:t>www.virtualshareholdermeeting.com/AMOT2023SM.</w:t>
      </w:r>
      <w:r>
        <w:rPr>
          <w:rFonts w:ascii="Arial" w:cs="Arial" w:eastAsia="Arial" w:hAnsi="Arial"/>
          <w:sz w:val="15"/>
          <w:szCs w:val="15"/>
          <w:color w:val="auto"/>
        </w:rPr>
        <w:t xml:space="preserve"> To participate in the Special Meeting, you will need the 16-digit control number included on your proxy card or on the instructions that accompanied your proxy materials. Shares held in your name as the shareholder of record may be voted electronically during the Special Meeting. Shares for which you are the beneficial owner but not the shareholder of record also may be voted electronically during the Special Meeting. Even if you plan to participate in the Special Meeting online, we recommend that you vote by proxy in advance as described above so that your vote will be counted if you later decide not to participate in the Special Meeting. The Special Meeting will begin promptly at 9:00 a.m. (Eastern Time). Online check-in will begin at 8:45 a.m. (Eastern Time), and you should allow ample time for the online check-in procedures.</w:t>
      </w:r>
    </w:p>
    <w:p>
      <w:pPr>
        <w:spacing w:after="0" w:line="73" w:lineRule="exact"/>
        <w:rPr>
          <w:sz w:val="20"/>
          <w:szCs w:val="20"/>
          <w:color w:val="auto"/>
        </w:rPr>
      </w:pPr>
    </w:p>
    <w:p>
      <w:pPr>
        <w:ind w:left="220" w:right="80"/>
        <w:spacing w:after="0" w:line="256" w:lineRule="auto"/>
        <w:rPr>
          <w:sz w:val="20"/>
          <w:szCs w:val="20"/>
          <w:color w:val="auto"/>
        </w:rPr>
      </w:pPr>
      <w:r>
        <w:rPr>
          <w:rFonts w:ascii="Arial" w:cs="Arial" w:eastAsia="Arial" w:hAnsi="Arial"/>
          <w:sz w:val="16"/>
          <w:szCs w:val="16"/>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79" w:lineRule="exact"/>
        <w:rPr>
          <w:sz w:val="20"/>
          <w:szCs w:val="20"/>
          <w:color w:val="auto"/>
        </w:rPr>
      </w:pPr>
    </w:p>
    <w:p>
      <w:pPr>
        <w:ind w:left="220" w:right="140"/>
        <w:spacing w:after="0" w:line="327" w:lineRule="auto"/>
        <w:rPr>
          <w:sz w:val="20"/>
          <w:szCs w:val="20"/>
          <w:color w:val="auto"/>
        </w:rPr>
      </w:pPr>
      <w:r>
        <w:rPr>
          <w:rFonts w:ascii="Arial" w:cs="Arial" w:eastAsia="Arial" w:hAnsi="Arial"/>
          <w:sz w:val="15"/>
          <w:szCs w:val="15"/>
          <w:color w:val="auto"/>
        </w:rPr>
        <w:t xml:space="preserve">If you wish to submit a question during the Special Meeting, you may log into the virtual meeting platform with your control number at </w:t>
      </w:r>
      <w:r>
        <w:rPr>
          <w:rFonts w:ascii="Arial" w:cs="Arial" w:eastAsia="Arial" w:hAnsi="Arial"/>
          <w:sz w:val="15"/>
          <w:szCs w:val="15"/>
          <w:b w:val="1"/>
          <w:bCs w:val="1"/>
          <w:u w:val="single" w:color="auto"/>
          <w:color w:val="2D64AF"/>
        </w:rPr>
        <w:t>www.virtualshareholdermeeting.com/AMOT2023SM</w:t>
      </w:r>
      <w:r>
        <w:rPr>
          <w:rFonts w:ascii="Arial" w:cs="Arial" w:eastAsia="Arial" w:hAnsi="Arial"/>
          <w:sz w:val="15"/>
          <w:szCs w:val="15"/>
          <w:color w:val="auto"/>
        </w:rPr>
        <w:t xml:space="preserve"> type your question into the “Ask a Question” field, and click “Submit.”</w:t>
      </w:r>
    </w:p>
    <w:p>
      <w:pPr>
        <w:spacing w:after="0" w:line="16"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 xml:space="preserve">Questions pertinent to meeting matters will be answered during the meeting, subject to time constraints. Questions regarding personal matters, including those related to employment, are not pertinent to meeting matters and therefore will not be answered. Any questions pertinent to meeting matters that cannot be answered during the meeting due to time constraints will be posted online and answered at </w:t>
      </w:r>
      <w:r>
        <w:rPr>
          <w:rFonts w:ascii="Arial" w:cs="Arial" w:eastAsia="Arial" w:hAnsi="Arial"/>
          <w:sz w:val="16"/>
          <w:szCs w:val="16"/>
          <w:b w:val="1"/>
          <w:bCs w:val="1"/>
          <w:u w:val="single" w:color="auto"/>
          <w:color w:val="2D64AF"/>
        </w:rPr>
        <w:t>www.alliedmotion.com/investor-relations/</w:t>
      </w:r>
      <w:r>
        <w:rPr>
          <w:rFonts w:ascii="Arial" w:cs="Arial" w:eastAsia="Arial" w:hAnsi="Arial"/>
          <w:sz w:val="16"/>
          <w:szCs w:val="16"/>
          <w:color w:val="auto"/>
        </w:rPr>
        <w:t>. The questions and answers will be available as soon as practical after the meeting and will remain available until one week after posting.</w:t>
      </w:r>
    </w:p>
    <w:p>
      <w:pPr>
        <w:spacing w:after="0" w:line="83" w:lineRule="exact"/>
        <w:rPr>
          <w:sz w:val="20"/>
          <w:szCs w:val="20"/>
          <w:color w:val="auto"/>
        </w:rPr>
      </w:pPr>
    </w:p>
    <w:p>
      <w:pPr>
        <w:jc w:val="both"/>
        <w:ind w:left="220" w:right="80"/>
        <w:spacing w:after="0" w:line="276" w:lineRule="auto"/>
        <w:rPr>
          <w:sz w:val="20"/>
          <w:szCs w:val="20"/>
          <w:color w:val="auto"/>
        </w:rPr>
      </w:pPr>
      <w:r>
        <w:rPr>
          <w:rFonts w:ascii="Arial" w:cs="Arial" w:eastAsia="Arial" w:hAnsi="Arial"/>
          <w:sz w:val="16"/>
          <w:szCs w:val="16"/>
          <w:color w:val="auto"/>
        </w:rPr>
        <w:t>If you encounter any difficulties while accessing the virtual meeting during the check-in or meeting time, a technical assistance phone number will be made available on the virtual meeting registration page 15 minutes prior to the start time of the meeting.</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many votes are required to act on the Name Change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28575</wp:posOffset>
            </wp:positionV>
            <wp:extent cx="57778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7" w:lineRule="exact"/>
        <w:rPr>
          <w:sz w:val="20"/>
          <w:szCs w:val="20"/>
          <w:color w:val="auto"/>
        </w:rPr>
      </w:pPr>
    </w:p>
    <w:p>
      <w:pPr>
        <w:ind w:left="220" w:right="480"/>
        <w:spacing w:after="0" w:line="276" w:lineRule="auto"/>
        <w:rPr>
          <w:sz w:val="20"/>
          <w:szCs w:val="20"/>
          <w:color w:val="auto"/>
        </w:rPr>
      </w:pPr>
      <w:r>
        <w:rPr>
          <w:rFonts w:ascii="Arial" w:cs="Arial" w:eastAsia="Arial" w:hAnsi="Arial"/>
          <w:sz w:val="16"/>
          <w:szCs w:val="16"/>
          <w:color w:val="auto"/>
        </w:rPr>
        <w:t>The holder of each outstanding share of Common Stock is entitled to one vote for each share of Common Stock on each matter submitted to a vote at a meeting of shareholders.</w:t>
      </w:r>
    </w:p>
    <w:p>
      <w:pPr>
        <w:spacing w:after="0" w:line="63" w:lineRule="exact"/>
        <w:rPr>
          <w:sz w:val="20"/>
          <w:szCs w:val="20"/>
          <w:color w:val="auto"/>
        </w:rPr>
      </w:pPr>
    </w:p>
    <w:p>
      <w:pPr>
        <w:ind w:left="220" w:right="720"/>
        <w:spacing w:after="0" w:line="276" w:lineRule="auto"/>
        <w:rPr>
          <w:sz w:val="20"/>
          <w:szCs w:val="20"/>
          <w:color w:val="auto"/>
        </w:rPr>
      </w:pPr>
      <w:r>
        <w:rPr>
          <w:rFonts w:ascii="Arial" w:cs="Arial" w:eastAsia="Arial" w:hAnsi="Arial"/>
          <w:sz w:val="16"/>
          <w:szCs w:val="16"/>
          <w:color w:val="auto"/>
        </w:rPr>
        <w:t>Pursuant to our Amended and Restated Articles of Incorporation and Bylaws, the Name Change proposal requires an affirmative vote by a majority of the votes cast on the proposal.</w:t>
      </w:r>
    </w:p>
    <w:p>
      <w:pPr>
        <w:spacing w:after="0" w:line="63" w:lineRule="exact"/>
        <w:rPr>
          <w:sz w:val="20"/>
          <w:szCs w:val="20"/>
          <w:color w:val="auto"/>
        </w:rPr>
      </w:pPr>
    </w:p>
    <w:p>
      <w:pPr>
        <w:ind w:left="220" w:right="160"/>
        <w:spacing w:after="0" w:line="276" w:lineRule="auto"/>
        <w:rPr>
          <w:sz w:val="20"/>
          <w:szCs w:val="20"/>
          <w:color w:val="auto"/>
        </w:rPr>
      </w:pPr>
      <w:r>
        <w:rPr>
          <w:rFonts w:ascii="Arial" w:cs="Arial" w:eastAsia="Arial" w:hAnsi="Arial"/>
          <w:sz w:val="16"/>
          <w:szCs w:val="16"/>
          <w:color w:val="auto"/>
        </w:rPr>
        <w:t>An abstention has the same effect as voting “AGAINST” the Name Change proposal, however abstentions will be considered present for the purpose of determining the presence of a quorum at the Special Meeting.</w:t>
      </w:r>
    </w:p>
    <w:p>
      <w:pPr>
        <w:sectPr>
          <w:pgSz w:w="11900" w:h="16838" w:orient="portrait"/>
          <w:cols w:equalWidth="0" w:num="1">
            <w:col w:w="9320"/>
          </w:cols>
          <w:pgMar w:left="1280" w:top="265" w:right="1299" w:bottom="1440" w:gutter="0" w:footer="0" w:header="0"/>
        </w:sectPr>
      </w:pPr>
    </w:p>
    <w:p>
      <w:pPr>
        <w:spacing w:after="0" w:line="221" w:lineRule="exact"/>
        <w:rPr>
          <w:sz w:val="20"/>
          <w:szCs w:val="20"/>
          <w:color w:val="auto"/>
        </w:rPr>
      </w:pPr>
    </w:p>
    <w:p>
      <w:pPr>
        <w:ind w:left="220" w:hanging="218"/>
        <w:spacing w:after="0"/>
        <w:tabs>
          <w:tab w:leader="none" w:pos="220" w:val="left"/>
        </w:tabs>
        <w:numPr>
          <w:ilvl w:val="0"/>
          <w:numId w:val="3"/>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135255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7"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color w:val="auto"/>
        </w:rPr>
        <w:t>You can revoke your proxy and change your vote at any time prior to the voting thereof at the Special Meeting, subject to the voting deadlines that are described on the proxy card or voting instruction form, as applicable. You can revoke your vote:</w:t>
      </w:r>
    </w:p>
    <w:p>
      <w:pPr>
        <w:ind w:left="180" w:right="340" w:hanging="178"/>
        <w:spacing w:after="0" w:line="27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By voting again by Internet or by telephone (only your last Internet or telephone proxy submitted prior to the meeting will be counted);</w:t>
      </w:r>
    </w:p>
    <w:p>
      <w:pPr>
        <w:spacing w:after="0" w:line="1" w:lineRule="exact"/>
        <w:rPr>
          <w:rFonts w:ascii="Arial" w:cs="Arial" w:eastAsia="Arial" w:hAnsi="Arial"/>
          <w:sz w:val="16"/>
          <w:szCs w:val="16"/>
          <w:color w:val="auto"/>
        </w:rPr>
      </w:pPr>
    </w:p>
    <w:p>
      <w:pPr>
        <w:ind w:left="180" w:hanging="178"/>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By filing with the Secretary of the Company a written revocation or signing and submitting another proxy with a later date, or</w:t>
      </w:r>
    </w:p>
    <w:p>
      <w:pPr>
        <w:spacing w:after="0" w:line="45" w:lineRule="exact"/>
        <w:rPr>
          <w:rFonts w:ascii="Arial" w:cs="Arial" w:eastAsia="Arial" w:hAnsi="Arial"/>
          <w:sz w:val="16"/>
          <w:szCs w:val="16"/>
          <w:color w:val="auto"/>
        </w:rPr>
      </w:pPr>
    </w:p>
    <w:p>
      <w:pPr>
        <w:ind w:left="180" w:hanging="178"/>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By virtually attending the Special Meeting, withdrawing the proxy and voting during the Special Meeting.</w:t>
      </w:r>
    </w:p>
    <w:p>
      <w:pPr>
        <w:spacing w:after="0" w:line="113" w:lineRule="exact"/>
        <w:rPr>
          <w:sz w:val="20"/>
          <w:szCs w:val="20"/>
          <w:color w:val="auto"/>
        </w:rPr>
      </w:pPr>
    </w:p>
    <w:p>
      <w:pPr>
        <w:jc w:val="both"/>
        <w:ind w:right="480"/>
        <w:spacing w:after="0" w:line="261" w:lineRule="auto"/>
        <w:rPr>
          <w:sz w:val="20"/>
          <w:szCs w:val="20"/>
          <w:color w:val="auto"/>
        </w:rPr>
      </w:pPr>
      <w:r>
        <w:rPr>
          <w:rFonts w:ascii="Arial" w:cs="Arial" w:eastAsia="Arial" w:hAnsi="Arial"/>
          <w:sz w:val="16"/>
          <w:szCs w:val="16"/>
          <w:color w:val="auto"/>
        </w:rPr>
        <w:t>Your virtual attendance at the Special Meeting will not automatically revoke your proxy unless you vote again. If your shares are held in street name, we also recommend that you contact your broker, bank or other nominee for instructions on how to change or revoke your vote.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anyone contact me regarding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Solicitation of proxies for use at the Special Meeting may be made in person or by mail, telephone or telegram, by directors, officers and regular employees of the Company. Such persons will receive no special compensation for any solicitation activities.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has paid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paid the entire expense of this proxy statement and any additional materials furnished to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19"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 xml:space="preserve">It means that you have multiple accounts at the transfer agent or with stockbrokers. Please complete and vote </w:t>
      </w:r>
      <w:r>
        <w:rPr>
          <w:rFonts w:ascii="Arial" w:cs="Arial" w:eastAsia="Arial" w:hAnsi="Arial"/>
          <w:sz w:val="16"/>
          <w:szCs w:val="16"/>
          <w:i w:val="1"/>
          <w:iCs w:val="1"/>
          <w:color w:val="auto"/>
        </w:rPr>
        <w:t>ALL</w:t>
      </w:r>
      <w:r>
        <w:rPr>
          <w:rFonts w:ascii="Arial" w:cs="Arial" w:eastAsia="Arial" w:hAnsi="Arial"/>
          <w:sz w:val="16"/>
          <w:szCs w:val="16"/>
          <w:color w:val="auto"/>
        </w:rPr>
        <w:t xml:space="preserve"> proxy cards to ensure that all your shares are voted.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was this proxy statement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5777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and the enclosed proxy card were mailed to shareholders beginning on or about June 30, 2023.</w:t>
      </w:r>
    </w:p>
    <w:p>
      <w:pPr>
        <w:spacing w:after="0" w:line="263"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3"/>
          <w:szCs w:val="13"/>
          <w:color w:val="auto"/>
        </w:rPr>
        <w:t>Allied Motion Technologies Inc. | Special Meeting Proxy Statement |</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PROPOSAL TO BE VOTED ON</w:t>
      </w:r>
    </w:p>
    <w:p>
      <w:pPr>
        <w:spacing w:after="0" w:line="191" w:lineRule="exact"/>
        <w:rPr>
          <w:sz w:val="20"/>
          <w:szCs w:val="20"/>
          <w:color w:val="auto"/>
        </w:rPr>
      </w:pPr>
    </w:p>
    <w:p>
      <w:pPr>
        <w:ind w:left="220" w:right="580"/>
        <w:spacing w:after="0" w:line="267" w:lineRule="auto"/>
        <w:rPr>
          <w:sz w:val="20"/>
          <w:szCs w:val="20"/>
          <w:color w:val="auto"/>
        </w:rPr>
      </w:pPr>
      <w:r>
        <w:rPr>
          <w:rFonts w:ascii="Arial" w:cs="Arial" w:eastAsia="Arial" w:hAnsi="Arial"/>
          <w:sz w:val="25"/>
          <w:szCs w:val="25"/>
          <w:b w:val="1"/>
          <w:bCs w:val="1"/>
          <w:color w:val="2D64AF"/>
        </w:rPr>
        <w:t>Proposal 1 – Approval of an Amendment to Our Amended and Restated Articles of Incorporation to Change our Name to Allient Inc.</w:t>
      </w: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240"/>
        <w:spacing w:after="0" w:line="250" w:lineRule="auto"/>
        <w:rPr>
          <w:sz w:val="20"/>
          <w:szCs w:val="20"/>
          <w:color w:val="auto"/>
        </w:rPr>
      </w:pPr>
      <w:r>
        <w:rPr>
          <w:rFonts w:ascii="Arial" w:cs="Arial" w:eastAsia="Arial" w:hAnsi="Arial"/>
          <w:sz w:val="16"/>
          <w:szCs w:val="16"/>
          <w:color w:val="auto"/>
        </w:rPr>
        <w:t>Our Board has approved, and recommends that our shareholders approve, an amendment to our Articles of Incorporation to change the name of our Company from Allied Motion Technologies Inc. to Allient Inc.</w:t>
      </w:r>
    </w:p>
    <w:p>
      <w:pPr>
        <w:ind w:left="22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REASON FOR THE PROPOSAL</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11" w:lineRule="exact"/>
        <w:rPr>
          <w:sz w:val="20"/>
          <w:szCs w:val="20"/>
          <w:color w:val="auto"/>
        </w:rPr>
      </w:pPr>
    </w:p>
    <w:p>
      <w:pPr>
        <w:ind w:left="220" w:right="180"/>
        <w:spacing w:after="0" w:line="254" w:lineRule="auto"/>
        <w:rPr>
          <w:sz w:val="20"/>
          <w:szCs w:val="20"/>
          <w:color w:val="auto"/>
        </w:rPr>
      </w:pPr>
      <w:r>
        <w:rPr>
          <w:rFonts w:ascii="Arial" w:cs="Arial" w:eastAsia="Arial" w:hAnsi="Arial"/>
          <w:sz w:val="16"/>
          <w:szCs w:val="16"/>
          <w:color w:val="auto"/>
        </w:rPr>
        <w:t>The Board believes that it is in the best interests of the Company and our shareholders to change the Company’s name to better reflect the evolution of the business and success of its strategy to transform from a products-based business in motion control to a solutions-oriented company that addresses its customers’ requirements for Motion, Control and Power Quality technology for a multitude of applications.</w:t>
      </w:r>
    </w:p>
    <w:p>
      <w:pPr>
        <w:spacing w:after="0" w:line="81" w:lineRule="exact"/>
        <w:rPr>
          <w:sz w:val="20"/>
          <w:szCs w:val="20"/>
          <w:color w:val="auto"/>
        </w:rPr>
      </w:pPr>
    </w:p>
    <w:p>
      <w:pPr>
        <w:ind w:left="220" w:right="200"/>
        <w:spacing w:after="0" w:line="256" w:lineRule="auto"/>
        <w:rPr>
          <w:sz w:val="20"/>
          <w:szCs w:val="20"/>
          <w:color w:val="auto"/>
        </w:rPr>
      </w:pPr>
      <w:r>
        <w:rPr>
          <w:rFonts w:ascii="Arial" w:cs="Arial" w:eastAsia="Arial" w:hAnsi="Arial"/>
          <w:sz w:val="16"/>
          <w:szCs w:val="16"/>
          <w:color w:val="auto"/>
        </w:rPr>
        <w:t>An acronym for Allied Nexus Technologies, “Allient” symbolizes the advances the Company has made in innovation, both organically and through acquisition, to expand our technology solutions and integrate a comprehensive offering of hardware and software capabilities to serve targeted markets. It further represents our plans to replicate our growth and success in the Motion industry to a broader base within the Control and Power Quality industries as well.</w:t>
      </w:r>
    </w:p>
    <w:p>
      <w:pPr>
        <w:spacing w:after="0" w:line="79" w:lineRule="exact"/>
        <w:rPr>
          <w:sz w:val="20"/>
          <w:szCs w:val="20"/>
          <w:color w:val="auto"/>
        </w:rPr>
      </w:pPr>
    </w:p>
    <w:p>
      <w:pPr>
        <w:ind w:left="220" w:right="220"/>
        <w:spacing w:after="0" w:line="250" w:lineRule="auto"/>
        <w:rPr>
          <w:sz w:val="20"/>
          <w:szCs w:val="20"/>
          <w:color w:val="auto"/>
        </w:rPr>
      </w:pPr>
      <w:r>
        <w:rPr>
          <w:rFonts w:ascii="Arial" w:cs="Arial" w:eastAsia="Arial" w:hAnsi="Arial"/>
          <w:sz w:val="16"/>
          <w:szCs w:val="16"/>
          <w:color w:val="auto"/>
        </w:rPr>
        <w:t>We offer a unique combination of enabling products and technologies in Motion, Control and Power Quality that can be combined to provide comprehensive solutions for our customers. The name change builds off the success the Company has demonstrated in the Motion industry, growing from $15 million in Motion revenue 20 years ago to over $500 million in annualized revenue today. The name change captures our strategy for growth, as Allient exemplifies the all-encompassing “nexus” and overarching umbrella connecting the institutional knowledge in each of our pillars of Motion, Control and Power Quality technologies.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EFFECTS OF THE NAME CHANGE</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11" w:lineRule="exact"/>
        <w:rPr>
          <w:sz w:val="20"/>
          <w:szCs w:val="20"/>
          <w:color w:val="auto"/>
        </w:rPr>
      </w:pPr>
    </w:p>
    <w:p>
      <w:pPr>
        <w:ind w:left="220" w:right="240"/>
        <w:spacing w:after="0" w:line="270" w:lineRule="auto"/>
        <w:rPr>
          <w:sz w:val="20"/>
          <w:szCs w:val="20"/>
          <w:color w:val="auto"/>
        </w:rPr>
      </w:pPr>
      <w:r>
        <w:rPr>
          <w:rFonts w:ascii="Arial" w:cs="Arial" w:eastAsia="Arial" w:hAnsi="Arial"/>
          <w:sz w:val="16"/>
          <w:szCs w:val="16"/>
          <w:color w:val="auto"/>
        </w:rPr>
        <w:t>If the shareholders pass this Proposal, the change of the Company’s name will become effective following the Meeting upon the filing of the Amendment to the Company’s Articles of Incorporation.</w:t>
      </w:r>
    </w:p>
    <w:p>
      <w:pPr>
        <w:spacing w:after="0" w:line="68" w:lineRule="exact"/>
        <w:rPr>
          <w:sz w:val="20"/>
          <w:szCs w:val="20"/>
          <w:color w:val="auto"/>
        </w:rPr>
      </w:pPr>
    </w:p>
    <w:p>
      <w:pPr>
        <w:ind w:left="220" w:right="240"/>
        <w:spacing w:after="0" w:line="276" w:lineRule="auto"/>
        <w:rPr>
          <w:sz w:val="20"/>
          <w:szCs w:val="20"/>
          <w:color w:val="auto"/>
        </w:rPr>
      </w:pPr>
      <w:r>
        <w:rPr>
          <w:rFonts w:ascii="Arial" w:cs="Arial" w:eastAsia="Arial" w:hAnsi="Arial"/>
          <w:sz w:val="16"/>
          <w:szCs w:val="16"/>
          <w:color w:val="auto"/>
        </w:rPr>
        <w:t>While the name change will cause us to incur certain costs, the Board of Directors believes that any potential costs, and any potential confusion, associated with the name change will be outweighed by the benefits of the change.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name change will not have any effect on the rights of our existing shareholders.</w:t>
      </w:r>
    </w:p>
    <w:p>
      <w:pPr>
        <w:spacing w:after="0" w:line="113" w:lineRule="exact"/>
        <w:rPr>
          <w:sz w:val="20"/>
          <w:szCs w:val="20"/>
          <w:color w:val="auto"/>
        </w:rPr>
      </w:pPr>
    </w:p>
    <w:p>
      <w:pPr>
        <w:ind w:left="220" w:right="140"/>
        <w:spacing w:after="0" w:line="276" w:lineRule="auto"/>
        <w:rPr>
          <w:sz w:val="20"/>
          <w:szCs w:val="20"/>
          <w:color w:val="auto"/>
        </w:rPr>
      </w:pPr>
      <w:r>
        <w:rPr>
          <w:rFonts w:ascii="Arial" w:cs="Arial" w:eastAsia="Arial" w:hAnsi="Arial"/>
          <w:sz w:val="16"/>
          <w:szCs w:val="16"/>
          <w:color w:val="auto"/>
        </w:rPr>
        <w:t>In connection with our name change, the Company also plans to change its ticker on the Nasdaq to reflect the new name and expects to trade under the ticker “ALNT.”</w:t>
      </w:r>
    </w:p>
    <w:p>
      <w:pPr>
        <w:spacing w:after="0" w:line="63" w:lineRule="exact"/>
        <w:rPr>
          <w:sz w:val="20"/>
          <w:szCs w:val="20"/>
          <w:color w:val="auto"/>
        </w:rPr>
      </w:pPr>
    </w:p>
    <w:p>
      <w:pPr>
        <w:ind w:left="220" w:right="120"/>
        <w:spacing w:after="0" w:line="272" w:lineRule="auto"/>
        <w:rPr>
          <w:sz w:val="20"/>
          <w:szCs w:val="20"/>
          <w:color w:val="auto"/>
        </w:rPr>
      </w:pPr>
      <w:r>
        <w:rPr>
          <w:rFonts w:ascii="Arial" w:cs="Arial" w:eastAsia="Arial" w:hAnsi="Arial"/>
          <w:sz w:val="16"/>
          <w:szCs w:val="16"/>
          <w:color w:val="auto"/>
        </w:rPr>
        <w:t>If the proposed amendment is approved, Article I of our Articles of Incorporation will be amended and restated in its entirety to read as follows:</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“ARTICLE I</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name of the Corporation is Allient Inc.”</w:t>
      </w:r>
    </w:p>
    <w:p>
      <w:pPr>
        <w:spacing w:after="0" w:line="113" w:lineRule="exact"/>
        <w:rPr>
          <w:sz w:val="20"/>
          <w:szCs w:val="20"/>
          <w:color w:val="auto"/>
        </w:rPr>
      </w:pPr>
    </w:p>
    <w:p>
      <w:pPr>
        <w:ind w:left="220"/>
        <w:spacing w:after="0" w:line="256" w:lineRule="auto"/>
        <w:rPr>
          <w:sz w:val="20"/>
          <w:szCs w:val="20"/>
          <w:color w:val="auto"/>
        </w:rPr>
      </w:pPr>
      <w:r>
        <w:rPr>
          <w:rFonts w:ascii="Arial" w:cs="Arial" w:eastAsia="Arial" w:hAnsi="Arial"/>
          <w:sz w:val="16"/>
          <w:szCs w:val="16"/>
          <w:color w:val="auto"/>
        </w:rPr>
        <w:t>If approved by our shareholders, the proposed amendment will become effective upon the filing of articles of amendment of our Articles of Incorporation with the Colorado Secretary of State. Upon approval of this proposal and the filing of the articles of amendment with the Colorado Secretary of State, our Board will amend our Bylaws to replace any references to “Allied Motion Technologies Inc.” with “Allient Inc.”</w:t>
      </w:r>
    </w:p>
    <w:p>
      <w:pPr>
        <w:spacing w:after="0" w:line="79" w:lineRule="exact"/>
        <w:rPr>
          <w:sz w:val="20"/>
          <w:szCs w:val="20"/>
          <w:color w:val="auto"/>
        </w:rPr>
      </w:pPr>
    </w:p>
    <w:p>
      <w:pPr>
        <w:ind w:left="220" w:right="180"/>
        <w:spacing w:after="0" w:line="256" w:lineRule="auto"/>
        <w:rPr>
          <w:sz w:val="20"/>
          <w:szCs w:val="20"/>
          <w:color w:val="auto"/>
        </w:rPr>
      </w:pPr>
      <w:r>
        <w:rPr>
          <w:rFonts w:ascii="Arial" w:cs="Arial" w:eastAsia="Arial" w:hAnsi="Arial"/>
          <w:sz w:val="16"/>
          <w:szCs w:val="16"/>
          <w:color w:val="auto"/>
        </w:rPr>
        <w:t>Our common stock is currently listed for trading on Nasdaq under the symbol “AMOT.” If the amendment is approved and the name change becomes effective, our common stock will continue to be listed on Nasdaq. We expect that our common stock will begin trading under a new Nasdaq symbol, “ALNT”, which we have already reserved, at the time we effect our name change.</w:t>
      </w:r>
    </w:p>
    <w:p>
      <w:pPr>
        <w:spacing w:after="0" w:line="79" w:lineRule="exact"/>
        <w:rPr>
          <w:sz w:val="20"/>
          <w:szCs w:val="20"/>
          <w:color w:val="auto"/>
        </w:rPr>
      </w:pPr>
    </w:p>
    <w:p>
      <w:pPr>
        <w:ind w:left="220" w:right="20"/>
        <w:spacing w:after="0" w:line="252" w:lineRule="auto"/>
        <w:rPr>
          <w:sz w:val="20"/>
          <w:szCs w:val="20"/>
          <w:color w:val="auto"/>
        </w:rPr>
      </w:pPr>
      <w:r>
        <w:rPr>
          <w:rFonts w:ascii="Arial" w:cs="Arial" w:eastAsia="Arial" w:hAnsi="Arial"/>
          <w:sz w:val="16"/>
          <w:szCs w:val="16"/>
          <w:color w:val="auto"/>
        </w:rPr>
        <w:t>If the name change becomes effective, the rights of shareholders holding certificated shares under currently outstanding stock certificates and the number of shares represented by those certificates will remain unchanged. The name change will not affect the validity or transferability of any currently outstanding stock certificates nor will shareholders be required to exchange outstanding stock certificates for new stock certificates as a result of the name change. After the name change, all newly issued and transferred shares will be held in direct registration accounts and, together with uncertificated shares currently held in direct registration accounts, will bear the name “Allient Inc.”</w:t>
      </w:r>
    </w:p>
    <w:p>
      <w:pPr>
        <w:spacing w:after="0" w:line="83"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If the name change is not approved, the proposed amendment to our Articles of Incorporation will not be made and the name of the Company and our ticker symbol for trading our common stock on Nasdaq will remain unchanged. In making this recommendation, our Board is retaining the ability to, without further vote by our shareholders, delay or abandon the proposed name change at any time if the Board concludes that such action would be in the best interests of the Company and our shareholders.</w:t>
      </w:r>
    </w:p>
    <w:p>
      <w:pPr>
        <w:spacing w:after="0" w:line="75" w:lineRule="exact"/>
        <w:rPr>
          <w:sz w:val="20"/>
          <w:szCs w:val="20"/>
          <w:color w:val="auto"/>
        </w:rPr>
      </w:pPr>
    </w:p>
    <w:p>
      <w:pPr>
        <w:ind w:left="220" w:right="40"/>
        <w:spacing w:after="0" w:line="274" w:lineRule="auto"/>
        <w:rPr>
          <w:sz w:val="20"/>
          <w:szCs w:val="20"/>
          <w:color w:val="auto"/>
        </w:rPr>
      </w:pPr>
      <w:r>
        <w:rPr>
          <w:rFonts w:ascii="Arial" w:cs="Arial" w:eastAsia="Arial" w:hAnsi="Arial"/>
          <w:sz w:val="16"/>
          <w:szCs w:val="16"/>
          <w:b w:val="1"/>
          <w:bCs w:val="1"/>
          <w:color w:val="2D64AF"/>
        </w:rPr>
        <w:t>THE BOARD OF DIRECTORS UNANIMOUSLY RECOMMENDS THAT SHAREHOLDERS VOTE “FOR” THE AMENDMENT TO OUR ARTICLES OF INCORPORATION TO CHANGE THE NAME OF THE COMPANY FROM ALLIED MOTION TECHNOLOGIES INC. TO ALLIENT INC.</w:t>
      </w:r>
    </w:p>
    <w:p>
      <w:pPr>
        <w:sectPr>
          <w:pgSz w:w="11900" w:h="16838" w:orient="portrait"/>
          <w:cols w:equalWidth="0" w:num="1">
            <w:col w:w="9320"/>
          </w:cols>
          <w:pgMar w:left="1280" w:top="265" w:right="1299" w:bottom="1440" w:gutter="0" w:footer="0" w:header="0"/>
        </w:sectPr>
      </w:pPr>
    </w:p>
    <w:p>
      <w:pPr>
        <w:spacing w:after="0" w:line="211" w:lineRule="exact"/>
        <w:rPr>
          <w:sz w:val="20"/>
          <w:szCs w:val="20"/>
          <w:color w:val="auto"/>
        </w:rPr>
      </w:pPr>
    </w:p>
    <w:p>
      <w:pPr>
        <w:ind w:left="220" w:hanging="218"/>
        <w:spacing w:after="0"/>
        <w:tabs>
          <w:tab w:leader="none" w:pos="22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 Allied Motion Technologies Inc. | 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135255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OWNERSHIP OF COMPANY STOCK</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Security Ownership of Certain Beneficial Owners</w:t>
      </w:r>
    </w:p>
    <w:p>
      <w:pPr>
        <w:spacing w:after="0" w:line="138"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June 23, 2023, more than five percent of the shares of Common Stock outstanding, except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5777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500" w:type="dxa"/>
            <w:vAlign w:val="bottom"/>
            <w:vMerge w:val="restart"/>
          </w:tcPr>
          <w:p>
            <w:pPr>
              <w:ind w:left="20"/>
              <w:spacing w:after="0"/>
              <w:rPr>
                <w:sz w:val="20"/>
                <w:szCs w:val="20"/>
                <w:color w:val="auto"/>
              </w:rPr>
            </w:pPr>
            <w:r>
              <w:rPr>
                <w:rFonts w:ascii="Arial" w:cs="Arial" w:eastAsia="Arial" w:hAnsi="Arial"/>
                <w:sz w:val="15"/>
                <w:szCs w:val="15"/>
                <w:b w:val="1"/>
                <w:bCs w:val="1"/>
                <w:color w:val="2D64AF"/>
              </w:rPr>
              <w:t>Name and Address of Beneficial Owner</w:t>
            </w:r>
          </w:p>
        </w:tc>
        <w:tc>
          <w:tcPr>
            <w:tcW w:w="800" w:type="dxa"/>
            <w:vAlign w:val="bottom"/>
          </w:tcPr>
          <w:p>
            <w:pPr>
              <w:ind w:left="620"/>
              <w:spacing w:after="0"/>
              <w:rPr>
                <w:sz w:val="20"/>
                <w:szCs w:val="20"/>
                <w:color w:val="auto"/>
              </w:rPr>
            </w:pPr>
            <w:r>
              <w:rPr>
                <w:rFonts w:ascii="Arial" w:cs="Arial" w:eastAsia="Arial" w:hAnsi="Arial"/>
                <w:sz w:val="4"/>
                <w:szCs w:val="4"/>
                <w:color w:val="auto"/>
              </w:rPr>
              <w:t>​</w:t>
            </w:r>
          </w:p>
        </w:tc>
        <w:tc>
          <w:tcPr>
            <w:tcW w:w="460" w:type="dxa"/>
            <w:vAlign w:val="bottom"/>
          </w:tcPr>
          <w:p>
            <w:pPr>
              <w:ind w:left="200"/>
              <w:spacing w:after="0"/>
              <w:rPr>
                <w:sz w:val="20"/>
                <w:szCs w:val="20"/>
                <w:color w:val="auto"/>
              </w:rPr>
            </w:pPr>
            <w:r>
              <w:rPr>
                <w:rFonts w:ascii="Arial" w:cs="Arial" w:eastAsia="Arial" w:hAnsi="Arial"/>
                <w:sz w:val="4"/>
                <w:szCs w:val="4"/>
                <w:color w:val="auto"/>
              </w:rPr>
              <w:t>​</w:t>
            </w:r>
          </w:p>
        </w:tc>
        <w:tc>
          <w:tcPr>
            <w:tcW w:w="2120" w:type="dxa"/>
            <w:vAlign w:val="bottom"/>
          </w:tcPr>
          <w:p>
            <w:pPr>
              <w:jc w:val="right"/>
              <w:spacing w:after="0"/>
              <w:rPr>
                <w:sz w:val="20"/>
                <w:szCs w:val="20"/>
                <w:color w:val="auto"/>
              </w:rPr>
            </w:pPr>
            <w:r>
              <w:rPr>
                <w:rFonts w:ascii="Arial" w:cs="Arial" w:eastAsia="Arial" w:hAnsi="Arial"/>
                <w:sz w:val="15"/>
                <w:szCs w:val="15"/>
                <w:b w:val="1"/>
                <w:bCs w:val="1"/>
                <w:color w:val="2D64AF"/>
              </w:rPr>
              <w:t>Amount of Common</w:t>
            </w:r>
          </w:p>
        </w:tc>
        <w:tc>
          <w:tcPr>
            <w:tcW w:w="200" w:type="dxa"/>
            <w:vAlign w:val="bottom"/>
          </w:tcPr>
          <w:p>
            <w:pPr>
              <w:jc w:val="right"/>
              <w:ind w:right="171"/>
              <w:spacing w:after="0"/>
              <w:rPr>
                <w:sz w:val="20"/>
                <w:szCs w:val="20"/>
                <w:color w:val="auto"/>
              </w:rPr>
            </w:pPr>
            <w:r>
              <w:rPr>
                <w:rFonts w:ascii="Arial" w:cs="Arial" w:eastAsia="Arial" w:hAnsi="Arial"/>
                <w:sz w:val="2"/>
                <w:szCs w:val="2"/>
                <w:color w:val="auto"/>
                <w:w w:val="4294942296"/>
              </w:rPr>
              <w:t>​</w:t>
            </w:r>
          </w:p>
        </w:tc>
        <w:tc>
          <w:tcPr>
            <w:tcW w:w="440" w:type="dxa"/>
            <w:vAlign w:val="bottom"/>
          </w:tcPr>
          <w:p>
            <w:pPr>
              <w:ind w:left="180"/>
              <w:spacing w:after="0"/>
              <w:rPr>
                <w:sz w:val="20"/>
                <w:szCs w:val="20"/>
                <w:color w:val="auto"/>
              </w:rPr>
            </w:pPr>
            <w:r>
              <w:rPr>
                <w:rFonts w:ascii="Arial" w:cs="Arial" w:eastAsia="Arial" w:hAnsi="Arial"/>
                <w:sz w:val="4"/>
                <w:szCs w:val="4"/>
                <w:color w:val="auto"/>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2D64AF"/>
              </w:rPr>
              <w:t>Percent of</w:t>
            </w: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2D64AF"/>
            </w:tcBorders>
          </w:tcPr>
          <w:p>
            <w:pPr>
              <w:spacing w:after="0"/>
              <w:rPr>
                <w:sz w:val="22"/>
                <w:szCs w:val="22"/>
                <w:color w:val="auto"/>
              </w:rPr>
            </w:pPr>
          </w:p>
        </w:tc>
        <w:tc>
          <w:tcPr>
            <w:tcW w:w="3500" w:type="dxa"/>
            <w:vAlign w:val="bottom"/>
            <w:tcBorders>
              <w:bottom w:val="single" w:sz="8" w:color="2D64AF"/>
            </w:tcBorders>
            <w:vMerge w:val="continue"/>
          </w:tcPr>
          <w:p>
            <w:pPr>
              <w:spacing w:after="0"/>
              <w:rPr>
                <w:sz w:val="22"/>
                <w:szCs w:val="22"/>
                <w:color w:val="auto"/>
              </w:rPr>
            </w:pPr>
          </w:p>
        </w:tc>
        <w:tc>
          <w:tcPr>
            <w:tcW w:w="800" w:type="dxa"/>
            <w:vAlign w:val="bottom"/>
            <w:tcBorders>
              <w:bottom w:val="single" w:sz="8" w:color="2D64AF"/>
            </w:tcBorders>
          </w:tcPr>
          <w:p>
            <w:pPr>
              <w:spacing w:after="0"/>
              <w:rPr>
                <w:sz w:val="22"/>
                <w:szCs w:val="22"/>
                <w:color w:val="auto"/>
              </w:rPr>
            </w:pPr>
          </w:p>
        </w:tc>
        <w:tc>
          <w:tcPr>
            <w:tcW w:w="460" w:type="dxa"/>
            <w:vAlign w:val="bottom"/>
            <w:tcBorders>
              <w:bottom w:val="single" w:sz="8" w:color="2D64AF"/>
            </w:tcBorders>
          </w:tcPr>
          <w:p>
            <w:pPr>
              <w:spacing w:after="0"/>
              <w:rPr>
                <w:sz w:val="22"/>
                <w:szCs w:val="22"/>
                <w:color w:val="auto"/>
              </w:rPr>
            </w:pPr>
          </w:p>
        </w:tc>
        <w:tc>
          <w:tcPr>
            <w:tcW w:w="2120" w:type="dxa"/>
            <w:vAlign w:val="bottom"/>
            <w:tcBorders>
              <w:bottom w:val="single" w:sz="8" w:color="2D64AF"/>
            </w:tcBorders>
          </w:tcPr>
          <w:p>
            <w:pPr>
              <w:jc w:val="right"/>
              <w:spacing w:after="0"/>
              <w:rPr>
                <w:sz w:val="20"/>
                <w:szCs w:val="20"/>
                <w:color w:val="auto"/>
              </w:rPr>
            </w:pPr>
            <w:r>
              <w:rPr>
                <w:rFonts w:ascii="Arial" w:cs="Arial" w:eastAsia="Arial" w:hAnsi="Arial"/>
                <w:sz w:val="15"/>
                <w:szCs w:val="15"/>
                <w:b w:val="1"/>
                <w:bCs w:val="1"/>
                <w:color w:val="2D64AF"/>
              </w:rPr>
              <w:t>Stock Beneficially Owned</w:t>
            </w:r>
          </w:p>
        </w:tc>
        <w:tc>
          <w:tcPr>
            <w:tcW w:w="200" w:type="dxa"/>
            <w:vAlign w:val="bottom"/>
            <w:tcBorders>
              <w:bottom w:val="single" w:sz="8" w:color="2D64AF"/>
            </w:tcBorders>
          </w:tcPr>
          <w:p>
            <w:pPr>
              <w:spacing w:after="0"/>
              <w:rPr>
                <w:sz w:val="22"/>
                <w:szCs w:val="22"/>
                <w:color w:val="auto"/>
              </w:rPr>
            </w:pPr>
          </w:p>
        </w:tc>
        <w:tc>
          <w:tcPr>
            <w:tcW w:w="440" w:type="dxa"/>
            <w:vAlign w:val="bottom"/>
            <w:tcBorders>
              <w:bottom w:val="single" w:sz="8" w:color="2D64AF"/>
            </w:tcBorders>
          </w:tcPr>
          <w:p>
            <w:pPr>
              <w:spacing w:after="0"/>
              <w:rPr>
                <w:sz w:val="22"/>
                <w:szCs w:val="22"/>
                <w:color w:val="auto"/>
              </w:rPr>
            </w:pPr>
          </w:p>
        </w:tc>
        <w:tc>
          <w:tcPr>
            <w:tcW w:w="1520" w:type="dxa"/>
            <w:vAlign w:val="bottom"/>
            <w:tcBorders>
              <w:bottom w:val="single" w:sz="8" w:color="2D64AF"/>
            </w:tcBorders>
          </w:tcPr>
          <w:p>
            <w:pPr>
              <w:jc w:val="right"/>
              <w:spacing w:after="0" w:line="264"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20" w:type="dxa"/>
            <w:vAlign w:val="bottom"/>
            <w:tcBorders>
              <w:bottom w:val="single" w:sz="8" w:color="2D64A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Arial" w:cs="Arial" w:eastAsia="Arial" w:hAnsi="Arial"/>
                <w:sz w:val="15"/>
                <w:szCs w:val="15"/>
                <w:color w:val="auto"/>
              </w:rPr>
              <w:t>Richard S. Warzala</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3500" w:type="dxa"/>
            <w:vAlign w:val="bottom"/>
          </w:tcPr>
          <w:p>
            <w:pPr>
              <w:ind w:left="20"/>
              <w:spacing w:after="0" w:line="162" w:lineRule="exact"/>
              <w:rPr>
                <w:sz w:val="20"/>
                <w:szCs w:val="20"/>
                <w:color w:val="auto"/>
              </w:rPr>
            </w:pPr>
            <w:r>
              <w:rPr>
                <w:rFonts w:ascii="Arial" w:cs="Arial" w:eastAsia="Arial" w:hAnsi="Arial"/>
                <w:sz w:val="15"/>
                <w:szCs w:val="15"/>
                <w:color w:val="auto"/>
              </w:rPr>
              <w:t>495 Commerce Drive, Suite 3</w:t>
            </w:r>
          </w:p>
        </w:tc>
        <w:tc>
          <w:tcPr>
            <w:tcW w:w="800" w:type="dxa"/>
            <w:vAlign w:val="bottom"/>
          </w:tcPr>
          <w:p>
            <w:pPr>
              <w:ind w:left="620"/>
              <w:spacing w:after="0"/>
              <w:rPr>
                <w:sz w:val="20"/>
                <w:szCs w:val="20"/>
                <w:color w:val="auto"/>
              </w:rPr>
            </w:pPr>
            <w:r>
              <w:rPr>
                <w:rFonts w:ascii="Arial" w:cs="Arial" w:eastAsia="Arial" w:hAnsi="Arial"/>
                <w:sz w:val="4"/>
                <w:szCs w:val="4"/>
                <w:color w:val="auto"/>
              </w:rPr>
              <w:t>​</w:t>
            </w:r>
          </w:p>
        </w:tc>
        <w:tc>
          <w:tcPr>
            <w:tcW w:w="460" w:type="dxa"/>
            <w:vAlign w:val="bottom"/>
          </w:tcPr>
          <w:p>
            <w:pPr>
              <w:ind w:left="200"/>
              <w:spacing w:after="0"/>
              <w:rPr>
                <w:sz w:val="20"/>
                <w:szCs w:val="20"/>
                <w:color w:val="auto"/>
              </w:rPr>
            </w:pPr>
            <w:r>
              <w:rPr>
                <w:rFonts w:ascii="Arial" w:cs="Arial" w:eastAsia="Arial" w:hAnsi="Arial"/>
                <w:sz w:val="4"/>
                <w:szCs w:val="4"/>
                <w:color w:val="auto"/>
              </w:rPr>
              <w:t>​</w:t>
            </w:r>
          </w:p>
        </w:tc>
        <w:tc>
          <w:tcPr>
            <w:tcW w:w="2120" w:type="dxa"/>
            <w:vAlign w:val="bottom"/>
            <w:vMerge w:val="restart"/>
          </w:tcPr>
          <w:p>
            <w:pPr>
              <w:jc w:val="right"/>
              <w:spacing w:after="0"/>
              <w:rPr>
                <w:sz w:val="20"/>
                <w:szCs w:val="20"/>
                <w:color w:val="auto"/>
              </w:rPr>
            </w:pPr>
            <w:r>
              <w:rPr>
                <w:rFonts w:ascii="Arial" w:cs="Arial" w:eastAsia="Arial" w:hAnsi="Arial"/>
                <w:sz w:val="15"/>
                <w:szCs w:val="15"/>
                <w:color w:val="auto"/>
              </w:rPr>
              <w:t>1,549,930</w:t>
            </w:r>
            <w:r>
              <w:rPr>
                <w:rFonts w:ascii="Arial" w:cs="Arial" w:eastAsia="Arial" w:hAnsi="Arial"/>
                <w:sz w:val="25"/>
                <w:szCs w:val="25"/>
                <w:color w:val="auto"/>
                <w:vertAlign w:val="superscript"/>
              </w:rPr>
              <w:t>(2)</w:t>
            </w:r>
          </w:p>
        </w:tc>
        <w:tc>
          <w:tcPr>
            <w:tcW w:w="200" w:type="dxa"/>
            <w:vAlign w:val="bottom"/>
          </w:tcPr>
          <w:p>
            <w:pPr>
              <w:jc w:val="right"/>
              <w:ind w:right="171"/>
              <w:spacing w:after="0"/>
              <w:rPr>
                <w:sz w:val="20"/>
                <w:szCs w:val="20"/>
                <w:color w:val="auto"/>
              </w:rPr>
            </w:pPr>
            <w:r>
              <w:rPr>
                <w:rFonts w:ascii="Arial" w:cs="Arial" w:eastAsia="Arial" w:hAnsi="Arial"/>
                <w:sz w:val="2"/>
                <w:szCs w:val="2"/>
                <w:color w:val="auto"/>
                <w:w w:val="4294942296"/>
              </w:rPr>
              <w:t>​</w:t>
            </w:r>
          </w:p>
        </w:tc>
        <w:tc>
          <w:tcPr>
            <w:tcW w:w="440" w:type="dxa"/>
            <w:vAlign w:val="bottom"/>
          </w:tcPr>
          <w:p>
            <w:pPr>
              <w:ind w:left="180"/>
              <w:spacing w:after="0"/>
              <w:rPr>
                <w:sz w:val="20"/>
                <w:szCs w:val="20"/>
                <w:color w:val="auto"/>
              </w:rPr>
            </w:pPr>
            <w:r>
              <w:rPr>
                <w:rFonts w:ascii="Arial" w:cs="Arial" w:eastAsia="Arial" w:hAnsi="Arial"/>
                <w:sz w:val="4"/>
                <w:szCs w:val="4"/>
                <w:color w:val="auto"/>
              </w:rPr>
              <w:t>​</w:t>
            </w:r>
          </w:p>
        </w:tc>
        <w:tc>
          <w:tcPr>
            <w:tcW w:w="1520" w:type="dxa"/>
            <w:vAlign w:val="bottom"/>
          </w:tcPr>
          <w:p>
            <w:pPr>
              <w:spacing w:after="0"/>
              <w:rPr>
                <w:sz w:val="14"/>
                <w:szCs w:val="14"/>
                <w:color w:val="auto"/>
              </w:rPr>
            </w:pP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9"/>
        </w:trPr>
        <w:tc>
          <w:tcPr>
            <w:tcW w:w="40" w:type="dxa"/>
            <w:vAlign w:val="bottom"/>
            <w:tcBorders>
              <w:bottom w:val="single" w:sz="8" w:color="2D64AF"/>
            </w:tcBorders>
          </w:tcPr>
          <w:p>
            <w:pPr>
              <w:spacing w:after="0"/>
              <w:rPr>
                <w:sz w:val="18"/>
                <w:szCs w:val="18"/>
                <w:color w:val="auto"/>
              </w:rPr>
            </w:pPr>
          </w:p>
        </w:tc>
        <w:tc>
          <w:tcPr>
            <w:tcW w:w="3500" w:type="dxa"/>
            <w:vAlign w:val="bottom"/>
            <w:tcBorders>
              <w:bottom w:val="single" w:sz="8" w:color="2D64AF"/>
            </w:tcBorders>
          </w:tcPr>
          <w:p>
            <w:pPr>
              <w:ind w:left="20"/>
              <w:spacing w:after="0"/>
              <w:rPr>
                <w:sz w:val="20"/>
                <w:szCs w:val="20"/>
                <w:color w:val="auto"/>
              </w:rPr>
            </w:pPr>
            <w:r>
              <w:rPr>
                <w:rFonts w:ascii="Arial" w:cs="Arial" w:eastAsia="Arial" w:hAnsi="Arial"/>
                <w:sz w:val="15"/>
                <w:szCs w:val="15"/>
                <w:color w:val="auto"/>
              </w:rPr>
              <w:t>Amherst, NY 14228</w:t>
            </w:r>
          </w:p>
        </w:tc>
        <w:tc>
          <w:tcPr>
            <w:tcW w:w="800" w:type="dxa"/>
            <w:vAlign w:val="bottom"/>
            <w:tcBorders>
              <w:bottom w:val="single" w:sz="8" w:color="2D64AF"/>
            </w:tcBorders>
          </w:tcPr>
          <w:p>
            <w:pPr>
              <w:spacing w:after="0"/>
              <w:rPr>
                <w:sz w:val="18"/>
                <w:szCs w:val="18"/>
                <w:color w:val="auto"/>
              </w:rPr>
            </w:pPr>
          </w:p>
        </w:tc>
        <w:tc>
          <w:tcPr>
            <w:tcW w:w="460" w:type="dxa"/>
            <w:vAlign w:val="bottom"/>
            <w:tcBorders>
              <w:bottom w:val="single" w:sz="8" w:color="2D64AF"/>
            </w:tcBorders>
          </w:tcPr>
          <w:p>
            <w:pPr>
              <w:spacing w:after="0"/>
              <w:rPr>
                <w:sz w:val="18"/>
                <w:szCs w:val="18"/>
                <w:color w:val="auto"/>
              </w:rPr>
            </w:pPr>
          </w:p>
        </w:tc>
        <w:tc>
          <w:tcPr>
            <w:tcW w:w="2120" w:type="dxa"/>
            <w:vAlign w:val="bottom"/>
            <w:tcBorders>
              <w:bottom w:val="single" w:sz="8" w:color="2D64AF"/>
            </w:tcBorders>
            <w:vMerge w:val="continue"/>
          </w:tcPr>
          <w:p>
            <w:pPr>
              <w:spacing w:after="0"/>
              <w:rPr>
                <w:sz w:val="18"/>
                <w:szCs w:val="18"/>
                <w:color w:val="auto"/>
              </w:rPr>
            </w:pPr>
          </w:p>
        </w:tc>
        <w:tc>
          <w:tcPr>
            <w:tcW w:w="200" w:type="dxa"/>
            <w:vAlign w:val="bottom"/>
            <w:tcBorders>
              <w:bottom w:val="single" w:sz="8" w:color="2D64AF"/>
            </w:tcBorders>
          </w:tcPr>
          <w:p>
            <w:pPr>
              <w:spacing w:after="0"/>
              <w:rPr>
                <w:sz w:val="18"/>
                <w:szCs w:val="18"/>
                <w:color w:val="auto"/>
              </w:rPr>
            </w:pPr>
          </w:p>
        </w:tc>
        <w:tc>
          <w:tcPr>
            <w:tcW w:w="440" w:type="dxa"/>
            <w:vAlign w:val="bottom"/>
            <w:tcBorders>
              <w:bottom w:val="single" w:sz="8" w:color="2D64AF"/>
            </w:tcBorders>
          </w:tcPr>
          <w:p>
            <w:pPr>
              <w:spacing w:after="0"/>
              <w:rPr>
                <w:sz w:val="18"/>
                <w:szCs w:val="18"/>
                <w:color w:val="auto"/>
              </w:rPr>
            </w:pPr>
          </w:p>
        </w:tc>
        <w:tc>
          <w:tcPr>
            <w:tcW w:w="15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9.6%</w:t>
            </w:r>
          </w:p>
        </w:tc>
        <w:tc>
          <w:tcPr>
            <w:tcW w:w="20" w:type="dxa"/>
            <w:vAlign w:val="bottom"/>
            <w:tcBorders>
              <w:bottom w:val="single" w:sz="8" w:color="2D64A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60" w:hanging="358"/>
        <w:spacing w:after="0"/>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percentages are based upon 16,180,170 shares of Common Stock outstanding as of the Record Date.</w:t>
      </w:r>
    </w:p>
    <w:p>
      <w:pPr>
        <w:spacing w:after="0" w:line="53" w:lineRule="exact"/>
        <w:rPr>
          <w:rFonts w:ascii="Arial" w:cs="Arial" w:eastAsia="Arial" w:hAnsi="Arial"/>
          <w:sz w:val="13"/>
          <w:szCs w:val="13"/>
          <w:color w:val="auto"/>
        </w:rPr>
      </w:pPr>
    </w:p>
    <w:p>
      <w:pPr>
        <w:ind w:left="360" w:right="460" w:hanging="358"/>
        <w:spacing w:after="0" w:line="256" w:lineRule="auto"/>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144,471 shares of Common Stock granted as incentive restricted shares under the Company’s stock incentive plans that have not yet vested and 25,089 shares of Common Stock credited to the Company’s Employee Stock Ownership Plan (“ESOP”) account of Mr. Warzala. Except as set forth in this note (2), does not include shares held by the ESOP as to which Mr. Warzala serves as one of four trustees.</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Security Ownership of Management and Directors</w:t>
      </w:r>
    </w:p>
    <w:p>
      <w:pPr>
        <w:spacing w:after="0" w:line="138"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executive officer, each director, and all executive officers and directors as a group, as of June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57778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spacing w:after="0"/>
              <w:rPr>
                <w:sz w:val="18"/>
                <w:szCs w:val="18"/>
                <w:color w:val="auto"/>
              </w:rPr>
            </w:pP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4360" w:type="dxa"/>
            <w:vAlign w:val="bottom"/>
            <w:gridSpan w:val="8"/>
          </w:tcPr>
          <w:p>
            <w:pPr>
              <w:jc w:val="right"/>
              <w:ind w:right="62"/>
              <w:spacing w:after="0"/>
              <w:rPr>
                <w:sz w:val="20"/>
                <w:szCs w:val="20"/>
                <w:color w:val="auto"/>
              </w:rPr>
            </w:pPr>
            <w:r>
              <w:rPr>
                <w:rFonts w:ascii="Arial" w:cs="Arial" w:eastAsia="Arial" w:hAnsi="Arial"/>
                <w:sz w:val="15"/>
                <w:szCs w:val="15"/>
                <w:b w:val="1"/>
                <w:bCs w:val="1"/>
                <w:color w:val="2D64AF"/>
              </w:rPr>
              <w:t>Amount and Nature of Beneficial Ownership</w:t>
            </w:r>
            <w:r>
              <w:rPr>
                <w:rFonts w:ascii="Arial" w:cs="Arial" w:eastAsia="Arial" w:hAnsi="Arial"/>
                <w:sz w:val="3"/>
                <w:szCs w:val="3"/>
                <w:color w:val="000000"/>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Borders>
              <w:bottom w:val="single" w:sz="8" w:color="2D64AF"/>
            </w:tcBorders>
          </w:tcPr>
          <w:p>
            <w:pPr>
              <w:spacing w:after="0"/>
              <w:rPr>
                <w:sz w:val="5"/>
                <w:szCs w:val="5"/>
                <w:color w:val="auto"/>
              </w:rPr>
            </w:pPr>
          </w:p>
        </w:tc>
        <w:tc>
          <w:tcPr>
            <w:tcW w:w="1200" w:type="dxa"/>
            <w:vAlign w:val="bottom"/>
            <w:tcBorders>
              <w:bottom w:val="single" w:sz="8" w:color="2D64AF"/>
            </w:tcBorders>
          </w:tcPr>
          <w:p>
            <w:pPr>
              <w:spacing w:after="0"/>
              <w:rPr>
                <w:sz w:val="5"/>
                <w:szCs w:val="5"/>
                <w:color w:val="auto"/>
              </w:rPr>
            </w:pPr>
          </w:p>
        </w:tc>
        <w:tc>
          <w:tcPr>
            <w:tcW w:w="80" w:type="dxa"/>
            <w:vAlign w:val="bottom"/>
            <w:tcBorders>
              <w:bottom w:val="single" w:sz="8" w:color="2D64AF"/>
            </w:tcBorders>
          </w:tcPr>
          <w:p>
            <w:pPr>
              <w:spacing w:after="0"/>
              <w:rPr>
                <w:sz w:val="5"/>
                <w:szCs w:val="5"/>
                <w:color w:val="auto"/>
              </w:rPr>
            </w:pPr>
          </w:p>
        </w:tc>
        <w:tc>
          <w:tcPr>
            <w:tcW w:w="140" w:type="dxa"/>
            <w:vAlign w:val="bottom"/>
            <w:tcBorders>
              <w:bottom w:val="single" w:sz="8" w:color="2D64AF"/>
            </w:tcBorders>
          </w:tcPr>
          <w:p>
            <w:pPr>
              <w:spacing w:after="0"/>
              <w:rPr>
                <w:sz w:val="5"/>
                <w:szCs w:val="5"/>
                <w:color w:val="auto"/>
              </w:rPr>
            </w:pPr>
          </w:p>
        </w:tc>
        <w:tc>
          <w:tcPr>
            <w:tcW w:w="1360" w:type="dxa"/>
            <w:vAlign w:val="bottom"/>
            <w:tcBorders>
              <w:bottom w:val="single" w:sz="8" w:color="2D64AF"/>
            </w:tcBorders>
            <w:gridSpan w:val="2"/>
          </w:tcPr>
          <w:p>
            <w:pPr>
              <w:spacing w:after="0"/>
              <w:rPr>
                <w:sz w:val="5"/>
                <w:szCs w:val="5"/>
                <w:color w:val="auto"/>
              </w:rPr>
            </w:pPr>
          </w:p>
        </w:tc>
        <w:tc>
          <w:tcPr>
            <w:tcW w:w="220" w:type="dxa"/>
            <w:vAlign w:val="bottom"/>
            <w:tcBorders>
              <w:bottom w:val="single" w:sz="8" w:color="2D64AF"/>
            </w:tcBorders>
          </w:tcPr>
          <w:p>
            <w:pPr>
              <w:spacing w:after="0"/>
              <w:rPr>
                <w:sz w:val="5"/>
                <w:szCs w:val="5"/>
                <w:color w:val="auto"/>
              </w:rPr>
            </w:pPr>
          </w:p>
        </w:tc>
        <w:tc>
          <w:tcPr>
            <w:tcW w:w="1360" w:type="dxa"/>
            <w:vAlign w:val="bottom"/>
            <w:tcBorders>
              <w:bottom w:val="single" w:sz="8" w:color="2D64AF"/>
            </w:tcBorders>
            <w:gridSpan w:val="2"/>
          </w:tcPr>
          <w:p>
            <w:pPr>
              <w:spacing w:after="0"/>
              <w:rPr>
                <w:sz w:val="5"/>
                <w:szCs w:val="5"/>
                <w:color w:val="auto"/>
              </w:rPr>
            </w:pPr>
          </w:p>
        </w:tc>
        <w:tc>
          <w:tcPr>
            <w:tcW w:w="60" w:type="dxa"/>
            <w:vAlign w:val="bottom"/>
            <w:tcBorders>
              <w:bottom w:val="single" w:sz="8" w:color="2D64AF"/>
            </w:tcBorders>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spacing w:after="0"/>
              <w:rPr>
                <w:sz w:val="21"/>
                <w:szCs w:val="21"/>
                <w:color w:val="auto"/>
              </w:rPr>
            </w:pP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Common Stock</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51"/>
              <w:spacing w:after="0"/>
              <w:rPr>
                <w:sz w:val="20"/>
                <w:szCs w:val="20"/>
                <w:color w:val="auto"/>
              </w:rPr>
            </w:pPr>
            <w:r>
              <w:rPr>
                <w:rFonts w:ascii="Arial" w:cs="Arial" w:eastAsia="Arial" w:hAnsi="Arial"/>
                <w:sz w:val="15"/>
                <w:szCs w:val="15"/>
                <w:b w:val="1"/>
                <w:bCs w:val="1"/>
                <w:color w:val="2D64AF"/>
              </w:rPr>
              <w:t>Unvested</w:t>
            </w:r>
            <w:r>
              <w:rPr>
                <w:rFonts w:ascii="Arial" w:cs="Arial" w:eastAsia="Arial" w:hAnsi="Arial"/>
                <w:sz w:val="7"/>
                <w:szCs w:val="7"/>
                <w:color w:val="000000"/>
                <w:vertAlign w:val="subscript"/>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62"/>
              <w:spacing w:after="0"/>
              <w:rPr>
                <w:sz w:val="20"/>
                <w:szCs w:val="20"/>
                <w:color w:val="auto"/>
              </w:rPr>
            </w:pPr>
            <w:r>
              <w:rPr>
                <w:rFonts w:ascii="Arial" w:cs="Arial" w:eastAsia="Arial" w:hAnsi="Arial"/>
                <w:sz w:val="15"/>
                <w:szCs w:val="15"/>
                <w:b w:val="1"/>
                <w:bCs w:val="1"/>
                <w:color w:val="2D64AF"/>
              </w:rPr>
              <w:t>Total Beneficial</w:t>
            </w:r>
            <w:r>
              <w:rPr>
                <w:rFonts w:ascii="Arial" w:cs="Arial" w:eastAsia="Arial" w:hAnsi="Arial"/>
                <w:sz w:val="7"/>
                <w:szCs w:val="7"/>
                <w:color w:val="000000"/>
                <w:vertAlign w:val="subscript"/>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gridSpan w:val="2"/>
          </w:tcPr>
          <w:p>
            <w:pPr>
              <w:jc w:val="right"/>
              <w:ind w:right="2"/>
              <w:spacing w:after="0"/>
              <w:rPr>
                <w:sz w:val="20"/>
                <w:szCs w:val="20"/>
                <w:color w:val="auto"/>
              </w:rPr>
            </w:pPr>
            <w:r>
              <w:rPr>
                <w:rFonts w:ascii="Arial" w:cs="Arial" w:eastAsia="Arial" w:hAnsi="Arial"/>
                <w:sz w:val="15"/>
                <w:szCs w:val="15"/>
                <w:b w:val="1"/>
                <w:bCs w:val="1"/>
                <w:color w:val="2D64AF"/>
              </w:rPr>
              <w:t>Percentage of</w:t>
            </w:r>
            <w:r>
              <w:rPr>
                <w:rFonts w:ascii="Arial" w:cs="Arial" w:eastAsia="Arial" w:hAnsi="Arial"/>
                <w:sz w:val="7"/>
                <w:szCs w:val="7"/>
                <w:color w:val="000000"/>
                <w:vertAlign w:val="subscript"/>
              </w:rPr>
              <w:t>​</w:t>
            </w:r>
          </w:p>
        </w:tc>
        <w:tc>
          <w:tcPr>
            <w:tcW w:w="0" w:type="dxa"/>
            <w:vAlign w:val="bottom"/>
          </w:tcPr>
          <w:p>
            <w:pPr>
              <w:spacing w:after="0"/>
              <w:rPr>
                <w:sz w:val="1"/>
                <w:szCs w:val="1"/>
                <w:color w:val="auto"/>
              </w:rPr>
            </w:pPr>
          </w:p>
        </w:tc>
      </w:tr>
      <w:tr>
        <w:trPr>
          <w:trHeight w:val="250"/>
        </w:trPr>
        <w:tc>
          <w:tcPr>
            <w:tcW w:w="40" w:type="dxa"/>
            <w:vAlign w:val="bottom"/>
            <w:tcBorders>
              <w:bottom w:val="single" w:sz="8" w:color="2D64AF"/>
            </w:tcBorders>
          </w:tcPr>
          <w:p>
            <w:pPr>
              <w:spacing w:after="0"/>
              <w:rPr>
                <w:sz w:val="21"/>
                <w:szCs w:val="21"/>
                <w:color w:val="auto"/>
              </w:rPr>
            </w:pPr>
          </w:p>
        </w:tc>
        <w:tc>
          <w:tcPr>
            <w:tcW w:w="2600" w:type="dxa"/>
            <w:vAlign w:val="bottom"/>
            <w:tcBorders>
              <w:bottom w:val="single" w:sz="8" w:color="2D64AF"/>
            </w:tcBorders>
          </w:tcPr>
          <w:p>
            <w:pPr>
              <w:spacing w:after="0"/>
              <w:rPr>
                <w:sz w:val="21"/>
                <w:szCs w:val="21"/>
                <w:color w:val="auto"/>
              </w:rPr>
            </w:pPr>
          </w:p>
        </w:tc>
        <w:tc>
          <w:tcPr>
            <w:tcW w:w="380" w:type="dxa"/>
            <w:vAlign w:val="bottom"/>
            <w:tcBorders>
              <w:bottom w:val="single" w:sz="8" w:color="2D64AF"/>
            </w:tcBorders>
          </w:tcPr>
          <w:p>
            <w:pPr>
              <w:spacing w:after="0"/>
              <w:rPr>
                <w:sz w:val="21"/>
                <w:szCs w:val="21"/>
                <w:color w:val="auto"/>
              </w:rPr>
            </w:pPr>
          </w:p>
        </w:tc>
        <w:tc>
          <w:tcPr>
            <w:tcW w:w="80" w:type="dxa"/>
            <w:vAlign w:val="bottom"/>
            <w:tcBorders>
              <w:bottom w:val="single" w:sz="8" w:color="2D64AF"/>
            </w:tcBorders>
          </w:tcPr>
          <w:p>
            <w:pPr>
              <w:spacing w:after="0"/>
              <w:rPr>
                <w:sz w:val="21"/>
                <w:szCs w:val="21"/>
                <w:color w:val="auto"/>
              </w:rPr>
            </w:pPr>
          </w:p>
        </w:tc>
        <w:tc>
          <w:tcPr>
            <w:tcW w:w="1200" w:type="dxa"/>
            <w:vAlign w:val="bottom"/>
            <w:tcBorders>
              <w:bottom w:val="single" w:sz="8" w:color="2D64AF"/>
            </w:tcBorders>
            <w:vMerge w:val="continue"/>
          </w:tcPr>
          <w:p>
            <w:pPr>
              <w:spacing w:after="0"/>
              <w:rPr>
                <w:sz w:val="21"/>
                <w:szCs w:val="21"/>
                <w:color w:val="auto"/>
              </w:rPr>
            </w:pPr>
          </w:p>
        </w:tc>
        <w:tc>
          <w:tcPr>
            <w:tcW w:w="80" w:type="dxa"/>
            <w:vAlign w:val="bottom"/>
            <w:tcBorders>
              <w:bottom w:val="single" w:sz="8" w:color="2D64AF"/>
            </w:tcBorders>
          </w:tcPr>
          <w:p>
            <w:pPr>
              <w:spacing w:after="0"/>
              <w:rPr>
                <w:sz w:val="21"/>
                <w:szCs w:val="21"/>
                <w:color w:val="auto"/>
              </w:rPr>
            </w:pPr>
          </w:p>
        </w:tc>
        <w:tc>
          <w:tcPr>
            <w:tcW w:w="140" w:type="dxa"/>
            <w:vAlign w:val="bottom"/>
            <w:tcBorders>
              <w:bottom w:val="single" w:sz="8" w:color="2D64AF"/>
            </w:tcBorders>
          </w:tcPr>
          <w:p>
            <w:pPr>
              <w:spacing w:after="0"/>
              <w:rPr>
                <w:sz w:val="21"/>
                <w:szCs w:val="21"/>
                <w:color w:val="auto"/>
              </w:rPr>
            </w:pPr>
          </w:p>
        </w:tc>
        <w:tc>
          <w:tcPr>
            <w:tcW w:w="1280" w:type="dxa"/>
            <w:vAlign w:val="bottom"/>
            <w:tcBorders>
              <w:bottom w:val="single" w:sz="8" w:color="2D64AF"/>
            </w:tcBorders>
          </w:tcPr>
          <w:p>
            <w:pPr>
              <w:jc w:val="right"/>
              <w:spacing w:after="0"/>
              <w:rPr>
                <w:sz w:val="20"/>
                <w:szCs w:val="20"/>
                <w:color w:val="auto"/>
              </w:rPr>
            </w:pPr>
            <w:r>
              <w:rPr>
                <w:rFonts w:ascii="Arial" w:cs="Arial" w:eastAsia="Arial" w:hAnsi="Arial"/>
                <w:sz w:val="15"/>
                <w:szCs w:val="15"/>
                <w:b w:val="1"/>
                <w:bCs w:val="1"/>
                <w:color w:val="2D64AF"/>
              </w:rPr>
              <w:t>Restricted Stock</w:t>
            </w:r>
          </w:p>
        </w:tc>
        <w:tc>
          <w:tcPr>
            <w:tcW w:w="80" w:type="dxa"/>
            <w:vAlign w:val="bottom"/>
            <w:tcBorders>
              <w:bottom w:val="single" w:sz="8" w:color="2D64AF"/>
            </w:tcBorders>
          </w:tcPr>
          <w:p>
            <w:pPr>
              <w:spacing w:after="0"/>
              <w:rPr>
                <w:sz w:val="21"/>
                <w:szCs w:val="21"/>
                <w:color w:val="auto"/>
              </w:rPr>
            </w:pPr>
          </w:p>
        </w:tc>
        <w:tc>
          <w:tcPr>
            <w:tcW w:w="220" w:type="dxa"/>
            <w:vAlign w:val="bottom"/>
            <w:tcBorders>
              <w:bottom w:val="single" w:sz="8" w:color="2D64AF"/>
            </w:tcBorders>
          </w:tcPr>
          <w:p>
            <w:pPr>
              <w:spacing w:after="0"/>
              <w:rPr>
                <w:sz w:val="21"/>
                <w:szCs w:val="21"/>
                <w:color w:val="auto"/>
              </w:rPr>
            </w:pPr>
          </w:p>
        </w:tc>
        <w:tc>
          <w:tcPr>
            <w:tcW w:w="1280" w:type="dxa"/>
            <w:vAlign w:val="bottom"/>
            <w:tcBorders>
              <w:bottom w:val="single" w:sz="8" w:color="2D64AF"/>
            </w:tcBorders>
          </w:tcPr>
          <w:p>
            <w:pPr>
              <w:jc w:val="right"/>
              <w:spacing w:after="0"/>
              <w:rPr>
                <w:sz w:val="20"/>
                <w:szCs w:val="20"/>
                <w:color w:val="auto"/>
              </w:rPr>
            </w:pPr>
            <w:r>
              <w:rPr>
                <w:rFonts w:ascii="Arial" w:cs="Arial" w:eastAsia="Arial" w:hAnsi="Arial"/>
                <w:sz w:val="15"/>
                <w:szCs w:val="15"/>
                <w:b w:val="1"/>
                <w:bCs w:val="1"/>
                <w:color w:val="2D64AF"/>
              </w:rPr>
              <w:t>Ownership</w:t>
            </w:r>
          </w:p>
        </w:tc>
        <w:tc>
          <w:tcPr>
            <w:tcW w:w="80" w:type="dxa"/>
            <w:vAlign w:val="bottom"/>
            <w:tcBorders>
              <w:bottom w:val="single" w:sz="8" w:color="2D64AF"/>
            </w:tcBorders>
          </w:tcPr>
          <w:p>
            <w:pPr>
              <w:spacing w:after="0"/>
              <w:rPr>
                <w:sz w:val="21"/>
                <w:szCs w:val="21"/>
                <w:color w:val="auto"/>
              </w:rPr>
            </w:pPr>
          </w:p>
        </w:tc>
        <w:tc>
          <w:tcPr>
            <w:tcW w:w="60" w:type="dxa"/>
            <w:vAlign w:val="bottom"/>
            <w:tcBorders>
              <w:bottom w:val="single" w:sz="8" w:color="2D64AF"/>
            </w:tcBorders>
          </w:tcPr>
          <w:p>
            <w:pPr>
              <w:spacing w:after="0"/>
              <w:rPr>
                <w:sz w:val="21"/>
                <w:szCs w:val="21"/>
                <w:color w:val="auto"/>
              </w:rPr>
            </w:pPr>
          </w:p>
        </w:tc>
        <w:tc>
          <w:tcPr>
            <w:tcW w:w="140" w:type="dxa"/>
            <w:vAlign w:val="bottom"/>
            <w:tcBorders>
              <w:bottom w:val="single" w:sz="8" w:color="2D64AF"/>
            </w:tcBorders>
          </w:tcPr>
          <w:p>
            <w:pPr>
              <w:spacing w:after="0"/>
              <w:rPr>
                <w:sz w:val="21"/>
                <w:szCs w:val="21"/>
                <w:color w:val="auto"/>
              </w:rPr>
            </w:pPr>
          </w:p>
        </w:tc>
        <w:tc>
          <w:tcPr>
            <w:tcW w:w="1420" w:type="dxa"/>
            <w:vAlign w:val="bottom"/>
            <w:tcBorders>
              <w:bottom w:val="single" w:sz="8" w:color="2D64AF"/>
            </w:tcBorders>
          </w:tcPr>
          <w:p>
            <w:pPr>
              <w:jc w:val="right"/>
              <w:spacing w:after="0" w:line="250"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20" w:type="dxa"/>
            <w:vAlign w:val="bottom"/>
            <w:tcBorders>
              <w:bottom w:val="single" w:sz="8" w:color="2D64AF"/>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480"/>
              <w:spacing w:after="0"/>
              <w:rPr>
                <w:sz w:val="20"/>
                <w:szCs w:val="20"/>
                <w:color w:val="auto"/>
              </w:rPr>
            </w:pPr>
            <w:r>
              <w:rPr>
                <w:rFonts w:ascii="Arial" w:cs="Arial" w:eastAsia="Arial" w:hAnsi="Arial"/>
                <w:sz w:val="15"/>
                <w:szCs w:val="15"/>
                <w:b w:val="1"/>
                <w:bCs w:val="1"/>
                <w:color w:val="2D64AF"/>
              </w:rPr>
              <w:t>Named Executive Officers</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00" w:type="dxa"/>
            <w:vAlign w:val="bottom"/>
          </w:tcPr>
          <w:p>
            <w:pPr>
              <w:spacing w:after="0"/>
              <w:rPr>
                <w:sz w:val="15"/>
                <w:szCs w:val="15"/>
                <w:color w:val="auto"/>
              </w:rPr>
            </w:pP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80" w:type="dxa"/>
            <w:vAlign w:val="bottom"/>
          </w:tcPr>
          <w:p>
            <w:pPr>
              <w:spacing w:after="0"/>
              <w:rPr>
                <w:sz w:val="15"/>
                <w:szCs w:val="15"/>
                <w:color w:val="auto"/>
              </w:rPr>
            </w:pPr>
          </w:p>
        </w:tc>
        <w:tc>
          <w:tcPr>
            <w:tcW w:w="80" w:type="dxa"/>
            <w:vAlign w:val="bottom"/>
          </w:tcPr>
          <w:p>
            <w:pPr>
              <w:jc w:val="right"/>
              <w:ind w:right="5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spacing w:after="0"/>
              <w:rPr>
                <w:sz w:val="15"/>
                <w:szCs w:val="15"/>
                <w:color w:val="auto"/>
              </w:rPr>
            </w:pP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20" w:type="dxa"/>
            <w:vAlign w:val="bottom"/>
          </w:tcPr>
          <w:p>
            <w:pPr>
              <w:spacing w:after="0"/>
              <w:rPr>
                <w:sz w:val="15"/>
                <w:szCs w:val="15"/>
                <w:color w:val="auto"/>
              </w:rPr>
            </w:pP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52"/>
        </w:trPr>
        <w:tc>
          <w:tcPr>
            <w:tcW w:w="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200" w:type="dxa"/>
            <w:vAlign w:val="bottom"/>
            <w:tcBorders>
              <w:bottom w:val="single" w:sz="8" w:color="auto"/>
            </w:tcBorders>
            <w:gridSpan w:val="2"/>
          </w:tcPr>
          <w:p>
            <w:pPr>
              <w:spacing w:after="0"/>
              <w:rPr>
                <w:sz w:val="13"/>
                <w:szCs w:val="13"/>
                <w:color w:val="auto"/>
              </w:rPr>
            </w:pPr>
          </w:p>
        </w:tc>
        <w:tc>
          <w:tcPr>
            <w:tcW w:w="144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Ashish R. Bendre</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45,223</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4,096</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49,319</w:t>
            </w:r>
            <w:r>
              <w:rPr>
                <w:rFonts w:ascii="Arial" w:cs="Arial" w:eastAsia="Arial" w:hAnsi="Arial"/>
                <w:sz w:val="25"/>
                <w:szCs w:val="25"/>
                <w:color w:val="auto"/>
                <w:vertAlign w:val="superscript"/>
              </w:rPr>
              <w:t>(2)</w:t>
            </w:r>
            <w:r>
              <w:rPr>
                <w:rFonts w:ascii="Arial" w:cs="Arial" w:eastAsia="Arial" w:hAnsi="Arial"/>
                <w:sz w:val="3"/>
                <w:szCs w:val="3"/>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331"/>
        </w:trPr>
        <w:tc>
          <w:tcPr>
            <w:tcW w:w="4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Michael R. Leach</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66,678</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21,326</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88,004</w:t>
            </w:r>
            <w:r>
              <w:rPr>
                <w:rFonts w:ascii="Arial" w:cs="Arial" w:eastAsia="Arial" w:hAnsi="Arial"/>
                <w:sz w:val="25"/>
                <w:szCs w:val="25"/>
                <w:color w:val="auto"/>
                <w:vertAlign w:val="superscript"/>
              </w:rPr>
              <w:t>(3)</w:t>
            </w:r>
            <w:r>
              <w:rPr>
                <w:rFonts w:ascii="Arial" w:cs="Arial" w:eastAsia="Arial" w:hAnsi="Arial"/>
                <w:sz w:val="3"/>
                <w:szCs w:val="3"/>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30"/>
                <w:szCs w:val="30"/>
                <w:color w:val="auto"/>
                <w:w w:val="4294942296"/>
                <w:vertAlign w:val="subscript"/>
              </w:rPr>
              <w:t>*</w:t>
            </w: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Robert P. Maida</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95,243</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17,901</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113,144</w:t>
            </w:r>
            <w:r>
              <w:rPr>
                <w:rFonts w:ascii="Arial" w:cs="Arial" w:eastAsia="Arial" w:hAnsi="Arial"/>
                <w:sz w:val="25"/>
                <w:szCs w:val="25"/>
                <w:color w:val="auto"/>
                <w:vertAlign w:val="superscript"/>
              </w:rPr>
              <w:t>(4)</w:t>
            </w:r>
            <w:r>
              <w:rPr>
                <w:rFonts w:ascii="Arial" w:cs="Arial" w:eastAsia="Arial" w:hAnsi="Arial"/>
                <w:sz w:val="3"/>
                <w:szCs w:val="3"/>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331"/>
        </w:trPr>
        <w:tc>
          <w:tcPr>
            <w:tcW w:w="4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Kenneth A. May</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7,160</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5,041</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12,201</w:t>
            </w:r>
            <w:r>
              <w:rPr>
                <w:rFonts w:ascii="Arial" w:cs="Arial" w:eastAsia="Arial" w:hAnsi="Arial"/>
                <w:sz w:val="12"/>
                <w:szCs w:val="12"/>
                <w:color w:val="auto"/>
              </w:rPr>
              <w:t>(5)</w:t>
            </w:r>
            <w:r>
              <w:rPr>
                <w:rFonts w:ascii="Arial" w:cs="Arial" w:eastAsia="Arial" w:hAnsi="Arial"/>
                <w:sz w:val="3"/>
                <w:szCs w:val="3"/>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30"/>
                <w:szCs w:val="30"/>
                <w:color w:val="auto"/>
                <w:w w:val="4294942296"/>
                <w:vertAlign w:val="subscript"/>
              </w:rPr>
              <w:t>*</w:t>
            </w: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Helmut D. Pirthauer</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80" w:type="dxa"/>
            <w:vAlign w:val="bottom"/>
            <w:gridSpan w:val="2"/>
          </w:tcPr>
          <w:p>
            <w:pPr>
              <w:jc w:val="right"/>
              <w:ind w:right="62"/>
              <w:spacing w:after="0"/>
              <w:rPr>
                <w:sz w:val="20"/>
                <w:szCs w:val="20"/>
                <w:color w:val="auto"/>
              </w:rPr>
            </w:pPr>
            <w:r>
              <w:rPr>
                <w:rFonts w:ascii="Arial" w:cs="Arial" w:eastAsia="Arial" w:hAnsi="Arial"/>
                <w:sz w:val="15"/>
                <w:szCs w:val="15"/>
                <w:color w:val="auto"/>
              </w:rPr>
              <w:t>37,523</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51"/>
              <w:spacing w:after="0"/>
              <w:rPr>
                <w:sz w:val="20"/>
                <w:szCs w:val="20"/>
                <w:color w:val="auto"/>
              </w:rPr>
            </w:pPr>
            <w:r>
              <w:rPr>
                <w:rFonts w:ascii="Arial" w:cs="Arial" w:eastAsia="Arial" w:hAnsi="Arial"/>
                <w:sz w:val="15"/>
                <w:szCs w:val="15"/>
                <w:color w:val="auto"/>
              </w:rPr>
              <w:t>3,686</w:t>
            </w:r>
            <w:r>
              <w:rPr>
                <w:rFonts w:ascii="Arial" w:cs="Arial" w:eastAsia="Arial" w:hAnsi="Arial"/>
                <w:sz w:val="3"/>
                <w:szCs w:val="3"/>
                <w:color w:val="auto"/>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41,209</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76"/>
        </w:trPr>
        <w:tc>
          <w:tcPr>
            <w:tcW w:w="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4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Geoffery C. Rondeau</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11,994</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2,599</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14,593</w:t>
            </w:r>
            <w:r>
              <w:rPr>
                <w:rFonts w:ascii="Arial" w:cs="Arial" w:eastAsia="Arial" w:hAnsi="Arial"/>
                <w:sz w:val="25"/>
                <w:szCs w:val="25"/>
                <w:color w:val="auto"/>
                <w:vertAlign w:val="superscript"/>
              </w:rPr>
              <w:t>(6)</w:t>
            </w:r>
            <w:r>
              <w:rPr>
                <w:rFonts w:ascii="Arial" w:cs="Arial" w:eastAsia="Arial" w:hAnsi="Arial"/>
                <w:sz w:val="3"/>
                <w:szCs w:val="3"/>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30"/>
                <w:szCs w:val="30"/>
                <w:color w:val="auto"/>
                <w:w w:val="4294942296"/>
                <w:vertAlign w:val="subscript"/>
              </w:rPr>
              <w:t>*</w:t>
            </w: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331"/>
        </w:trPr>
        <w:tc>
          <w:tcPr>
            <w:tcW w:w="4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Richard S. Warzala</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1,405,459</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144,471</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1,549,930</w:t>
            </w:r>
            <w:r>
              <w:rPr>
                <w:rFonts w:ascii="Arial" w:cs="Arial" w:eastAsia="Arial" w:hAnsi="Arial"/>
                <w:sz w:val="25"/>
                <w:szCs w:val="25"/>
                <w:color w:val="auto"/>
                <w:vertAlign w:val="superscript"/>
              </w:rPr>
              <w:t>(7)</w:t>
            </w:r>
            <w:r>
              <w:rPr>
                <w:rFonts w:ascii="Arial" w:cs="Arial" w:eastAsia="Arial" w:hAnsi="Arial"/>
                <w:sz w:val="3"/>
                <w:szCs w:val="3"/>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rPr>
              <w:t>9.6%</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520"/>
              <w:spacing w:after="0"/>
              <w:rPr>
                <w:sz w:val="20"/>
                <w:szCs w:val="20"/>
                <w:color w:val="auto"/>
              </w:rPr>
            </w:pPr>
            <w:r>
              <w:rPr>
                <w:rFonts w:ascii="Arial" w:cs="Arial" w:eastAsia="Arial" w:hAnsi="Arial"/>
                <w:sz w:val="15"/>
                <w:szCs w:val="15"/>
                <w:b w:val="1"/>
                <w:bCs w:val="1"/>
                <w:color w:val="2D64AF"/>
              </w:rPr>
              <w:t>Non-Employee Directors</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00" w:type="dxa"/>
            <w:vAlign w:val="bottom"/>
          </w:tcPr>
          <w:p>
            <w:pPr>
              <w:spacing w:after="0"/>
              <w:rPr>
                <w:sz w:val="15"/>
                <w:szCs w:val="15"/>
                <w:color w:val="auto"/>
              </w:rPr>
            </w:pP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80" w:type="dxa"/>
            <w:vAlign w:val="bottom"/>
          </w:tcPr>
          <w:p>
            <w:pPr>
              <w:spacing w:after="0"/>
              <w:rPr>
                <w:sz w:val="15"/>
                <w:szCs w:val="15"/>
                <w:color w:val="auto"/>
              </w:rPr>
            </w:pPr>
          </w:p>
        </w:tc>
        <w:tc>
          <w:tcPr>
            <w:tcW w:w="80" w:type="dxa"/>
            <w:vAlign w:val="bottom"/>
          </w:tcPr>
          <w:p>
            <w:pPr>
              <w:jc w:val="right"/>
              <w:ind w:right="5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spacing w:after="0"/>
              <w:rPr>
                <w:sz w:val="15"/>
                <w:szCs w:val="15"/>
                <w:color w:val="auto"/>
              </w:rPr>
            </w:pP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20" w:type="dxa"/>
            <w:vAlign w:val="bottom"/>
          </w:tcPr>
          <w:p>
            <w:pPr>
              <w:spacing w:after="0"/>
              <w:rPr>
                <w:sz w:val="15"/>
                <w:szCs w:val="15"/>
                <w:color w:val="auto"/>
              </w:rPr>
            </w:pP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38"/>
        </w:trPr>
        <w:tc>
          <w:tcPr>
            <w:tcW w:w="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gridSpan w:val="2"/>
          </w:tcPr>
          <w:p>
            <w:pPr>
              <w:spacing w:after="0"/>
              <w:rPr>
                <w:sz w:val="12"/>
                <w:szCs w:val="12"/>
                <w:color w:val="auto"/>
              </w:rPr>
            </w:pPr>
          </w:p>
        </w:tc>
        <w:tc>
          <w:tcPr>
            <w:tcW w:w="144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Robert B. Engel</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80" w:type="dxa"/>
            <w:vAlign w:val="bottom"/>
            <w:gridSpan w:val="2"/>
          </w:tcPr>
          <w:p>
            <w:pPr>
              <w:jc w:val="right"/>
              <w:ind w:right="62"/>
              <w:spacing w:after="0"/>
              <w:rPr>
                <w:sz w:val="20"/>
                <w:szCs w:val="20"/>
                <w:color w:val="auto"/>
              </w:rPr>
            </w:pPr>
            <w:r>
              <w:rPr>
                <w:rFonts w:ascii="Arial" w:cs="Arial" w:eastAsia="Arial" w:hAnsi="Arial"/>
                <w:sz w:val="15"/>
                <w:szCs w:val="15"/>
                <w:color w:val="auto"/>
              </w:rPr>
              <w:t>29,134</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51"/>
              <w:spacing w:after="0"/>
              <w:rPr>
                <w:sz w:val="20"/>
                <w:szCs w:val="20"/>
                <w:color w:val="auto"/>
              </w:rPr>
            </w:pPr>
            <w:r>
              <w:rPr>
                <w:rFonts w:ascii="Arial" w:cs="Arial" w:eastAsia="Arial" w:hAnsi="Arial"/>
                <w:sz w:val="15"/>
                <w:szCs w:val="15"/>
                <w:color w:val="auto"/>
              </w:rPr>
              <w:t>1,725</w:t>
            </w:r>
            <w:r>
              <w:rPr>
                <w:rFonts w:ascii="Arial" w:cs="Arial" w:eastAsia="Arial" w:hAnsi="Arial"/>
                <w:sz w:val="3"/>
                <w:szCs w:val="3"/>
                <w:color w:val="auto"/>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30,859</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14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4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Richard D. Federico</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68,372</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1,725</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70,097</w:t>
            </w:r>
          </w:p>
        </w:tc>
        <w:tc>
          <w:tcPr>
            <w:tcW w:w="80" w:type="dxa"/>
            <w:vAlign w:val="bottom"/>
            <w:tcBorders>
              <w:bottom w:val="single" w:sz="8" w:color="auto"/>
            </w:tcBorders>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30"/>
                <w:szCs w:val="30"/>
                <w:color w:val="auto"/>
                <w:w w:val="4294942296"/>
                <w:vertAlign w:val="subscript"/>
              </w:rPr>
              <w:t>*</w:t>
            </w:r>
            <w:r>
              <w:rPr>
                <w:rFonts w:ascii="Arial" w:cs="Arial" w:eastAsia="Arial" w:hAnsi="Arial"/>
                <w:sz w:val="2"/>
                <w:szCs w:val="2"/>
                <w:color w:val="auto"/>
                <w:w w:val="4294942296"/>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Steven C. Finch</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80" w:type="dxa"/>
            <w:vAlign w:val="bottom"/>
            <w:gridSpan w:val="2"/>
          </w:tcPr>
          <w:p>
            <w:pPr>
              <w:jc w:val="right"/>
              <w:ind w:right="62"/>
              <w:spacing w:after="0"/>
              <w:rPr>
                <w:sz w:val="20"/>
                <w:szCs w:val="20"/>
                <w:color w:val="auto"/>
              </w:rPr>
            </w:pPr>
            <w:r>
              <w:rPr>
                <w:rFonts w:ascii="Arial" w:cs="Arial" w:eastAsia="Arial" w:hAnsi="Arial"/>
                <w:sz w:val="15"/>
                <w:szCs w:val="15"/>
                <w:color w:val="auto"/>
              </w:rPr>
              <w:t>5,038</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51"/>
              <w:spacing w:after="0"/>
              <w:rPr>
                <w:sz w:val="20"/>
                <w:szCs w:val="20"/>
                <w:color w:val="auto"/>
              </w:rPr>
            </w:pPr>
            <w:r>
              <w:rPr>
                <w:rFonts w:ascii="Arial" w:cs="Arial" w:eastAsia="Arial" w:hAnsi="Arial"/>
                <w:sz w:val="15"/>
                <w:szCs w:val="15"/>
                <w:color w:val="auto"/>
              </w:rPr>
              <w:t>1,725</w:t>
            </w:r>
            <w:r>
              <w:rPr>
                <w:rFonts w:ascii="Arial" w:cs="Arial" w:eastAsia="Arial" w:hAnsi="Arial"/>
                <w:sz w:val="3"/>
                <w:szCs w:val="3"/>
                <w:color w:val="auto"/>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6,763</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14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James J. Tanous</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80" w:type="dxa"/>
            <w:vAlign w:val="bottom"/>
            <w:gridSpan w:val="2"/>
          </w:tcPr>
          <w:p>
            <w:pPr>
              <w:jc w:val="right"/>
              <w:ind w:right="62"/>
              <w:spacing w:after="0"/>
              <w:rPr>
                <w:sz w:val="20"/>
                <w:szCs w:val="20"/>
                <w:color w:val="auto"/>
              </w:rPr>
            </w:pPr>
            <w:r>
              <w:rPr>
                <w:rFonts w:ascii="Arial" w:cs="Arial" w:eastAsia="Arial" w:hAnsi="Arial"/>
                <w:sz w:val="15"/>
                <w:szCs w:val="15"/>
                <w:color w:val="auto"/>
              </w:rPr>
              <w:t>32,258</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51"/>
              <w:spacing w:after="0"/>
              <w:rPr>
                <w:sz w:val="20"/>
                <w:szCs w:val="20"/>
                <w:color w:val="auto"/>
              </w:rPr>
            </w:pPr>
            <w:r>
              <w:rPr>
                <w:rFonts w:ascii="Arial" w:cs="Arial" w:eastAsia="Arial" w:hAnsi="Arial"/>
                <w:sz w:val="15"/>
                <w:szCs w:val="15"/>
                <w:color w:val="auto"/>
              </w:rPr>
              <w:t>1,725</w:t>
            </w:r>
            <w:r>
              <w:rPr>
                <w:rFonts w:ascii="Arial" w:cs="Arial" w:eastAsia="Arial" w:hAnsi="Arial"/>
                <w:sz w:val="3"/>
                <w:szCs w:val="3"/>
                <w:color w:val="auto"/>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33,983</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14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Nicole R. Tzetzo</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80" w:type="dxa"/>
            <w:vAlign w:val="bottom"/>
            <w:gridSpan w:val="2"/>
          </w:tcPr>
          <w:p>
            <w:pPr>
              <w:jc w:val="right"/>
              <w:ind w:right="62"/>
              <w:spacing w:after="0"/>
              <w:rPr>
                <w:sz w:val="20"/>
                <w:szCs w:val="20"/>
                <w:color w:val="auto"/>
              </w:rPr>
            </w:pPr>
            <w:r>
              <w:rPr>
                <w:rFonts w:ascii="Arial" w:cs="Arial" w:eastAsia="Arial" w:hAnsi="Arial"/>
                <w:sz w:val="15"/>
                <w:szCs w:val="15"/>
                <w:color w:val="auto"/>
              </w:rPr>
              <w:t>5,838</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51"/>
              <w:spacing w:after="0"/>
              <w:rPr>
                <w:sz w:val="20"/>
                <w:szCs w:val="20"/>
                <w:color w:val="auto"/>
              </w:rPr>
            </w:pPr>
            <w:r>
              <w:rPr>
                <w:rFonts w:ascii="Arial" w:cs="Arial" w:eastAsia="Arial" w:hAnsi="Arial"/>
                <w:sz w:val="15"/>
                <w:szCs w:val="15"/>
                <w:color w:val="auto"/>
              </w:rPr>
              <w:t>1,725</w:t>
            </w:r>
            <w:r>
              <w:rPr>
                <w:rFonts w:ascii="Arial" w:cs="Arial" w:eastAsia="Arial" w:hAnsi="Arial"/>
                <w:sz w:val="3"/>
                <w:szCs w:val="3"/>
                <w:color w:val="auto"/>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7,563</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75"/>
        </w:trPr>
        <w:tc>
          <w:tcPr>
            <w:tcW w:w="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144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Michael R. Winter</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80" w:type="dxa"/>
            <w:vAlign w:val="bottom"/>
            <w:gridSpan w:val="2"/>
          </w:tcPr>
          <w:p>
            <w:pPr>
              <w:jc w:val="right"/>
              <w:ind w:right="62"/>
              <w:spacing w:after="0"/>
              <w:rPr>
                <w:sz w:val="20"/>
                <w:szCs w:val="20"/>
                <w:color w:val="auto"/>
              </w:rPr>
            </w:pPr>
            <w:r>
              <w:rPr>
                <w:rFonts w:ascii="Arial" w:cs="Arial" w:eastAsia="Arial" w:hAnsi="Arial"/>
                <w:sz w:val="15"/>
                <w:szCs w:val="15"/>
                <w:color w:val="auto"/>
              </w:rPr>
              <w:t>32,221</w:t>
            </w:r>
            <w:r>
              <w:rPr>
                <w:rFonts w:ascii="Arial" w:cs="Arial" w:eastAsia="Arial" w:hAnsi="Arial"/>
                <w:sz w:val="3"/>
                <w:szCs w:val="3"/>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360" w:type="dxa"/>
            <w:vAlign w:val="bottom"/>
            <w:gridSpan w:val="2"/>
          </w:tcPr>
          <w:p>
            <w:pPr>
              <w:jc w:val="right"/>
              <w:ind w:right="51"/>
              <w:spacing w:after="0"/>
              <w:rPr>
                <w:sz w:val="20"/>
                <w:szCs w:val="20"/>
                <w:color w:val="auto"/>
              </w:rPr>
            </w:pPr>
            <w:r>
              <w:rPr>
                <w:rFonts w:ascii="Arial" w:cs="Arial" w:eastAsia="Arial" w:hAnsi="Arial"/>
                <w:sz w:val="15"/>
                <w:szCs w:val="15"/>
                <w:color w:val="auto"/>
              </w:rPr>
              <w:t>1,725</w:t>
            </w:r>
            <w:r>
              <w:rPr>
                <w:rFonts w:ascii="Arial" w:cs="Arial" w:eastAsia="Arial" w:hAnsi="Arial"/>
                <w:sz w:val="3"/>
                <w:szCs w:val="3"/>
                <w:color w:val="auto"/>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jc w:val="right"/>
              <w:ind w:right="84"/>
              <w:spacing w:after="0"/>
              <w:rPr>
                <w:sz w:val="20"/>
                <w:szCs w:val="20"/>
                <w:color w:val="auto"/>
              </w:rPr>
            </w:pPr>
            <w:r>
              <w:rPr>
                <w:rFonts w:ascii="Arial" w:cs="Arial" w:eastAsia="Arial" w:hAnsi="Arial"/>
                <w:sz w:val="15"/>
                <w:szCs w:val="15"/>
                <w:color w:val="auto"/>
              </w:rPr>
              <w:t>33,946</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gridSpan w:val="2"/>
          </w:tcPr>
          <w:p>
            <w:pPr>
              <w:jc w:val="right"/>
              <w:ind w:right="2"/>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7"/>
                <w:szCs w:val="7"/>
                <w:color w:val="auto"/>
                <w:vertAlign w:val="superscript"/>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spacing w:after="0"/>
              <w:rPr>
                <w:sz w:val="15"/>
                <w:szCs w:val="15"/>
                <w:color w:val="auto"/>
              </w:rPr>
            </w:pP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00" w:type="dxa"/>
            <w:vAlign w:val="bottom"/>
          </w:tcPr>
          <w:p>
            <w:pPr>
              <w:spacing w:after="0"/>
              <w:rPr>
                <w:sz w:val="15"/>
                <w:szCs w:val="15"/>
                <w:color w:val="auto"/>
              </w:rPr>
            </w:pP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80" w:type="dxa"/>
            <w:vAlign w:val="bottom"/>
          </w:tcPr>
          <w:p>
            <w:pPr>
              <w:spacing w:after="0"/>
              <w:rPr>
                <w:sz w:val="15"/>
                <w:szCs w:val="15"/>
                <w:color w:val="auto"/>
              </w:rPr>
            </w:pPr>
          </w:p>
        </w:tc>
        <w:tc>
          <w:tcPr>
            <w:tcW w:w="80" w:type="dxa"/>
            <w:vAlign w:val="bottom"/>
          </w:tcPr>
          <w:p>
            <w:pPr>
              <w:jc w:val="right"/>
              <w:ind w:right="5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tcPr>
          <w:p>
            <w:pPr>
              <w:spacing w:after="0"/>
              <w:rPr>
                <w:sz w:val="15"/>
                <w:szCs w:val="15"/>
                <w:color w:val="auto"/>
              </w:rPr>
            </w:pP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20" w:type="dxa"/>
            <w:vAlign w:val="bottom"/>
          </w:tcPr>
          <w:p>
            <w:pPr>
              <w:spacing w:after="0"/>
              <w:rPr>
                <w:sz w:val="15"/>
                <w:szCs w:val="15"/>
                <w:color w:val="auto"/>
              </w:rPr>
            </w:pP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52"/>
        </w:trPr>
        <w:tc>
          <w:tcPr>
            <w:tcW w:w="264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200" w:type="dxa"/>
            <w:vAlign w:val="bottom"/>
            <w:tcBorders>
              <w:bottom w:val="single" w:sz="8" w:color="auto"/>
            </w:tcBorders>
            <w:gridSpan w:val="2"/>
          </w:tcPr>
          <w:p>
            <w:pPr>
              <w:spacing w:after="0"/>
              <w:rPr>
                <w:sz w:val="13"/>
                <w:szCs w:val="13"/>
                <w:color w:val="auto"/>
              </w:rPr>
            </w:pPr>
          </w:p>
        </w:tc>
        <w:tc>
          <w:tcPr>
            <w:tcW w:w="144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4"/>
                <w:szCs w:val="4"/>
                <w:color w:val="auto"/>
              </w:rPr>
              <w:t xml:space="preserve">​   </w:t>
            </w:r>
            <w:r>
              <w:rPr>
                <w:rFonts w:ascii="Arial" w:cs="Arial" w:eastAsia="Arial" w:hAnsi="Arial"/>
                <w:sz w:val="15"/>
                <w:szCs w:val="15"/>
                <w:color w:val="auto"/>
              </w:rPr>
              <w:t>Employee Stock Ownership Plan</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4"/>
                <w:szCs w:val="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4"/>
                <w:szCs w:val="4"/>
                <w:color w:val="auto"/>
              </w:rPr>
              <w:t>​</w:t>
            </w:r>
          </w:p>
        </w:tc>
        <w:tc>
          <w:tcPr>
            <w:tcW w:w="12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661,203</w:t>
            </w:r>
            <w:r>
              <w:rPr>
                <w:rFonts w:ascii="Arial" w:cs="Arial" w:eastAsia="Arial" w:hAnsi="Arial"/>
                <w:sz w:val="3"/>
                <w:szCs w:val="3"/>
                <w:color w:val="auto"/>
              </w:rPr>
              <w:t>​</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5"/>
                <w:szCs w:val="15"/>
                <w:color w:val="auto"/>
              </w:rPr>
              <w:t>—</w:t>
            </w:r>
            <w:r>
              <w:rPr>
                <w:rFonts w:ascii="Arial" w:cs="Arial" w:eastAsia="Arial" w:hAnsi="Arial"/>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4"/>
                <w:szCs w:val="4"/>
                <w:color w:val="auto"/>
              </w:rPr>
              <w:t>​</w:t>
            </w:r>
          </w:p>
        </w:tc>
        <w:tc>
          <w:tcPr>
            <w:tcW w:w="13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5"/>
                <w:szCs w:val="15"/>
                <w:color w:val="auto"/>
              </w:rPr>
              <w:t>661,203</w:t>
            </w:r>
            <w:r>
              <w:rPr>
                <w:rFonts w:ascii="Arial" w:cs="Arial" w:eastAsia="Arial" w:hAnsi="Arial"/>
                <w:sz w:val="25"/>
                <w:szCs w:val="25"/>
                <w:color w:val="auto"/>
                <w:vertAlign w:val="superscript"/>
              </w:rPr>
              <w:t>(8)</w:t>
            </w:r>
            <w:r>
              <w:rPr>
                <w:rFonts w:ascii="Arial" w:cs="Arial" w:eastAsia="Arial" w:hAnsi="Arial"/>
                <w:sz w:val="3"/>
                <w:szCs w:val="3"/>
                <w:color w:val="auto"/>
              </w:rPr>
              <w:t>​</w:t>
            </w:r>
          </w:p>
        </w:tc>
        <w:tc>
          <w:tcPr>
            <w:tcW w:w="200" w:type="dxa"/>
            <w:vAlign w:val="bottom"/>
            <w:tcBorders>
              <w:bottom w:val="single" w:sz="8" w:color="auto"/>
            </w:tcBorders>
            <w:gridSpan w:val="2"/>
          </w:tcPr>
          <w:p>
            <w:pPr>
              <w:ind w:left="60"/>
              <w:spacing w:after="0"/>
              <w:rPr>
                <w:sz w:val="20"/>
                <w:szCs w:val="20"/>
                <w:color w:val="auto"/>
              </w:rPr>
            </w:pPr>
            <w:r>
              <w:rPr>
                <w:rFonts w:ascii="Arial" w:cs="Arial" w:eastAsia="Arial" w:hAnsi="Arial"/>
                <w:sz w:val="4"/>
                <w:szCs w:val="4"/>
                <w:color w:val="auto"/>
              </w:rPr>
              <w:t>​</w:t>
            </w:r>
          </w:p>
        </w:tc>
        <w:tc>
          <w:tcPr>
            <w:tcW w:w="1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rPr>
              <w:t>4.1%</w:t>
            </w: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r>
              <w:rPr>
                <w:rFonts w:ascii="Arial" w:cs="Arial" w:eastAsia="Arial" w:hAnsi="Arial"/>
                <w:sz w:val="4"/>
                <w:szCs w:val="4"/>
                <w:color w:val="auto"/>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All executive officers</w:t>
            </w:r>
          </w:p>
        </w:tc>
        <w:tc>
          <w:tcPr>
            <w:tcW w:w="380" w:type="dxa"/>
            <w:vAlign w:val="bottom"/>
          </w:tcPr>
          <w:p>
            <w:pPr>
              <w:ind w:left="240"/>
              <w:spacing w:after="0"/>
              <w:rPr>
                <w:sz w:val="20"/>
                <w:szCs w:val="20"/>
                <w:color w:val="auto"/>
              </w:rPr>
            </w:pPr>
            <w:r>
              <w:rPr>
                <w:rFonts w:ascii="Arial" w:cs="Arial" w:eastAsia="Arial" w:hAnsi="Arial"/>
                <w:sz w:val="4"/>
                <w:szCs w:val="4"/>
                <w:color w:val="auto"/>
              </w:rPr>
              <w:t>​</w:t>
            </w:r>
          </w:p>
        </w:tc>
        <w:tc>
          <w:tcPr>
            <w:tcW w:w="80" w:type="dxa"/>
            <w:vAlign w:val="bottom"/>
          </w:tcPr>
          <w:p>
            <w:pPr>
              <w:spacing w:after="0"/>
              <w:rPr>
                <w:sz w:val="20"/>
                <w:szCs w:val="20"/>
                <w:color w:val="auto"/>
              </w:rPr>
            </w:pPr>
            <w:r>
              <w:rPr>
                <w:rFonts w:ascii="Arial" w:cs="Arial" w:eastAsia="Arial" w:hAnsi="Arial"/>
                <w:sz w:val="4"/>
                <w:szCs w:val="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2,468,677</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209,470</w:t>
            </w:r>
          </w:p>
        </w:tc>
        <w:tc>
          <w:tcPr>
            <w:tcW w:w="80" w:type="dxa"/>
            <w:vAlign w:val="bottom"/>
          </w:tcPr>
          <w:p>
            <w:pPr>
              <w:jc w:val="right"/>
              <w:ind w:right="51"/>
              <w:spacing w:after="0"/>
              <w:rPr>
                <w:sz w:val="20"/>
                <w:szCs w:val="20"/>
                <w:color w:val="auto"/>
              </w:rPr>
            </w:pPr>
            <w:r>
              <w:rPr>
                <w:rFonts w:ascii="Arial" w:cs="Arial" w:eastAsia="Arial" w:hAnsi="Arial"/>
                <w:sz w:val="2"/>
                <w:szCs w:val="2"/>
                <w:color w:val="auto"/>
                <w:w w:val="4294942296"/>
              </w:rPr>
              <w:t>​</w:t>
            </w:r>
          </w:p>
        </w:tc>
        <w:tc>
          <w:tcPr>
            <w:tcW w:w="220" w:type="dxa"/>
            <w:vAlign w:val="bottom"/>
          </w:tcPr>
          <w:p>
            <w:pPr>
              <w:ind w:left="80"/>
              <w:spacing w:after="0"/>
              <w:rPr>
                <w:sz w:val="20"/>
                <w:szCs w:val="20"/>
                <w:color w:val="auto"/>
              </w:rPr>
            </w:pPr>
            <w:r>
              <w:rPr>
                <w:rFonts w:ascii="Arial" w:cs="Arial" w:eastAsia="Arial" w:hAnsi="Arial"/>
                <w:sz w:val="4"/>
                <w:szCs w:val="4"/>
                <w:color w:val="auto"/>
              </w:rPr>
              <w:t>​</w:t>
            </w:r>
          </w:p>
        </w:tc>
        <w:tc>
          <w:tcPr>
            <w:tcW w:w="1280" w:type="dxa"/>
            <w:vAlign w:val="bottom"/>
            <w:vMerge w:val="restart"/>
          </w:tcPr>
          <w:p>
            <w:pPr>
              <w:jc w:val="right"/>
              <w:ind w:right="84"/>
              <w:spacing w:after="0"/>
              <w:rPr>
                <w:sz w:val="20"/>
                <w:szCs w:val="20"/>
                <w:color w:val="auto"/>
              </w:rPr>
            </w:pPr>
            <w:r>
              <w:rPr>
                <w:rFonts w:ascii="Arial" w:cs="Arial" w:eastAsia="Arial" w:hAnsi="Arial"/>
                <w:sz w:val="15"/>
                <w:szCs w:val="15"/>
                <w:color w:val="auto"/>
              </w:rPr>
              <w:t>2,678,147</w:t>
            </w:r>
          </w:p>
        </w:tc>
        <w:tc>
          <w:tcPr>
            <w:tcW w:w="80" w:type="dxa"/>
            <w:vAlign w:val="bottom"/>
          </w:tcPr>
          <w:p>
            <w:pPr>
              <w:jc w:val="right"/>
              <w:ind w:right="62"/>
              <w:spacing w:after="0"/>
              <w:rPr>
                <w:sz w:val="20"/>
                <w:szCs w:val="20"/>
                <w:color w:val="auto"/>
              </w:rPr>
            </w:pPr>
            <w:r>
              <w:rPr>
                <w:rFonts w:ascii="Arial" w:cs="Arial" w:eastAsia="Arial" w:hAnsi="Arial"/>
                <w:sz w:val="4"/>
                <w:szCs w:val="4"/>
                <w:color w:val="auto"/>
              </w:rPr>
              <w:t>​</w:t>
            </w:r>
          </w:p>
        </w:tc>
        <w:tc>
          <w:tcPr>
            <w:tcW w:w="200" w:type="dxa"/>
            <w:vAlign w:val="bottom"/>
            <w:gridSpan w:val="2"/>
          </w:tcPr>
          <w:p>
            <w:pPr>
              <w:ind w:left="60"/>
              <w:spacing w:after="0"/>
              <w:rPr>
                <w:sz w:val="20"/>
                <w:szCs w:val="20"/>
                <w:color w:val="auto"/>
              </w:rPr>
            </w:pPr>
            <w:r>
              <w:rPr>
                <w:rFonts w:ascii="Arial" w:cs="Arial" w:eastAsia="Arial" w:hAnsi="Arial"/>
                <w:sz w:val="4"/>
                <w:szCs w:val="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16.5%</w:t>
            </w:r>
          </w:p>
        </w:tc>
        <w:tc>
          <w:tcPr>
            <w:tcW w:w="20" w:type="dxa"/>
            <w:vAlign w:val="bottom"/>
          </w:tcPr>
          <w:p>
            <w:pPr>
              <w:jc w:val="right"/>
              <w:ind w:right="2"/>
              <w:spacing w:after="0"/>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199"/>
        </w:trPr>
        <w:tc>
          <w:tcPr>
            <w:tcW w:w="40" w:type="dxa"/>
            <w:vAlign w:val="bottom"/>
            <w:tcBorders>
              <w:bottom w:val="single" w:sz="8" w:color="2D64AF"/>
            </w:tcBorders>
          </w:tcPr>
          <w:p>
            <w:pPr>
              <w:spacing w:after="0"/>
              <w:rPr>
                <w:sz w:val="17"/>
                <w:szCs w:val="17"/>
                <w:color w:val="auto"/>
              </w:rPr>
            </w:pPr>
          </w:p>
        </w:tc>
        <w:tc>
          <w:tcPr>
            <w:tcW w:w="2600" w:type="dxa"/>
            <w:vAlign w:val="bottom"/>
            <w:tcBorders>
              <w:bottom w:val="single" w:sz="8" w:color="2D64AF"/>
            </w:tcBorders>
          </w:tcPr>
          <w:p>
            <w:pPr>
              <w:ind w:left="20"/>
              <w:spacing w:after="0"/>
              <w:rPr>
                <w:sz w:val="20"/>
                <w:szCs w:val="20"/>
                <w:color w:val="auto"/>
              </w:rPr>
            </w:pPr>
            <w:r>
              <w:rPr>
                <w:rFonts w:ascii="Arial" w:cs="Arial" w:eastAsia="Arial" w:hAnsi="Arial"/>
                <w:sz w:val="15"/>
                <w:szCs w:val="15"/>
                <w:color w:val="auto"/>
              </w:rPr>
              <w:t>and directors as a group</w:t>
            </w:r>
          </w:p>
        </w:tc>
        <w:tc>
          <w:tcPr>
            <w:tcW w:w="380" w:type="dxa"/>
            <w:vAlign w:val="bottom"/>
            <w:tcBorders>
              <w:bottom w:val="single" w:sz="8" w:color="2D64AF"/>
            </w:tcBorders>
          </w:tcPr>
          <w:p>
            <w:pPr>
              <w:spacing w:after="0"/>
              <w:rPr>
                <w:sz w:val="17"/>
                <w:szCs w:val="17"/>
                <w:color w:val="auto"/>
              </w:rPr>
            </w:pPr>
          </w:p>
        </w:tc>
        <w:tc>
          <w:tcPr>
            <w:tcW w:w="80" w:type="dxa"/>
            <w:vAlign w:val="bottom"/>
            <w:tcBorders>
              <w:bottom w:val="single" w:sz="8" w:color="2D64AF"/>
            </w:tcBorders>
          </w:tcPr>
          <w:p>
            <w:pPr>
              <w:spacing w:after="0"/>
              <w:rPr>
                <w:sz w:val="17"/>
                <w:szCs w:val="17"/>
                <w:color w:val="auto"/>
              </w:rPr>
            </w:pPr>
          </w:p>
        </w:tc>
        <w:tc>
          <w:tcPr>
            <w:tcW w:w="1200" w:type="dxa"/>
            <w:vAlign w:val="bottom"/>
            <w:tcBorders>
              <w:bottom w:val="single" w:sz="8" w:color="2D64AF"/>
            </w:tcBorders>
            <w:vMerge w:val="continue"/>
          </w:tcPr>
          <w:p>
            <w:pPr>
              <w:spacing w:after="0"/>
              <w:rPr>
                <w:sz w:val="17"/>
                <w:szCs w:val="17"/>
                <w:color w:val="auto"/>
              </w:rPr>
            </w:pPr>
          </w:p>
        </w:tc>
        <w:tc>
          <w:tcPr>
            <w:tcW w:w="80" w:type="dxa"/>
            <w:vAlign w:val="bottom"/>
            <w:tcBorders>
              <w:bottom w:val="single" w:sz="8" w:color="2D64AF"/>
            </w:tcBorders>
          </w:tcPr>
          <w:p>
            <w:pPr>
              <w:spacing w:after="0"/>
              <w:rPr>
                <w:sz w:val="17"/>
                <w:szCs w:val="17"/>
                <w:color w:val="auto"/>
              </w:rPr>
            </w:pPr>
          </w:p>
        </w:tc>
        <w:tc>
          <w:tcPr>
            <w:tcW w:w="140" w:type="dxa"/>
            <w:vAlign w:val="bottom"/>
            <w:tcBorders>
              <w:bottom w:val="single" w:sz="8" w:color="2D64AF"/>
            </w:tcBorders>
          </w:tcPr>
          <w:p>
            <w:pPr>
              <w:spacing w:after="0"/>
              <w:rPr>
                <w:sz w:val="17"/>
                <w:szCs w:val="17"/>
                <w:color w:val="auto"/>
              </w:rPr>
            </w:pPr>
          </w:p>
        </w:tc>
        <w:tc>
          <w:tcPr>
            <w:tcW w:w="1280" w:type="dxa"/>
            <w:vAlign w:val="bottom"/>
            <w:tcBorders>
              <w:bottom w:val="single" w:sz="8" w:color="2D64AF"/>
            </w:tcBorders>
            <w:vMerge w:val="continue"/>
          </w:tcPr>
          <w:p>
            <w:pPr>
              <w:spacing w:after="0"/>
              <w:rPr>
                <w:sz w:val="17"/>
                <w:szCs w:val="17"/>
                <w:color w:val="auto"/>
              </w:rPr>
            </w:pPr>
          </w:p>
        </w:tc>
        <w:tc>
          <w:tcPr>
            <w:tcW w:w="80" w:type="dxa"/>
            <w:vAlign w:val="bottom"/>
            <w:tcBorders>
              <w:bottom w:val="single" w:sz="8" w:color="2D64AF"/>
            </w:tcBorders>
          </w:tcPr>
          <w:p>
            <w:pPr>
              <w:spacing w:after="0"/>
              <w:rPr>
                <w:sz w:val="17"/>
                <w:szCs w:val="17"/>
                <w:color w:val="auto"/>
              </w:rPr>
            </w:pPr>
          </w:p>
        </w:tc>
        <w:tc>
          <w:tcPr>
            <w:tcW w:w="220" w:type="dxa"/>
            <w:vAlign w:val="bottom"/>
            <w:tcBorders>
              <w:bottom w:val="single" w:sz="8" w:color="2D64AF"/>
            </w:tcBorders>
          </w:tcPr>
          <w:p>
            <w:pPr>
              <w:spacing w:after="0"/>
              <w:rPr>
                <w:sz w:val="17"/>
                <w:szCs w:val="17"/>
                <w:color w:val="auto"/>
              </w:rPr>
            </w:pPr>
          </w:p>
        </w:tc>
        <w:tc>
          <w:tcPr>
            <w:tcW w:w="1280" w:type="dxa"/>
            <w:vAlign w:val="bottom"/>
            <w:tcBorders>
              <w:bottom w:val="single" w:sz="8" w:color="2D64AF"/>
            </w:tcBorders>
            <w:vMerge w:val="continue"/>
          </w:tcPr>
          <w:p>
            <w:pPr>
              <w:spacing w:after="0"/>
              <w:rPr>
                <w:sz w:val="17"/>
                <w:szCs w:val="17"/>
                <w:color w:val="auto"/>
              </w:rPr>
            </w:pPr>
          </w:p>
        </w:tc>
        <w:tc>
          <w:tcPr>
            <w:tcW w:w="80" w:type="dxa"/>
            <w:vAlign w:val="bottom"/>
            <w:tcBorders>
              <w:bottom w:val="single" w:sz="8" w:color="2D64AF"/>
            </w:tcBorders>
          </w:tcPr>
          <w:p>
            <w:pPr>
              <w:spacing w:after="0"/>
              <w:rPr>
                <w:sz w:val="17"/>
                <w:szCs w:val="17"/>
                <w:color w:val="auto"/>
              </w:rPr>
            </w:pPr>
          </w:p>
        </w:tc>
        <w:tc>
          <w:tcPr>
            <w:tcW w:w="60" w:type="dxa"/>
            <w:vAlign w:val="bottom"/>
            <w:tcBorders>
              <w:bottom w:val="single" w:sz="8" w:color="2D64AF"/>
            </w:tcBorders>
          </w:tcPr>
          <w:p>
            <w:pPr>
              <w:spacing w:after="0"/>
              <w:rPr>
                <w:sz w:val="17"/>
                <w:szCs w:val="17"/>
                <w:color w:val="auto"/>
              </w:rPr>
            </w:pPr>
          </w:p>
        </w:tc>
        <w:tc>
          <w:tcPr>
            <w:tcW w:w="140" w:type="dxa"/>
            <w:vAlign w:val="bottom"/>
            <w:tcBorders>
              <w:bottom w:val="single" w:sz="8" w:color="2D64AF"/>
            </w:tcBorders>
          </w:tcPr>
          <w:p>
            <w:pPr>
              <w:spacing w:after="0"/>
              <w:rPr>
                <w:sz w:val="17"/>
                <w:szCs w:val="17"/>
                <w:color w:val="auto"/>
              </w:rPr>
            </w:pPr>
          </w:p>
        </w:tc>
        <w:tc>
          <w:tcPr>
            <w:tcW w:w="1420" w:type="dxa"/>
            <w:vAlign w:val="bottom"/>
            <w:tcBorders>
              <w:bottom w:val="single" w:sz="8" w:color="2D64AF"/>
            </w:tcBorders>
            <w:vMerge w:val="continue"/>
          </w:tcPr>
          <w:p>
            <w:pPr>
              <w:spacing w:after="0"/>
              <w:rPr>
                <w:sz w:val="17"/>
                <w:szCs w:val="17"/>
                <w:color w:val="auto"/>
              </w:rPr>
            </w:pPr>
          </w:p>
        </w:tc>
        <w:tc>
          <w:tcPr>
            <w:tcW w:w="20" w:type="dxa"/>
            <w:vAlign w:val="bottom"/>
            <w:tcBorders>
              <w:bottom w:val="single" w:sz="8" w:color="2D64A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60" w:hanging="358"/>
        <w:spacing w:after="0"/>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53" w:lineRule="exact"/>
        <w:rPr>
          <w:sz w:val="20"/>
          <w:szCs w:val="20"/>
          <w:color w:val="auto"/>
        </w:rPr>
      </w:pPr>
    </w:p>
    <w:p>
      <w:pPr>
        <w:ind w:left="360" w:hanging="358"/>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percentages are based upon 16,180,170 shares of Common Stock outstanding as of the Record Date.</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463 shares of Common Stock credited to the ESOP account of Mr. Bendre.</w:t>
      </w:r>
    </w:p>
    <w:p>
      <w:pPr>
        <w:spacing w:after="0" w:line="53" w:lineRule="exact"/>
        <w:rPr>
          <w:rFonts w:ascii="Arial" w:cs="Arial" w:eastAsia="Arial" w:hAnsi="Arial"/>
          <w:sz w:val="13"/>
          <w:szCs w:val="13"/>
          <w:color w:val="auto"/>
        </w:rPr>
      </w:pPr>
    </w:p>
    <w:p>
      <w:pPr>
        <w:ind w:left="360" w:right="340" w:hanging="358"/>
        <w:spacing w:after="0" w:line="274" w:lineRule="auto"/>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2,024 shares of Common Stock credited to the ESOP account of Mr. Leach. Except as set forth in this note (3), does not include shares held by the ESOP as to which Mr. Leach serves as one of four trustees.</w:t>
      </w:r>
    </w:p>
    <w:p>
      <w:pPr>
        <w:spacing w:after="0" w:line="9" w:lineRule="exact"/>
        <w:rPr>
          <w:rFonts w:ascii="Arial" w:cs="Arial" w:eastAsia="Arial" w:hAnsi="Arial"/>
          <w:sz w:val="13"/>
          <w:szCs w:val="13"/>
          <w:color w:val="auto"/>
        </w:rPr>
      </w:pPr>
    </w:p>
    <w:p>
      <w:pPr>
        <w:ind w:left="360" w:hanging="358"/>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4,534 shares of Common Stock credited to the ESOP account of Mr. Maida.</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597 shares of Common Stock credited to the ESOP account of Mr. May.</w:t>
      </w:r>
    </w:p>
    <w:p>
      <w:pPr>
        <w:sectPr>
          <w:pgSz w:w="11900" w:h="16838" w:orient="portrait"/>
          <w:cols w:equalWidth="0" w:num="1">
            <w:col w:w="9320"/>
          </w:cols>
          <w:pgMar w:left="1280" w:top="265" w:right="1299" w:bottom="1440" w:gutter="0" w:footer="0" w:header="0"/>
        </w:sectPr>
      </w:pPr>
    </w:p>
    <w:p>
      <w:pPr>
        <w:spacing w:after="0" w:line="258" w:lineRule="exact"/>
        <w:rPr>
          <w:sz w:val="20"/>
          <w:szCs w:val="20"/>
          <w:color w:val="auto"/>
        </w:rPr>
      </w:pPr>
    </w:p>
    <w:p>
      <w:pPr>
        <w:ind w:left="5360"/>
        <w:spacing w:after="0"/>
        <w:tabs>
          <w:tab w:leader="none" w:pos="9240" w:val="left"/>
        </w:tabs>
        <w:rPr>
          <w:sz w:val="20"/>
          <w:szCs w:val="20"/>
          <w:color w:val="auto"/>
        </w:rPr>
      </w:pPr>
      <w:r>
        <w:rPr>
          <w:rFonts w:ascii="Arial" w:cs="Arial" w:eastAsia="Arial" w:hAnsi="Arial"/>
          <w:sz w:val="13"/>
          <w:szCs w:val="13"/>
          <w:color w:val="auto"/>
        </w:rPr>
        <w:t>Allied Motion Technologies Inc. | Special Meeting Proxy Statement |</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133350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580" w:hanging="362"/>
        <w:spacing w:after="0"/>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1,960 shares of Common Stock credited to the ESOP account of Mr. Rondeau.</w:t>
      </w:r>
    </w:p>
    <w:p>
      <w:pPr>
        <w:spacing w:after="0" w:line="53" w:lineRule="exact"/>
        <w:rPr>
          <w:rFonts w:ascii="Arial" w:cs="Arial" w:eastAsia="Arial" w:hAnsi="Arial"/>
          <w:sz w:val="13"/>
          <w:szCs w:val="13"/>
          <w:color w:val="auto"/>
        </w:rPr>
      </w:pPr>
    </w:p>
    <w:p>
      <w:pPr>
        <w:ind w:left="580" w:right="380" w:hanging="362"/>
        <w:spacing w:after="0" w:line="274" w:lineRule="auto"/>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25,089 shares of Common Stock credited to the ESOP account of Mr. Warzala. Except as set forth in this note (6), does not include shares held by the ESOP as to which Mr. Warzala serves as one of four trustees.</w:t>
      </w:r>
    </w:p>
    <w:p>
      <w:pPr>
        <w:spacing w:after="0" w:line="9" w:lineRule="exact"/>
        <w:rPr>
          <w:rFonts w:ascii="Arial" w:cs="Arial" w:eastAsia="Arial" w:hAnsi="Arial"/>
          <w:sz w:val="13"/>
          <w:szCs w:val="13"/>
          <w:color w:val="auto"/>
        </w:rPr>
      </w:pPr>
    </w:p>
    <w:p>
      <w:pPr>
        <w:ind w:left="580" w:hanging="362"/>
        <w:spacing w:after="0" w:line="248" w:lineRule="auto"/>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Messrs. Warzala and Leach are trustees of the ESOP and could be deemed to have shared investment power over those shares. The ESOP holds an aggregate of 661,203 shares of Common Stock, including 463 shares credited to the ESOP account of Mr. Bendre, 2,024 shares credited to the ESOP account of Mr. Leach, 4,534 shares credited to the ESOP account of Mr. Maida, 597 shares credited to the ESOP account of Mr. May, 1,960 shares credited to the ESOP account of Mr. Rondeau and 25,089 shares credited to the ESOP account of Mr. Warzala, previously reported in this table.</w:t>
      </w:r>
    </w:p>
    <w:p>
      <w:pPr>
        <w:spacing w:after="0" w:line="391" w:lineRule="exact"/>
        <w:rPr>
          <w:sz w:val="20"/>
          <w:szCs w:val="20"/>
          <w:color w:val="auto"/>
        </w:rPr>
      </w:pPr>
    </w:p>
    <w:p>
      <w:pPr>
        <w:ind w:left="220" w:hanging="218"/>
        <w:spacing w:after="0"/>
        <w:tabs>
          <w:tab w:leader="none" w:pos="22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 Allied Motion Technologies Inc. | Special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136525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265" w:right="1299" w:bottom="1440" w:gutter="0" w:footer="0" w:header="0"/>
        </w:sectPr>
      </w:pPr>
    </w:p>
    <w:bookmarkStart w:id="9" w:name="page10"/>
    <w:bookmarkEnd w:id="9"/>
    <w:p>
      <w:pPr>
        <w:ind w:left="84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32"/>
          <w:szCs w:val="32"/>
          <w:b w:val="1"/>
          <w:bCs w:val="1"/>
          <w:color w:val="2D64AF"/>
        </w:rPr>
        <w:t>OTHER MATTERS</w:t>
      </w:r>
    </w:p>
    <w:p>
      <w:pPr>
        <w:spacing w:after="0" w:line="144" w:lineRule="exact"/>
        <w:rPr>
          <w:sz w:val="20"/>
          <w:szCs w:val="20"/>
          <w:color w:val="auto"/>
        </w:rPr>
      </w:pPr>
    </w:p>
    <w:p>
      <w:pPr>
        <w:jc w:val="both"/>
        <w:ind w:left="840" w:right="1120"/>
        <w:spacing w:after="0" w:line="261" w:lineRule="auto"/>
        <w:rPr>
          <w:sz w:val="20"/>
          <w:szCs w:val="20"/>
          <w:color w:val="auto"/>
        </w:rPr>
      </w:pPr>
      <w:r>
        <w:rPr>
          <w:rFonts w:ascii="Arial" w:cs="Arial" w:eastAsia="Arial" w:hAnsi="Arial"/>
          <w:sz w:val="16"/>
          <w:szCs w:val="16"/>
          <w:color w:val="auto"/>
        </w:rPr>
        <w:t>Management does not intend to present any other items of business and knows of no other matters that will be brought before the Special Meeting. Whether or not you plan to attend the Special Meeting, please sign and date the enclosed proxy card and return it in the enclosed envelope to ensure your representation at the Special Meeting.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00" w:type="dxa"/>
            <w:vAlign w:val="bottom"/>
          </w:tcPr>
          <w:p>
            <w:pPr>
              <w:ind w:left="5340"/>
              <w:spacing w:after="0"/>
              <w:rPr>
                <w:sz w:val="20"/>
                <w:szCs w:val="20"/>
                <w:color w:val="auto"/>
              </w:rPr>
            </w:pPr>
            <w:r>
              <w:rPr>
                <w:rFonts w:ascii="Arial" w:cs="Arial" w:eastAsia="Arial" w:hAnsi="Arial"/>
                <w:sz w:val="4"/>
                <w:szCs w:val="4"/>
                <w:color w:val="auto"/>
              </w:rPr>
              <w:t>​   ​</w:t>
            </w:r>
          </w:p>
        </w:tc>
        <w:tc>
          <w:tcPr>
            <w:tcW w:w="5520" w:type="dxa"/>
            <w:vAlign w:val="bottom"/>
          </w:tcPr>
          <w:p>
            <w:pPr>
              <w:ind w:left="120"/>
              <w:spacing w:after="0"/>
              <w:rPr>
                <w:sz w:val="20"/>
                <w:szCs w:val="20"/>
                <w:color w:val="auto"/>
              </w:rPr>
            </w:pPr>
            <w:r>
              <w:rPr>
                <w:rFonts w:ascii="Arial" w:cs="Arial" w:eastAsia="Arial" w:hAnsi="Arial"/>
                <w:sz w:val="16"/>
                <w:szCs w:val="16"/>
                <w:color w:val="auto"/>
              </w:rPr>
              <w:t>BY ORDER OF THE BOARD OF DIRECTORS</w:t>
            </w:r>
          </w:p>
        </w:tc>
      </w:tr>
      <w:tr>
        <w:trPr>
          <w:trHeight w:val="297"/>
        </w:trPr>
        <w:tc>
          <w:tcPr>
            <w:tcW w:w="5500" w:type="dxa"/>
            <w:vAlign w:val="bottom"/>
          </w:tcPr>
          <w:p>
            <w:pPr>
              <w:ind w:left="5340"/>
              <w:spacing w:after="0"/>
              <w:rPr>
                <w:sz w:val="20"/>
                <w:szCs w:val="20"/>
                <w:color w:val="auto"/>
              </w:rPr>
            </w:pPr>
            <w:r>
              <w:rPr>
                <w:rFonts w:ascii="Arial" w:cs="Arial" w:eastAsia="Arial" w:hAnsi="Arial"/>
                <w:sz w:val="4"/>
                <w:szCs w:val="4"/>
                <w:color w:val="auto"/>
              </w:rPr>
              <w:t>​   ​</w:t>
            </w:r>
          </w:p>
        </w:tc>
        <w:tc>
          <w:tcPr>
            <w:tcW w:w="5520" w:type="dxa"/>
            <w:vAlign w:val="bottom"/>
          </w:tcPr>
          <w:p>
            <w:pPr>
              <w:spacing w:after="0"/>
              <w:rPr>
                <w:sz w:val="24"/>
                <w:szCs w:val="24"/>
                <w:color w:val="auto"/>
              </w:rPr>
            </w:pPr>
          </w:p>
        </w:tc>
      </w:tr>
      <w:tr>
        <w:trPr>
          <w:trHeight w:val="662"/>
        </w:trPr>
        <w:tc>
          <w:tcPr>
            <w:tcW w:w="5500" w:type="dxa"/>
            <w:vAlign w:val="bottom"/>
          </w:tcPr>
          <w:p>
            <w:pPr>
              <w:ind w:left="5340"/>
              <w:spacing w:after="0"/>
              <w:rPr>
                <w:sz w:val="20"/>
                <w:szCs w:val="20"/>
                <w:color w:val="auto"/>
              </w:rPr>
            </w:pPr>
            <w:r>
              <w:rPr>
                <w:rFonts w:ascii="Arial" w:cs="Arial" w:eastAsia="Arial" w:hAnsi="Arial"/>
                <w:sz w:val="4"/>
                <w:szCs w:val="4"/>
                <w:color w:val="auto"/>
              </w:rPr>
              <w:t>​   ​</w:t>
            </w:r>
          </w:p>
        </w:tc>
        <w:tc>
          <w:tcPr>
            <w:tcW w:w="5520" w:type="dxa"/>
            <w:vAlign w:val="bottom"/>
          </w:tcPr>
          <w:p>
            <w:pPr>
              <w:spacing w:after="0"/>
              <w:rPr>
                <w:sz w:val="24"/>
                <w:szCs w:val="24"/>
                <w:color w:val="auto"/>
              </w:rPr>
            </w:pPr>
          </w:p>
        </w:tc>
      </w:tr>
      <w:tr>
        <w:trPr>
          <w:trHeight w:val="443"/>
        </w:trPr>
        <w:tc>
          <w:tcPr>
            <w:tcW w:w="5500" w:type="dxa"/>
            <w:vAlign w:val="bottom"/>
          </w:tcPr>
          <w:p>
            <w:pPr>
              <w:spacing w:after="0"/>
              <w:rPr>
                <w:sz w:val="24"/>
                <w:szCs w:val="24"/>
                <w:color w:val="auto"/>
              </w:rPr>
            </w:pPr>
          </w:p>
        </w:tc>
        <w:tc>
          <w:tcPr>
            <w:tcW w:w="5520" w:type="dxa"/>
            <w:vAlign w:val="bottom"/>
          </w:tcPr>
          <w:p>
            <w:pPr>
              <w:ind w:left="120"/>
              <w:spacing w:after="0"/>
              <w:rPr>
                <w:sz w:val="20"/>
                <w:szCs w:val="20"/>
                <w:color w:val="auto"/>
              </w:rPr>
            </w:pPr>
            <w:r>
              <w:rPr>
                <w:rFonts w:ascii="Arial" w:cs="Arial" w:eastAsia="Arial" w:hAnsi="Arial"/>
                <w:sz w:val="16"/>
                <w:szCs w:val="16"/>
                <w:color w:val="auto"/>
              </w:rPr>
              <w:t> </w:t>
            </w:r>
          </w:p>
        </w:tc>
      </w:tr>
      <w:tr>
        <w:trPr>
          <w:trHeight w:val="289"/>
        </w:trPr>
        <w:tc>
          <w:tcPr>
            <w:tcW w:w="11020" w:type="dxa"/>
            <w:vAlign w:val="bottom"/>
            <w:gridSpan w:val="2"/>
          </w:tcPr>
          <w:p>
            <w:pPr>
              <w:ind w:left="5340"/>
              <w:spacing w:after="0"/>
              <w:rPr>
                <w:sz w:val="20"/>
                <w:szCs w:val="20"/>
                <w:color w:val="auto"/>
              </w:rPr>
            </w:pPr>
            <w:r>
              <w:rPr>
                <w:rFonts w:ascii="Arial" w:cs="Arial" w:eastAsia="Arial" w:hAnsi="Arial"/>
                <w:sz w:val="7"/>
                <w:szCs w:val="7"/>
                <w:color w:val="auto"/>
                <w:vertAlign w:val="subscript"/>
              </w:rPr>
              <w:t>​   ​</w:t>
            </w:r>
            <w:r>
              <w:rPr>
                <w:rFonts w:ascii="Arial" w:cs="Arial" w:eastAsia="Arial" w:hAnsi="Arial"/>
                <w:sz w:val="16"/>
                <w:szCs w:val="16"/>
                <w:color w:val="auto"/>
              </w:rPr>
              <w:t xml:space="preserve">           JOSEPH P. KUBAREK</w:t>
            </w:r>
          </w:p>
        </w:tc>
      </w:tr>
      <w:tr>
        <w:trPr>
          <w:trHeight w:val="211"/>
        </w:trPr>
        <w:tc>
          <w:tcPr>
            <w:tcW w:w="550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6"/>
                <w:szCs w:val="16"/>
                <w:i w:val="1"/>
                <w:iCs w:val="1"/>
                <w:color w:val="auto"/>
              </w:rPr>
              <w:t>Secretary</w:t>
            </w:r>
          </w:p>
        </w:tc>
      </w:tr>
      <w:tr>
        <w:trPr>
          <w:trHeight w:val="310"/>
        </w:trPr>
        <w:tc>
          <w:tcPr>
            <w:tcW w:w="5500" w:type="dxa"/>
            <w:vAlign w:val="bottom"/>
          </w:tcPr>
          <w:p>
            <w:pPr>
              <w:ind w:left="840"/>
              <w:spacing w:after="0"/>
              <w:rPr>
                <w:sz w:val="20"/>
                <w:szCs w:val="20"/>
                <w:color w:val="auto"/>
              </w:rPr>
            </w:pPr>
            <w:r>
              <w:rPr>
                <w:rFonts w:ascii="Arial" w:cs="Arial" w:eastAsia="Arial" w:hAnsi="Arial"/>
                <w:sz w:val="16"/>
                <w:szCs w:val="16"/>
                <w:color w:val="auto"/>
              </w:rPr>
              <w:t>June 30, 2023</w:t>
            </w:r>
          </w:p>
        </w:tc>
        <w:tc>
          <w:tcPr>
            <w:tcW w:w="5520" w:type="dxa"/>
            <w:vAlign w:val="bottom"/>
          </w:tcPr>
          <w:p>
            <w:pPr>
              <w:spacing w:after="0"/>
              <w:rPr>
                <w:sz w:val="24"/>
                <w:szCs w:val="24"/>
                <w:color w:val="auto"/>
              </w:rPr>
            </w:pPr>
          </w:p>
        </w:tc>
      </w:tr>
      <w:tr>
        <w:trPr>
          <w:trHeight w:val="416"/>
        </w:trPr>
        <w:tc>
          <w:tcPr>
            <w:tcW w:w="5500" w:type="dxa"/>
            <w:vAlign w:val="bottom"/>
          </w:tcPr>
          <w:p>
            <w:pPr>
              <w:spacing w:after="0"/>
              <w:rPr>
                <w:sz w:val="24"/>
                <w:szCs w:val="24"/>
                <w:color w:val="auto"/>
              </w:rPr>
            </w:pPr>
          </w:p>
        </w:tc>
        <w:tc>
          <w:tcPr>
            <w:tcW w:w="5520" w:type="dxa"/>
            <w:vAlign w:val="bottom"/>
          </w:tcPr>
          <w:p>
            <w:pPr>
              <w:ind w:left="700"/>
              <w:spacing w:after="0"/>
              <w:rPr>
                <w:sz w:val="20"/>
                <w:szCs w:val="20"/>
                <w:color w:val="auto"/>
              </w:rPr>
            </w:pPr>
            <w:r>
              <w:rPr>
                <w:rFonts w:ascii="Arial" w:cs="Arial" w:eastAsia="Arial" w:hAnsi="Arial"/>
                <w:sz w:val="13"/>
                <w:szCs w:val="13"/>
                <w:color w:val="auto"/>
              </w:rPr>
              <w:t xml:space="preserve">Allied Motion Technologies Inc. | Special Meeting Proxy Statement |  </w:t>
            </w:r>
            <w:r>
              <w:rPr>
                <w:rFonts w:ascii="Arial" w:cs="Arial" w:eastAsia="Arial" w:hAnsi="Arial"/>
                <w:sz w:val="13"/>
                <w:szCs w:val="13"/>
                <w:b w:val="1"/>
                <w:bCs w:val="1"/>
                <w:color w:val="auto"/>
              </w:rPr>
              <w:t>7</w:t>
            </w:r>
          </w:p>
        </w:tc>
      </w:tr>
      <w:tr>
        <w:trPr>
          <w:trHeight w:val="191"/>
        </w:trPr>
        <w:tc>
          <w:tcPr>
            <w:tcW w:w="550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-1490980</wp:posOffset>
            </wp:positionV>
            <wp:extent cx="1088390" cy="454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8390" cy="45466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125095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2023-06-30T06:04:34Z</dcterms:created>
  <dcterms:modified xsi:type="dcterms:W3CDTF">2023-06-30T06:04:34Z</dcterms:modified>
</cp:coreProperties>
</file>