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ind w:left="48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74" w:right="1440" w:bottom="68" w:gutter="0" w:footer="0" w:header="0"/>
        </w:sectPr>
      </w:pPr>
    </w:p>
    <w:p>
      <w:pPr>
        <w:spacing w:after="0" w:line="232"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Proxy Statement Pursuant to Section 14(a) of</w:t>
      </w:r>
    </w:p>
    <w:p>
      <w:pPr>
        <w:spacing w:after="0" w:line="45"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196" w:lineRule="exact"/>
        <w:rPr>
          <w:sz w:val="24"/>
          <w:szCs w:val="24"/>
          <w:color w:val="auto"/>
        </w:rPr>
      </w:pPr>
    </w:p>
    <w:p>
      <w:pPr>
        <w:sectPr>
          <w:pgSz w:w="11900" w:h="16838" w:orient="portrait"/>
          <w:cols w:equalWidth="0" w:num="2">
            <w:col w:w="7360" w:space="420"/>
            <w:col w:w="2439"/>
          </w:cols>
          <w:pgMar w:left="240" w:top="674" w:right="1440" w:bottom="68" w:gutter="0" w:footer="0" w:header="0"/>
          <w:type w:val="continuous"/>
        </w:sect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7" w:lineRule="exact"/>
        <w:rPr>
          <w:sz w:val="24"/>
          <w:szCs w:val="24"/>
          <w:color w:val="auto"/>
        </w:rPr>
      </w:pPr>
    </w:p>
    <w:p>
      <w:pPr>
        <w:ind w:left="1160"/>
        <w:spacing w:after="0"/>
        <w:rPr>
          <w:sz w:val="20"/>
          <w:szCs w:val="20"/>
          <w:color w:val="auto"/>
        </w:rPr>
      </w:pPr>
      <w:r>
        <w:rPr>
          <w:rFonts w:ascii="Arial" w:cs="Arial" w:eastAsia="Arial" w:hAnsi="Arial"/>
          <w:sz w:val="15"/>
          <w:szCs w:val="15"/>
          <w:color w:val="auto"/>
        </w:rPr>
        <w:t>Filed by a Party other than the Registrant o</w:t>
      </w:r>
    </w:p>
    <w:p>
      <w:pPr>
        <w:spacing w:after="0" w:line="251"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74" w:right="1440" w:bottom="68" w:gutter="0" w:footer="0" w:header="0"/>
          <w:type w:val="continuous"/>
        </w:sectPr>
      </w:pPr>
    </w:p>
    <w:p>
      <w:pPr>
        <w:spacing w:after="0" w:line="255"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51" w:lineRule="exact"/>
        <w:rPr>
          <w:sz w:val="24"/>
          <w:szCs w:val="24"/>
          <w:color w:val="auto"/>
        </w:rPr>
      </w:pPr>
    </w:p>
    <w:p>
      <w:pPr>
        <w:ind w:left="1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74" w:right="1440" w:bottom="68"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66"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360680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-3314065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-3019425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-2590800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-2296160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-715010</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68"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150495</wp:posOffset>
            </wp:positionV>
            <wp:extent cx="2472690" cy="336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2690"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ALLIED MOTION TECHNOLOGIES INC.</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23 Inverness Way East, Suite 150</w:t>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Englewood, Colorado 80112</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BE HELD ON MAY 10, 2012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of Allied Motion Technologies Inc.:</w:t>
      </w:r>
    </w:p>
    <w:p>
      <w:pPr>
        <w:spacing w:after="0" w:line="228" w:lineRule="exact"/>
        <w:rPr>
          <w:sz w:val="20"/>
          <w:szCs w:val="20"/>
          <w:color w:val="auto"/>
        </w:rPr>
      </w:pPr>
    </w:p>
    <w:p>
      <w:pPr>
        <w:ind w:right="20" w:firstLine="338"/>
        <w:spacing w:after="0" w:line="273" w:lineRule="auto"/>
        <w:rPr>
          <w:sz w:val="20"/>
          <w:szCs w:val="20"/>
          <w:color w:val="auto"/>
        </w:rPr>
      </w:pPr>
      <w:r>
        <w:rPr>
          <w:rFonts w:ascii="Arial" w:cs="Arial" w:eastAsia="Arial" w:hAnsi="Arial"/>
          <w:sz w:val="17"/>
          <w:szCs w:val="17"/>
          <w:color w:val="auto"/>
        </w:rPr>
        <w:t>You are hereby notified that the 2012 Annual Meeting of Shareholders of Allied Motion Technologies Inc. (the "Company") will be held on Thursday, May 10, 2012 at 2:00 p.m. (Mountain Time) at the Inverness Hotel and Conference Center, 200 Inverness Drive West, Englewood, CO 80112. At this meeting, the shareholders will be asked to act on the following matters:</w:t>
      </w:r>
    </w:p>
    <w:p>
      <w:pPr>
        <w:spacing w:after="0" w:line="194" w:lineRule="exact"/>
        <w:rPr>
          <w:sz w:val="20"/>
          <w:szCs w:val="20"/>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nine directors of the Company;</w:t>
      </w:r>
    </w:p>
    <w:p>
      <w:pPr>
        <w:spacing w:after="0" w:line="254" w:lineRule="exact"/>
        <w:rPr>
          <w:rFonts w:ascii="Arial" w:cs="Arial" w:eastAsia="Arial" w:hAnsi="Arial"/>
          <w:sz w:val="17"/>
          <w:szCs w:val="17"/>
          <w:color w:val="auto"/>
        </w:rPr>
      </w:pPr>
    </w:p>
    <w:p>
      <w:pPr>
        <w:ind w:left="1060" w:right="60" w:hanging="524"/>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the appointment of Ehrhardt Keefe Steiner &amp; Hottman PC ("EKS&amp;H") as the Company's independent registered public accounting firm for the 2012 fiscal year;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2012 Annual Meeting or any adjournment thereof.</w:t>
      </w:r>
    </w:p>
    <w:p>
      <w:pPr>
        <w:spacing w:after="0" w:line="228"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Only shareholders of record at the close of business on March 14, 2012 are entitled to notice of and to vote at the 2012 Annual Meeting and any adjournment thereof.</w:t>
      </w:r>
    </w:p>
    <w:p>
      <w:pPr>
        <w:spacing w:after="0" w:line="168"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The Board of Directors of the Company extends a cordial invitation to all shareholders to attend the 2012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1"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 xml:space="preserve">If your shares are held in street name and YOU do not vote your shares on Proposal One (Election of Directors), your broker or other nominee can no longer vote them for you and your shares will remain unvoted. </w:t>
      </w:r>
      <w:r>
        <w:rPr>
          <w:rFonts w:ascii="Arial" w:cs="Arial" w:eastAsia="Arial" w:hAnsi="Arial"/>
          <w:sz w:val="17"/>
          <w:szCs w:val="17"/>
          <w:b w:val="1"/>
          <w:bCs w:val="1"/>
          <w:color w:val="auto"/>
        </w:rPr>
        <w:t>THEREFORE, IT IS VERY IMPORTANT THAT YOU VOTE YOUR SHARES FOR ALL</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150495</wp:posOffset>
            </wp:positionV>
            <wp:extent cx="2371725" cy="361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7172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Susan M. Chiarmonte</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March 16, 2012</w:t>
      </w:r>
    </w:p>
    <w:p>
      <w:pPr>
        <w:spacing w:after="0" w:line="222"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b w:val="1"/>
          <w:bCs w:val="1"/>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313295" cy="450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295" cy="450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5360" w:type="dxa"/>
            <w:vAlign w:val="bottom"/>
            <w:gridSpan w:val="36"/>
            <w:vMerge w:val="restart"/>
          </w:tcPr>
          <w:p>
            <w:pPr>
              <w:spacing w:after="0"/>
              <w:rPr>
                <w:rFonts w:ascii="Arial" w:cs="Arial" w:eastAsia="Arial" w:hAnsi="Arial"/>
                <w:sz w:val="17"/>
                <w:szCs w:val="17"/>
                <w:b w:val="1"/>
                <w:bCs w:val="1"/>
                <w:color w:val="0000EE"/>
                <w:w w:val="98"/>
              </w:rPr>
            </w:pPr>
            <w:hyperlink w:anchor="page5">
              <w:r>
                <w:rPr>
                  <w:rFonts w:ascii="Arial" w:cs="Arial" w:eastAsia="Arial" w:hAnsi="Arial"/>
                  <w:sz w:val="17"/>
                  <w:szCs w:val="17"/>
                  <w:b w:val="1"/>
                  <w:bCs w:val="1"/>
                  <w:color w:val="0000EE"/>
                  <w:w w:val="98"/>
                </w:rPr>
                <w:t>QUESTIONS AND ANSWERS ABOUT THE 2012 ANNUAL MEETING</w:t>
              </w:r>
            </w:hyperlink>
          </w:p>
        </w:tc>
        <w:tc>
          <w:tcPr>
            <w:tcW w:w="3160" w:type="dxa"/>
            <w:vAlign w:val="bottom"/>
            <w:gridSpan w:val="3"/>
            <w:vMerge w:val="restart"/>
          </w:tcPr>
          <w:p>
            <w:pPr>
              <w:spacing w:after="0"/>
              <w:rPr>
                <w:sz w:val="13"/>
                <w:szCs w:val="13"/>
                <w:color w:val="auto"/>
              </w:rPr>
            </w:pPr>
          </w:p>
        </w:tc>
        <w:tc>
          <w:tcPr>
            <w:tcW w:w="46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5360" w:type="dxa"/>
            <w:vAlign w:val="bottom"/>
            <w:gridSpan w:val="36"/>
            <w:vMerge w:val="continue"/>
          </w:tcPr>
          <w:p>
            <w:pPr>
              <w:spacing w:after="0"/>
              <w:rPr>
                <w:sz w:val="14"/>
                <w:szCs w:val="14"/>
                <w:color w:val="auto"/>
              </w:rPr>
            </w:pPr>
          </w:p>
        </w:tc>
        <w:tc>
          <w:tcPr>
            <w:tcW w:w="3160" w:type="dxa"/>
            <w:vAlign w:val="bottom"/>
            <w:gridSpan w:val="3"/>
            <w:vMerge w:val="continue"/>
          </w:tcPr>
          <w:p>
            <w:pPr>
              <w:spacing w:after="0"/>
              <w:rPr>
                <w:sz w:val="14"/>
                <w:szCs w:val="14"/>
                <w:color w:val="auto"/>
              </w:rPr>
            </w:pPr>
          </w:p>
        </w:tc>
        <w:tc>
          <w:tcPr>
            <w:tcW w:w="440" w:type="dxa"/>
            <w:vAlign w:val="bottom"/>
            <w:tcBorders>
              <w:top w:val="single" w:sz="8" w:color="auto"/>
            </w:tcBorders>
            <w:gridSpan w:val="3"/>
          </w:tcPr>
          <w:p>
            <w:pPr>
              <w:jc w:val="right"/>
              <w:spacing w:after="0" w:line="166"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180" w:type="dxa"/>
            <w:vAlign w:val="bottom"/>
            <w:gridSpan w:val="11"/>
          </w:tcPr>
          <w:p>
            <w:pPr>
              <w:spacing w:after="0" w:line="192" w:lineRule="exact"/>
              <w:rPr>
                <w:rFonts w:ascii="Arial" w:cs="Arial" w:eastAsia="Arial" w:hAnsi="Arial"/>
                <w:sz w:val="17"/>
                <w:szCs w:val="17"/>
                <w:b w:val="1"/>
                <w:bCs w:val="1"/>
                <w:color w:val="0000EE"/>
                <w:w w:val="91"/>
              </w:rPr>
            </w:pPr>
            <w:hyperlink w:anchor="page5">
              <w:r>
                <w:rPr>
                  <w:rFonts w:ascii="Arial" w:cs="Arial" w:eastAsia="Arial" w:hAnsi="Arial"/>
                  <w:sz w:val="17"/>
                  <w:szCs w:val="17"/>
                  <w:b w:val="1"/>
                  <w:bCs w:val="1"/>
                  <w:color w:val="0000EE"/>
                  <w:w w:val="91"/>
                </w:rPr>
                <w:t>Why did I receive this proxy?</w:t>
              </w:r>
            </w:hyperlink>
          </w:p>
        </w:tc>
        <w:tc>
          <w:tcPr>
            <w:tcW w:w="3020" w:type="dxa"/>
            <w:vAlign w:val="bottom"/>
            <w:gridSpan w:val="24"/>
          </w:tcPr>
          <w:p>
            <w:pPr>
              <w:spacing w:after="0"/>
              <w:rPr>
                <w:sz w:val="16"/>
                <w:szCs w:val="16"/>
                <w:color w:val="auto"/>
              </w:rPr>
            </w:pPr>
          </w:p>
        </w:tc>
        <w:tc>
          <w:tcPr>
            <w:tcW w:w="3160" w:type="dxa"/>
            <w:vAlign w:val="bottom"/>
            <w:gridSpan w:val="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740" w:type="dxa"/>
            <w:vAlign w:val="bottom"/>
            <w:gridSpan w:val="6"/>
          </w:tcPr>
          <w:p>
            <w:pPr>
              <w:spacing w:after="0" w:line="192" w:lineRule="exact"/>
              <w:rPr>
                <w:rFonts w:ascii="Arial" w:cs="Arial" w:eastAsia="Arial" w:hAnsi="Arial"/>
                <w:sz w:val="17"/>
                <w:szCs w:val="17"/>
                <w:b w:val="1"/>
                <w:bCs w:val="1"/>
                <w:color w:val="0000EE"/>
                <w:w w:val="88"/>
              </w:rPr>
            </w:pPr>
            <w:hyperlink w:anchor="page5">
              <w:r>
                <w:rPr>
                  <w:rFonts w:ascii="Arial" w:cs="Arial" w:eastAsia="Arial" w:hAnsi="Arial"/>
                  <w:sz w:val="17"/>
                  <w:szCs w:val="17"/>
                  <w:b w:val="1"/>
                  <w:bCs w:val="1"/>
                  <w:color w:val="0000EE"/>
                  <w:w w:val="88"/>
                </w:rPr>
                <w:t>Who is entitled to vote?</w:t>
              </w:r>
            </w:hyperlink>
          </w:p>
        </w:tc>
        <w:tc>
          <w:tcPr>
            <w:tcW w:w="440" w:type="dxa"/>
            <w:vAlign w:val="bottom"/>
            <w:gridSpan w:val="5"/>
          </w:tcPr>
          <w:p>
            <w:pPr>
              <w:spacing w:after="0"/>
              <w:rPr>
                <w:sz w:val="16"/>
                <w:szCs w:val="16"/>
                <w:color w:val="auto"/>
              </w:rPr>
            </w:pPr>
          </w:p>
        </w:tc>
        <w:tc>
          <w:tcPr>
            <w:tcW w:w="6180" w:type="dxa"/>
            <w:vAlign w:val="bottom"/>
            <w:gridSpan w:val="27"/>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340" w:type="dxa"/>
            <w:vAlign w:val="bottom"/>
            <w:gridSpan w:val="24"/>
          </w:tcPr>
          <w:p>
            <w:pPr>
              <w:spacing w:after="0" w:line="192" w:lineRule="exact"/>
              <w:rPr>
                <w:rFonts w:ascii="Arial" w:cs="Arial" w:eastAsia="Arial" w:hAnsi="Arial"/>
                <w:sz w:val="17"/>
                <w:szCs w:val="17"/>
                <w:b w:val="1"/>
                <w:bCs w:val="1"/>
                <w:color w:val="0000EE"/>
                <w:w w:val="92"/>
              </w:rPr>
            </w:pPr>
            <w:hyperlink w:anchor="page5">
              <w:r>
                <w:rPr>
                  <w:rFonts w:ascii="Arial" w:cs="Arial" w:eastAsia="Arial" w:hAnsi="Arial"/>
                  <w:sz w:val="17"/>
                  <w:szCs w:val="17"/>
                  <w:b w:val="1"/>
                  <w:bCs w:val="1"/>
                  <w:color w:val="0000EE"/>
                  <w:w w:val="92"/>
                </w:rPr>
                <w:t>What is the quorum for the Annual Meeting?</w:t>
              </w:r>
            </w:hyperlink>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040" w:type="dxa"/>
            <w:vAlign w:val="bottom"/>
            <w:gridSpan w:val="9"/>
          </w:tcPr>
          <w:p>
            <w:pPr>
              <w:spacing w:after="0" w:line="192" w:lineRule="exact"/>
              <w:rPr>
                <w:rFonts w:ascii="Arial" w:cs="Arial" w:eastAsia="Arial" w:hAnsi="Arial"/>
                <w:sz w:val="17"/>
                <w:szCs w:val="17"/>
                <w:b w:val="1"/>
                <w:bCs w:val="1"/>
                <w:color w:val="0000EE"/>
                <w:w w:val="90"/>
              </w:rPr>
            </w:pPr>
            <w:hyperlink w:anchor="page5">
              <w:r>
                <w:rPr>
                  <w:rFonts w:ascii="Arial" w:cs="Arial" w:eastAsia="Arial" w:hAnsi="Arial"/>
                  <w:sz w:val="17"/>
                  <w:szCs w:val="17"/>
                  <w:b w:val="1"/>
                  <w:bCs w:val="1"/>
                  <w:color w:val="0000EE"/>
                  <w:w w:val="90"/>
                </w:rPr>
                <w:t>How many votes do I have?</w:t>
              </w:r>
            </w:hyperlink>
          </w:p>
        </w:tc>
        <w:tc>
          <w:tcPr>
            <w:tcW w:w="1300" w:type="dxa"/>
            <w:vAlign w:val="bottom"/>
            <w:gridSpan w:val="15"/>
          </w:tcPr>
          <w:p>
            <w:pPr>
              <w:spacing w:after="0"/>
              <w:rPr>
                <w:sz w:val="16"/>
                <w:szCs w:val="16"/>
                <w:color w:val="auto"/>
              </w:rPr>
            </w:pPr>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7960" w:type="dxa"/>
            <w:vAlign w:val="bottom"/>
            <w:gridSpan w:val="37"/>
          </w:tcPr>
          <w:p>
            <w:pPr>
              <w:spacing w:after="0" w:line="192" w:lineRule="exact"/>
              <w:rPr>
                <w:rFonts w:ascii="Arial" w:cs="Arial" w:eastAsia="Arial" w:hAnsi="Arial"/>
                <w:sz w:val="17"/>
                <w:szCs w:val="17"/>
                <w:b w:val="1"/>
                <w:bCs w:val="1"/>
                <w:color w:val="0000EE"/>
                <w:w w:val="90"/>
              </w:rPr>
            </w:pPr>
            <w:hyperlink w:anchor="page5">
              <w:r>
                <w:rPr>
                  <w:rFonts w:ascii="Arial" w:cs="Arial" w:eastAsia="Arial" w:hAnsi="Arial"/>
                  <w:sz w:val="17"/>
                  <w:szCs w:val="17"/>
                  <w:b w:val="1"/>
                  <w:bCs w:val="1"/>
                  <w:color w:val="0000EE"/>
                  <w:w w:val="90"/>
                </w:rPr>
                <w:t>What is the difference between a shareholder of record and a beneficial owner of shares held in street name?</w:t>
              </w:r>
            </w:hyperlink>
          </w:p>
        </w:tc>
        <w:tc>
          <w:tcPr>
            <w:tcW w:w="400" w:type="dxa"/>
            <w:vAlign w:val="bottom"/>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7960" w:type="dxa"/>
            <w:vAlign w:val="bottom"/>
            <w:gridSpan w:val="37"/>
          </w:tcPr>
          <w:p>
            <w:pPr>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If I am a shareholder of record of Common Stock, how do I vote?</w:t>
              </w:r>
            </w:hyperlink>
          </w:p>
        </w:tc>
        <w:tc>
          <w:tcPr>
            <w:tcW w:w="400" w:type="dxa"/>
            <w:vAlign w:val="bottom"/>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5200" w:type="dxa"/>
            <w:vAlign w:val="bottom"/>
            <w:gridSpan w:val="35"/>
          </w:tcPr>
          <w:p>
            <w:pPr>
              <w:spacing w:after="0" w:line="192" w:lineRule="exact"/>
              <w:rPr>
                <w:rFonts w:ascii="Arial" w:cs="Arial" w:eastAsia="Arial" w:hAnsi="Arial"/>
                <w:sz w:val="17"/>
                <w:szCs w:val="17"/>
                <w:b w:val="1"/>
                <w:bCs w:val="1"/>
                <w:color w:val="0000EE"/>
                <w:w w:val="90"/>
              </w:rPr>
            </w:pPr>
            <w:hyperlink w:anchor="page6">
              <w:r>
                <w:rPr>
                  <w:rFonts w:ascii="Arial" w:cs="Arial" w:eastAsia="Arial" w:hAnsi="Arial"/>
                  <w:sz w:val="17"/>
                  <w:szCs w:val="17"/>
                  <w:b w:val="1"/>
                  <w:bCs w:val="1"/>
                  <w:color w:val="0000EE"/>
                  <w:w w:val="90"/>
                </w:rPr>
                <w:t>If I am a beneficial owner of shares held in street name, how do I vote?</w:t>
              </w:r>
            </w:hyperlink>
          </w:p>
        </w:tc>
        <w:tc>
          <w:tcPr>
            <w:tcW w:w="3160" w:type="dxa"/>
            <w:vAlign w:val="bottom"/>
            <w:gridSpan w:val="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620" w:type="dxa"/>
            <w:vAlign w:val="bottom"/>
            <w:gridSpan w:val="4"/>
          </w:tcPr>
          <w:p>
            <w:pPr>
              <w:spacing w:after="0" w:line="192" w:lineRule="exact"/>
              <w:rPr>
                <w:rFonts w:ascii="Arial" w:cs="Arial" w:eastAsia="Arial" w:hAnsi="Arial"/>
                <w:sz w:val="17"/>
                <w:szCs w:val="17"/>
                <w:b w:val="1"/>
                <w:bCs w:val="1"/>
                <w:color w:val="0000EE"/>
                <w:w w:val="93"/>
              </w:rPr>
            </w:pPr>
            <w:hyperlink w:anchor="page6">
              <w:r>
                <w:rPr>
                  <w:rFonts w:ascii="Arial" w:cs="Arial" w:eastAsia="Arial" w:hAnsi="Arial"/>
                  <w:sz w:val="17"/>
                  <w:szCs w:val="17"/>
                  <w:b w:val="1"/>
                  <w:bCs w:val="1"/>
                  <w:color w:val="0000EE"/>
                  <w:w w:val="93"/>
                </w:rPr>
                <w:t>What am I voting on?</w:t>
              </w:r>
            </w:hyperlink>
          </w:p>
        </w:tc>
        <w:tc>
          <w:tcPr>
            <w:tcW w:w="3580" w:type="dxa"/>
            <w:vAlign w:val="bottom"/>
            <w:gridSpan w:val="31"/>
          </w:tcPr>
          <w:p>
            <w:pPr>
              <w:spacing w:after="0"/>
              <w:rPr>
                <w:sz w:val="16"/>
                <w:szCs w:val="16"/>
                <w:color w:val="auto"/>
              </w:rPr>
            </w:pPr>
          </w:p>
        </w:tc>
        <w:tc>
          <w:tcPr>
            <w:tcW w:w="3160" w:type="dxa"/>
            <w:vAlign w:val="bottom"/>
            <w:gridSpan w:val="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140" w:type="dxa"/>
            <w:vAlign w:val="bottom"/>
            <w:gridSpan w:val="29"/>
          </w:tcPr>
          <w:p>
            <w:pPr>
              <w:spacing w:after="0" w:line="192" w:lineRule="exact"/>
              <w:rPr>
                <w:rFonts w:ascii="Arial" w:cs="Arial" w:eastAsia="Arial" w:hAnsi="Arial"/>
                <w:sz w:val="17"/>
                <w:szCs w:val="17"/>
                <w:b w:val="1"/>
                <w:bCs w:val="1"/>
                <w:color w:val="0000EE"/>
                <w:w w:val="88"/>
              </w:rPr>
            </w:pPr>
            <w:hyperlink w:anchor="page6">
              <w:r>
                <w:rPr>
                  <w:rFonts w:ascii="Arial" w:cs="Arial" w:eastAsia="Arial" w:hAnsi="Arial"/>
                  <w:sz w:val="17"/>
                  <w:szCs w:val="17"/>
                  <w:b w:val="1"/>
                  <w:bCs w:val="1"/>
                  <w:color w:val="0000EE"/>
                  <w:w w:val="88"/>
                </w:rPr>
                <w:t>Will there be any other items of business on the agenda?</w:t>
              </w:r>
            </w:hyperlink>
          </w:p>
        </w:tc>
        <w:tc>
          <w:tcPr>
            <w:tcW w:w="4220" w:type="dxa"/>
            <w:vAlign w:val="bottom"/>
            <w:gridSpan w:val="9"/>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7"/>
                <w:szCs w:val="17"/>
                <w:b w:val="1"/>
                <w:bCs w:val="1"/>
                <w:color w:val="0000EE"/>
                <w:w w:val="89"/>
              </w:rPr>
            </w:pPr>
            <w:hyperlink w:anchor="page6">
              <w:r>
                <w:rPr>
                  <w:rFonts w:ascii="Arial" w:cs="Arial" w:eastAsia="Arial" w:hAnsi="Arial"/>
                  <w:sz w:val="17"/>
                  <w:szCs w:val="17"/>
                  <w:b w:val="1"/>
                  <w:bCs w:val="1"/>
                  <w:color w:val="0000EE"/>
                  <w:w w:val="89"/>
                </w:rPr>
                <w:t>How many votes are required to act on the proposals?</w:t>
              </w:r>
            </w:hyperlink>
          </w:p>
        </w:tc>
        <w:tc>
          <w:tcPr>
            <w:tcW w:w="180" w:type="dxa"/>
            <w:vAlign w:val="bottom"/>
          </w:tcPr>
          <w:p>
            <w:pPr>
              <w:spacing w:after="0"/>
              <w:rPr>
                <w:sz w:val="16"/>
                <w:szCs w:val="16"/>
                <w:color w:val="auto"/>
              </w:rPr>
            </w:pPr>
          </w:p>
        </w:tc>
        <w:tc>
          <w:tcPr>
            <w:tcW w:w="4220" w:type="dxa"/>
            <w:vAlign w:val="bottom"/>
            <w:gridSpan w:val="9"/>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740" w:type="dxa"/>
            <w:vAlign w:val="bottom"/>
            <w:gridSpan w:val="6"/>
          </w:tcPr>
          <w:p>
            <w:pPr>
              <w:spacing w:after="0" w:line="192" w:lineRule="exact"/>
              <w:rPr>
                <w:rFonts w:ascii="Arial" w:cs="Arial" w:eastAsia="Arial" w:hAnsi="Arial"/>
                <w:sz w:val="17"/>
                <w:szCs w:val="17"/>
                <w:b w:val="1"/>
                <w:bCs w:val="1"/>
                <w:color w:val="0000EE"/>
                <w:w w:val="86"/>
              </w:rPr>
            </w:pPr>
            <w:hyperlink w:anchor="page6">
              <w:r>
                <w:rPr>
                  <w:rFonts w:ascii="Arial" w:cs="Arial" w:eastAsia="Arial" w:hAnsi="Arial"/>
                  <w:sz w:val="17"/>
                  <w:szCs w:val="17"/>
                  <w:b w:val="1"/>
                  <w:bCs w:val="1"/>
                  <w:color w:val="0000EE"/>
                  <w:w w:val="86"/>
                </w:rPr>
                <w:t>How are votes counted?</w:t>
              </w:r>
            </w:hyperlink>
          </w:p>
        </w:tc>
        <w:tc>
          <w:tcPr>
            <w:tcW w:w="2220" w:type="dxa"/>
            <w:vAlign w:val="bottom"/>
            <w:gridSpan w:val="22"/>
          </w:tcPr>
          <w:p>
            <w:pPr>
              <w:spacing w:after="0"/>
              <w:rPr>
                <w:sz w:val="16"/>
                <w:szCs w:val="16"/>
                <w:color w:val="auto"/>
              </w:rPr>
            </w:pPr>
          </w:p>
        </w:tc>
        <w:tc>
          <w:tcPr>
            <w:tcW w:w="4400" w:type="dxa"/>
            <w:vAlign w:val="bottom"/>
            <w:gridSpan w:val="10"/>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What happens if I return my proxy card without voting on all proposals?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840" w:type="dxa"/>
            <w:vAlign w:val="bottom"/>
            <w:gridSpan w:val="27"/>
          </w:tcPr>
          <w:p>
            <w:pPr>
              <w:spacing w:after="0" w:line="192" w:lineRule="exact"/>
              <w:rPr>
                <w:rFonts w:ascii="Arial" w:cs="Arial" w:eastAsia="Arial" w:hAnsi="Arial"/>
                <w:sz w:val="17"/>
                <w:szCs w:val="17"/>
                <w:b w:val="1"/>
                <w:bCs w:val="1"/>
                <w:color w:val="0000EE"/>
                <w:w w:val="92"/>
              </w:rPr>
            </w:pPr>
            <w:hyperlink w:anchor="page7">
              <w:r>
                <w:rPr>
                  <w:rFonts w:ascii="Arial" w:cs="Arial" w:eastAsia="Arial" w:hAnsi="Arial"/>
                  <w:sz w:val="17"/>
                  <w:szCs w:val="17"/>
                  <w:b w:val="1"/>
                  <w:bCs w:val="1"/>
                  <w:color w:val="0000EE"/>
                  <w:w w:val="92"/>
                </w:rPr>
                <w:t>Can I change my vote after I return my proxy card?</w:t>
              </w:r>
            </w:hyperlink>
          </w:p>
        </w:tc>
        <w:tc>
          <w:tcPr>
            <w:tcW w:w="1520" w:type="dxa"/>
            <w:vAlign w:val="bottom"/>
            <w:gridSpan w:val="9"/>
          </w:tcPr>
          <w:p>
            <w:pPr>
              <w:spacing w:after="0"/>
              <w:rPr>
                <w:sz w:val="16"/>
                <w:szCs w:val="16"/>
                <w:color w:val="auto"/>
              </w:rPr>
            </w:pPr>
          </w:p>
        </w:tc>
        <w:tc>
          <w:tcPr>
            <w:tcW w:w="3000" w:type="dxa"/>
            <w:vAlign w:val="bottom"/>
            <w:gridSpan w:val="2"/>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840" w:type="dxa"/>
            <w:vAlign w:val="bottom"/>
            <w:gridSpan w:val="27"/>
          </w:tcPr>
          <w:p>
            <w:pPr>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Will anyone contact me regarding this vote?</w:t>
              </w:r>
            </w:hyperlink>
          </w:p>
        </w:tc>
        <w:tc>
          <w:tcPr>
            <w:tcW w:w="4520" w:type="dxa"/>
            <w:vAlign w:val="bottom"/>
            <w:gridSpan w:val="11"/>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980" w:type="dxa"/>
            <w:vAlign w:val="bottom"/>
            <w:gridSpan w:val="20"/>
          </w:tcPr>
          <w:p>
            <w:pPr>
              <w:spacing w:after="0" w:line="192" w:lineRule="exact"/>
              <w:rPr>
                <w:rFonts w:ascii="Arial" w:cs="Arial" w:eastAsia="Arial" w:hAnsi="Arial"/>
                <w:sz w:val="17"/>
                <w:szCs w:val="17"/>
                <w:b w:val="1"/>
                <w:bCs w:val="1"/>
                <w:color w:val="0000EE"/>
                <w:w w:val="89"/>
              </w:rPr>
            </w:pPr>
            <w:hyperlink w:anchor="page7">
              <w:r>
                <w:rPr>
                  <w:rFonts w:ascii="Arial" w:cs="Arial" w:eastAsia="Arial" w:hAnsi="Arial"/>
                  <w:sz w:val="17"/>
                  <w:szCs w:val="17"/>
                  <w:b w:val="1"/>
                  <w:bCs w:val="1"/>
                  <w:color w:val="0000EE"/>
                  <w:w w:val="89"/>
                </w:rPr>
                <w:t>Who has paid for this proxy solicitation?</w:t>
              </w:r>
            </w:hyperlink>
          </w:p>
        </w:tc>
        <w:tc>
          <w:tcPr>
            <w:tcW w:w="260" w:type="dxa"/>
            <w:vAlign w:val="bottom"/>
            <w:gridSpan w:val="3"/>
          </w:tcPr>
          <w:p>
            <w:pPr>
              <w:spacing w:after="0"/>
              <w:rPr>
                <w:sz w:val="16"/>
                <w:szCs w:val="16"/>
                <w:color w:val="auto"/>
              </w:rPr>
            </w:pPr>
          </w:p>
        </w:tc>
        <w:tc>
          <w:tcPr>
            <w:tcW w:w="5120" w:type="dxa"/>
            <w:vAlign w:val="bottom"/>
            <w:gridSpan w:val="15"/>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140" w:type="dxa"/>
            <w:vAlign w:val="bottom"/>
            <w:gridSpan w:val="29"/>
          </w:tcPr>
          <w:p>
            <w:pPr>
              <w:spacing w:after="0" w:line="192" w:lineRule="exact"/>
              <w:rPr>
                <w:rFonts w:ascii="Arial" w:cs="Arial" w:eastAsia="Arial" w:hAnsi="Arial"/>
                <w:sz w:val="17"/>
                <w:szCs w:val="17"/>
                <w:b w:val="1"/>
                <w:bCs w:val="1"/>
                <w:color w:val="0000EE"/>
                <w:w w:val="90"/>
              </w:rPr>
            </w:pPr>
            <w:hyperlink w:anchor="page7">
              <w:r>
                <w:rPr>
                  <w:rFonts w:ascii="Arial" w:cs="Arial" w:eastAsia="Arial" w:hAnsi="Arial"/>
                  <w:sz w:val="17"/>
                  <w:szCs w:val="17"/>
                  <w:b w:val="1"/>
                  <w:bCs w:val="1"/>
                  <w:color w:val="0000EE"/>
                  <w:w w:val="90"/>
                </w:rPr>
                <w:t>May shareholders ask questions at the Annual Meeting?</w:t>
              </w:r>
            </w:hyperlink>
          </w:p>
        </w:tc>
        <w:tc>
          <w:tcPr>
            <w:tcW w:w="4220" w:type="dxa"/>
            <w:vAlign w:val="bottom"/>
            <w:gridSpan w:val="9"/>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5100" w:type="dxa"/>
            <w:vAlign w:val="bottom"/>
            <w:gridSpan w:val="34"/>
          </w:tcPr>
          <w:p>
            <w:pPr>
              <w:spacing w:after="0" w:line="192" w:lineRule="exact"/>
              <w:rPr>
                <w:rFonts w:ascii="Arial" w:cs="Arial" w:eastAsia="Arial" w:hAnsi="Arial"/>
                <w:sz w:val="17"/>
                <w:szCs w:val="17"/>
                <w:b w:val="1"/>
                <w:bCs w:val="1"/>
                <w:color w:val="0000EE"/>
                <w:w w:val="92"/>
              </w:rPr>
            </w:pPr>
            <w:hyperlink w:anchor="page7">
              <w:r>
                <w:rPr>
                  <w:rFonts w:ascii="Arial" w:cs="Arial" w:eastAsia="Arial" w:hAnsi="Arial"/>
                  <w:sz w:val="17"/>
                  <w:szCs w:val="17"/>
                  <w:b w:val="1"/>
                  <w:bCs w:val="1"/>
                  <w:color w:val="0000EE"/>
                  <w:w w:val="92"/>
                </w:rPr>
                <w:t>How can I obtain a copy of this year's Annual Report on Form 10-K?</w:t>
              </w:r>
            </w:hyperlink>
          </w:p>
        </w:tc>
        <w:tc>
          <w:tcPr>
            <w:tcW w:w="3260" w:type="dxa"/>
            <w:vAlign w:val="bottom"/>
            <w:gridSpan w:val="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240" w:type="dxa"/>
            <w:vAlign w:val="bottom"/>
            <w:gridSpan w:val="30"/>
          </w:tcPr>
          <w:p>
            <w:pPr>
              <w:spacing w:after="0" w:line="192" w:lineRule="exact"/>
              <w:rPr>
                <w:rFonts w:ascii="Arial" w:cs="Arial" w:eastAsia="Arial" w:hAnsi="Arial"/>
                <w:sz w:val="17"/>
                <w:szCs w:val="17"/>
                <w:b w:val="1"/>
                <w:bCs w:val="1"/>
                <w:color w:val="0000EE"/>
                <w:w w:val="91"/>
              </w:rPr>
            </w:pPr>
            <w:hyperlink w:anchor="page8">
              <w:r>
                <w:rPr>
                  <w:rFonts w:ascii="Arial" w:cs="Arial" w:eastAsia="Arial" w:hAnsi="Arial"/>
                  <w:sz w:val="17"/>
                  <w:szCs w:val="17"/>
                  <w:b w:val="1"/>
                  <w:bCs w:val="1"/>
                  <w:color w:val="0000EE"/>
                  <w:w w:val="91"/>
                </w:rPr>
                <w:t>What does it mean if I receive more than one proxy card?</w:t>
              </w:r>
            </w:hyperlink>
          </w:p>
        </w:tc>
        <w:tc>
          <w:tcPr>
            <w:tcW w:w="860" w:type="dxa"/>
            <w:vAlign w:val="bottom"/>
            <w:gridSpan w:val="4"/>
          </w:tcPr>
          <w:p>
            <w:pPr>
              <w:spacing w:after="0"/>
              <w:rPr>
                <w:sz w:val="16"/>
                <w:szCs w:val="16"/>
                <w:color w:val="auto"/>
              </w:rPr>
            </w:pPr>
          </w:p>
        </w:tc>
        <w:tc>
          <w:tcPr>
            <w:tcW w:w="3260" w:type="dxa"/>
            <w:vAlign w:val="bottom"/>
            <w:gridSpan w:val="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940" w:type="dxa"/>
            <w:vAlign w:val="bottom"/>
            <w:gridSpan w:val="19"/>
          </w:tcPr>
          <w:p>
            <w:pPr>
              <w:spacing w:after="0" w:line="192" w:lineRule="exact"/>
              <w:rPr>
                <w:rFonts w:ascii="Arial" w:cs="Arial" w:eastAsia="Arial" w:hAnsi="Arial"/>
                <w:sz w:val="17"/>
                <w:szCs w:val="17"/>
                <w:b w:val="1"/>
                <w:bCs w:val="1"/>
                <w:color w:val="0000EE"/>
                <w:w w:val="90"/>
              </w:rPr>
            </w:pPr>
            <w:hyperlink w:anchor="page8">
              <w:r>
                <w:rPr>
                  <w:rFonts w:ascii="Arial" w:cs="Arial" w:eastAsia="Arial" w:hAnsi="Arial"/>
                  <w:sz w:val="17"/>
                  <w:szCs w:val="17"/>
                  <w:b w:val="1"/>
                  <w:bCs w:val="1"/>
                  <w:color w:val="0000EE"/>
                  <w:w w:val="90"/>
                </w:rPr>
                <w:t>When was this proxy statement mailed?</w:t>
              </w:r>
            </w:hyperlink>
          </w:p>
        </w:tc>
        <w:tc>
          <w:tcPr>
            <w:tcW w:w="1300" w:type="dxa"/>
            <w:vAlign w:val="bottom"/>
            <w:gridSpan w:val="11"/>
          </w:tcPr>
          <w:p>
            <w:pPr>
              <w:spacing w:after="0"/>
              <w:rPr>
                <w:sz w:val="16"/>
                <w:szCs w:val="16"/>
                <w:color w:val="auto"/>
              </w:rPr>
            </w:pPr>
          </w:p>
        </w:tc>
        <w:tc>
          <w:tcPr>
            <w:tcW w:w="4120" w:type="dxa"/>
            <w:vAlign w:val="bottom"/>
            <w:gridSpan w:val="8"/>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Can I find additional information on the Company's website?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gridSpan w:val="26"/>
          </w:tcPr>
          <w:p>
            <w:pPr>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PROPOSAL ONE: ELECTION OF DIRECTORS</w:t>
              </w:r>
            </w:hyperlink>
          </w:p>
        </w:tc>
        <w:tc>
          <w:tcPr>
            <w:tcW w:w="4820" w:type="dxa"/>
            <w:vAlign w:val="bottom"/>
            <w:gridSpan w:val="1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560" w:type="dxa"/>
            <w:vAlign w:val="bottom"/>
            <w:gridSpan w:val="16"/>
          </w:tcPr>
          <w:p>
            <w:pPr>
              <w:spacing w:after="0" w:line="192" w:lineRule="exact"/>
              <w:rPr>
                <w:rFonts w:ascii="Arial" w:cs="Arial" w:eastAsia="Arial" w:hAnsi="Arial"/>
                <w:sz w:val="17"/>
                <w:szCs w:val="17"/>
                <w:b w:val="1"/>
                <w:bCs w:val="1"/>
                <w:color w:val="0000EE"/>
                <w:w w:val="89"/>
              </w:rPr>
            </w:pPr>
            <w:hyperlink w:anchor="page8">
              <w:r>
                <w:rPr>
                  <w:rFonts w:ascii="Arial" w:cs="Arial" w:eastAsia="Arial" w:hAnsi="Arial"/>
                  <w:sz w:val="17"/>
                  <w:szCs w:val="17"/>
                  <w:b w:val="1"/>
                  <w:bCs w:val="1"/>
                  <w:color w:val="0000EE"/>
                  <w:w w:val="89"/>
                </w:rPr>
                <w:t>Nominees for Election as Directors</w:t>
              </w:r>
            </w:hyperlink>
          </w:p>
        </w:tc>
        <w:tc>
          <w:tcPr>
            <w:tcW w:w="980" w:type="dxa"/>
            <w:vAlign w:val="bottom"/>
            <w:gridSpan w:val="9"/>
          </w:tcPr>
          <w:p>
            <w:pPr>
              <w:spacing w:after="0"/>
              <w:rPr>
                <w:sz w:val="16"/>
                <w:szCs w:val="16"/>
                <w:color w:val="auto"/>
              </w:rPr>
            </w:pPr>
          </w:p>
        </w:tc>
        <w:tc>
          <w:tcPr>
            <w:tcW w:w="4820" w:type="dxa"/>
            <w:vAlign w:val="bottom"/>
            <w:gridSpan w:val="1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560" w:type="dxa"/>
            <w:vAlign w:val="bottom"/>
            <w:gridSpan w:val="16"/>
          </w:tcPr>
          <w:p>
            <w:pPr>
              <w:spacing w:after="0" w:line="192"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Nominating Procedures</w:t>
              </w:r>
            </w:hyperlink>
          </w:p>
        </w:tc>
        <w:tc>
          <w:tcPr>
            <w:tcW w:w="5800" w:type="dxa"/>
            <w:vAlign w:val="bottom"/>
            <w:gridSpan w:val="22"/>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Board Leadership Structure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080" w:type="dxa"/>
            <w:vAlign w:val="bottom"/>
            <w:gridSpan w:val="10"/>
          </w:tcPr>
          <w:p>
            <w:pPr>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Independent Directors</w:t>
              </w:r>
            </w:hyperlink>
          </w:p>
        </w:tc>
        <w:tc>
          <w:tcPr>
            <w:tcW w:w="6280" w:type="dxa"/>
            <w:vAlign w:val="bottom"/>
            <w:gridSpan w:val="28"/>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120" w:type="dxa"/>
            <w:vAlign w:val="bottom"/>
          </w:tcPr>
          <w:p>
            <w:pPr>
              <w:spacing w:after="0" w:line="192" w:lineRule="exact"/>
              <w:rPr>
                <w:rFonts w:ascii="Arial" w:cs="Arial" w:eastAsia="Arial" w:hAnsi="Arial"/>
                <w:sz w:val="17"/>
                <w:szCs w:val="17"/>
                <w:b w:val="1"/>
                <w:bCs w:val="1"/>
                <w:color w:val="0000EE"/>
                <w:w w:val="91"/>
              </w:rPr>
            </w:pPr>
            <w:hyperlink w:anchor="page11">
              <w:r>
                <w:rPr>
                  <w:rFonts w:ascii="Arial" w:cs="Arial" w:eastAsia="Arial" w:hAnsi="Arial"/>
                  <w:sz w:val="17"/>
                  <w:szCs w:val="17"/>
                  <w:b w:val="1"/>
                  <w:bCs w:val="1"/>
                  <w:color w:val="0000EE"/>
                  <w:w w:val="91"/>
                </w:rPr>
                <w:t>Risk Oversight</w:t>
              </w:r>
            </w:hyperlink>
          </w:p>
        </w:tc>
        <w:tc>
          <w:tcPr>
            <w:tcW w:w="540" w:type="dxa"/>
            <w:vAlign w:val="bottom"/>
            <w:gridSpan w:val="4"/>
          </w:tcPr>
          <w:p>
            <w:pPr>
              <w:spacing w:after="0"/>
              <w:rPr>
                <w:sz w:val="16"/>
                <w:szCs w:val="16"/>
                <w:color w:val="auto"/>
              </w:rPr>
            </w:pPr>
          </w:p>
        </w:tc>
        <w:tc>
          <w:tcPr>
            <w:tcW w:w="6700" w:type="dxa"/>
            <w:vAlign w:val="bottom"/>
            <w:gridSpan w:val="3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Director Stock Ownership Policy</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gridSpan w:val="39"/>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BOARD COMMITTEES AND MEETINGS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80" w:type="dxa"/>
            <w:vAlign w:val="bottom"/>
            <w:gridSpan w:val="21"/>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Audit Committee</w:t>
              </w:r>
            </w:hyperlink>
          </w:p>
        </w:tc>
        <w:tc>
          <w:tcPr>
            <w:tcW w:w="5280" w:type="dxa"/>
            <w:vAlign w:val="bottom"/>
            <w:gridSpan w:val="17"/>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Compensation Committee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Governance and Nominating Committee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60" w:type="dxa"/>
            <w:vAlign w:val="bottom"/>
            <w:gridSpan w:val="12"/>
          </w:tcPr>
          <w:p>
            <w:pPr>
              <w:spacing w:after="0" w:line="192" w:lineRule="exact"/>
              <w:rPr>
                <w:rFonts w:ascii="Arial" w:cs="Arial" w:eastAsia="Arial" w:hAnsi="Arial"/>
                <w:sz w:val="17"/>
                <w:szCs w:val="17"/>
                <w:b w:val="1"/>
                <w:bCs w:val="1"/>
                <w:color w:val="0000EE"/>
                <w:w w:val="91"/>
              </w:rPr>
            </w:pPr>
            <w:hyperlink w:anchor="page12">
              <w:r>
                <w:rPr>
                  <w:rFonts w:ascii="Arial" w:cs="Arial" w:eastAsia="Arial" w:hAnsi="Arial"/>
                  <w:sz w:val="17"/>
                  <w:szCs w:val="17"/>
                  <w:b w:val="1"/>
                  <w:bCs w:val="1"/>
                  <w:color w:val="0000EE"/>
                  <w:w w:val="91"/>
                </w:rPr>
                <w:t>Board Attendance at Meetings</w:t>
              </w:r>
            </w:hyperlink>
          </w:p>
        </w:tc>
        <w:tc>
          <w:tcPr>
            <w:tcW w:w="720" w:type="dxa"/>
            <w:vAlign w:val="bottom"/>
            <w:gridSpan w:val="8"/>
          </w:tcPr>
          <w:p>
            <w:pPr>
              <w:spacing w:after="0"/>
              <w:rPr>
                <w:sz w:val="16"/>
                <w:szCs w:val="16"/>
                <w:color w:val="auto"/>
              </w:rPr>
            </w:pPr>
          </w:p>
        </w:tc>
        <w:tc>
          <w:tcPr>
            <w:tcW w:w="5380" w:type="dxa"/>
            <w:vAlign w:val="bottom"/>
            <w:gridSpan w:val="18"/>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340" w:type="dxa"/>
            <w:vAlign w:val="bottom"/>
            <w:gridSpan w:val="24"/>
          </w:tcPr>
          <w:p>
            <w:pPr>
              <w:spacing w:after="0" w:line="192" w:lineRule="exact"/>
              <w:rPr>
                <w:rFonts w:ascii="Arial" w:cs="Arial" w:eastAsia="Arial" w:hAnsi="Arial"/>
                <w:sz w:val="17"/>
                <w:szCs w:val="17"/>
                <w:b w:val="1"/>
                <w:bCs w:val="1"/>
                <w:color w:val="0000EE"/>
                <w:w w:val="92"/>
              </w:rPr>
            </w:pPr>
            <w:hyperlink w:anchor="page13">
              <w:r>
                <w:rPr>
                  <w:rFonts w:ascii="Arial" w:cs="Arial" w:eastAsia="Arial" w:hAnsi="Arial"/>
                  <w:sz w:val="17"/>
                  <w:szCs w:val="17"/>
                  <w:b w:val="1"/>
                  <w:bCs w:val="1"/>
                  <w:color w:val="0000EE"/>
                  <w:w w:val="92"/>
                </w:rPr>
                <w:t>Shareholder Communication With the Board</w:t>
              </w:r>
            </w:hyperlink>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340" w:type="dxa"/>
            <w:vAlign w:val="bottom"/>
            <w:gridSpan w:val="24"/>
          </w:tcPr>
          <w:p>
            <w:pPr>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Audit Committee Report</w:t>
              </w:r>
            </w:hyperlink>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80" w:type="dxa"/>
            <w:vAlign w:val="bottom"/>
            <w:tcBorders>
              <w:bottom w:val="single" w:sz="8" w:color="0000EE"/>
            </w:tcBorders>
            <w:gridSpan w:val="15"/>
          </w:tcPr>
          <w:p>
            <w:pPr>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EXECUTIVE COMPENSATION</w:t>
              </w:r>
            </w:hyperlink>
          </w:p>
        </w:tc>
        <w:tc>
          <w:tcPr>
            <w:tcW w:w="6040" w:type="dxa"/>
            <w:vAlign w:val="bottom"/>
            <w:gridSpan w:val="24"/>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4">
              <w:r>
                <w:rPr>
                  <w:rFonts w:ascii="Arial" w:cs="Arial" w:eastAsia="Arial" w:hAnsi="Arial"/>
                  <w:sz w:val="17"/>
                  <w:szCs w:val="17"/>
                  <w:b w:val="1"/>
                  <w:bCs w:val="1"/>
                  <w:color w:val="0000EE"/>
                  <w:w w:val="73"/>
                </w:rPr>
                <w:t>10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Executive Officers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10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660" w:type="dxa"/>
            <w:vAlign w:val="bottom"/>
            <w:gridSpan w:val="17"/>
          </w:tcPr>
          <w:p>
            <w:pPr>
              <w:spacing w:after="0" w:line="192" w:lineRule="exact"/>
              <w:rPr>
                <w:rFonts w:ascii="Arial" w:cs="Arial" w:eastAsia="Arial" w:hAnsi="Arial"/>
                <w:sz w:val="17"/>
                <w:szCs w:val="17"/>
                <w:b w:val="1"/>
                <w:bCs w:val="1"/>
                <w:color w:val="0000EE"/>
                <w:w w:val="90"/>
              </w:rPr>
            </w:pPr>
            <w:hyperlink w:anchor="page15">
              <w:r>
                <w:rPr>
                  <w:rFonts w:ascii="Arial" w:cs="Arial" w:eastAsia="Arial" w:hAnsi="Arial"/>
                  <w:sz w:val="17"/>
                  <w:szCs w:val="17"/>
                  <w:b w:val="1"/>
                  <w:bCs w:val="1"/>
                  <w:color w:val="0000EE"/>
                  <w:w w:val="90"/>
                </w:rPr>
                <w:t>Compensation of Executive Officers</w:t>
              </w:r>
            </w:hyperlink>
          </w:p>
        </w:tc>
        <w:tc>
          <w:tcPr>
            <w:tcW w:w="5700" w:type="dxa"/>
            <w:vAlign w:val="bottom"/>
            <w:gridSpan w:val="21"/>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860" w:type="dxa"/>
            <w:vAlign w:val="bottom"/>
            <w:tcBorders>
              <w:bottom w:val="single" w:sz="8" w:color="0000EE"/>
            </w:tcBorders>
            <w:gridSpan w:val="33"/>
          </w:tcPr>
          <w:p>
            <w:pPr>
              <w:spacing w:after="0" w:line="192" w:lineRule="exact"/>
              <w:rPr>
                <w:rFonts w:ascii="Arial" w:cs="Arial" w:eastAsia="Arial" w:hAnsi="Arial"/>
                <w:sz w:val="17"/>
                <w:szCs w:val="17"/>
                <w:b w:val="1"/>
                <w:bCs w:val="1"/>
                <w:color w:val="0000EE"/>
                <w:w w:val="92"/>
              </w:rPr>
            </w:pPr>
            <w:hyperlink w:anchor="page16">
              <w:r>
                <w:rPr>
                  <w:rFonts w:ascii="Arial" w:cs="Arial" w:eastAsia="Arial" w:hAnsi="Arial"/>
                  <w:sz w:val="17"/>
                  <w:szCs w:val="17"/>
                  <w:b w:val="1"/>
                  <w:bCs w:val="1"/>
                  <w:color w:val="0000EE"/>
                  <w:w w:val="92"/>
                </w:rPr>
                <w:t>Employment Agreements With Certain Named Executive Officers</w:t>
              </w:r>
            </w:hyperlink>
          </w:p>
        </w:tc>
        <w:tc>
          <w:tcPr>
            <w:tcW w:w="3500" w:type="dxa"/>
            <w:vAlign w:val="bottom"/>
            <w:gridSpan w:val="5"/>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6">
              <w:r>
                <w:rPr>
                  <w:rFonts w:ascii="Arial" w:cs="Arial" w:eastAsia="Arial" w:hAnsi="Arial"/>
                  <w:sz w:val="17"/>
                  <w:szCs w:val="17"/>
                  <w:b w:val="1"/>
                  <w:bCs w:val="1"/>
                  <w:color w:val="0000EE"/>
                  <w:w w:val="73"/>
                </w:rPr>
                <w:t>12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Consulting Agreement</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14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11"/>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300" w:type="dxa"/>
            <w:vAlign w:val="bottom"/>
            <w:tcBorders>
              <w:bottom w:val="single" w:sz="8" w:color="0000EE"/>
            </w:tcBorders>
            <w:gridSpan w:val="13"/>
          </w:tcPr>
          <w:p>
            <w:pPr>
              <w:spacing w:after="0" w:line="192" w:lineRule="exact"/>
              <w:rPr>
                <w:rFonts w:ascii="Arial" w:cs="Arial" w:eastAsia="Arial" w:hAnsi="Arial"/>
                <w:sz w:val="17"/>
                <w:szCs w:val="17"/>
                <w:b w:val="1"/>
                <w:bCs w:val="1"/>
                <w:color w:val="0000EE"/>
                <w:w w:val="91"/>
              </w:rPr>
            </w:pPr>
            <w:hyperlink w:anchor="page18">
              <w:r>
                <w:rPr>
                  <w:rFonts w:ascii="Arial" w:cs="Arial" w:eastAsia="Arial" w:hAnsi="Arial"/>
                  <w:sz w:val="17"/>
                  <w:szCs w:val="17"/>
                  <w:b w:val="1"/>
                  <w:bCs w:val="1"/>
                  <w:color w:val="0000EE"/>
                  <w:w w:val="91"/>
                </w:rPr>
                <w:t>Change in Control Agreements</w:t>
              </w:r>
            </w:hyperlink>
          </w:p>
        </w:tc>
        <w:tc>
          <w:tcPr>
            <w:tcW w:w="6060" w:type="dxa"/>
            <w:vAlign w:val="bottom"/>
            <w:gridSpan w:val="25"/>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8">
              <w:r>
                <w:rPr>
                  <w:rFonts w:ascii="Arial" w:cs="Arial" w:eastAsia="Arial" w:hAnsi="Arial"/>
                  <w:sz w:val="17"/>
                  <w:szCs w:val="17"/>
                  <w:b w:val="1"/>
                  <w:bCs w:val="1"/>
                  <w:color w:val="0000EE"/>
                  <w:w w:val="73"/>
                </w:rPr>
                <w:t>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Outstanding Equity Awards at 2011 Fiscal Year End</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120" w:type="dxa"/>
            <w:vAlign w:val="bottom"/>
            <w:tcBorders>
              <w:top w:val="single" w:sz="8" w:color="0000EE"/>
              <w:bottom w:val="single" w:sz="8" w:color="0000EE"/>
            </w:tcBorders>
            <w:gridSpan w:val="22"/>
          </w:tcPr>
          <w:p>
            <w:pPr>
              <w:spacing w:after="0" w:line="192" w:lineRule="exact"/>
              <w:rPr>
                <w:rFonts w:ascii="Arial" w:cs="Arial" w:eastAsia="Arial" w:hAnsi="Arial"/>
                <w:sz w:val="17"/>
                <w:szCs w:val="17"/>
                <w:b w:val="1"/>
                <w:bCs w:val="1"/>
                <w:color w:val="0000EE"/>
                <w:w w:val="89"/>
              </w:rPr>
            </w:pPr>
            <w:hyperlink w:anchor="page19">
              <w:r>
                <w:rPr>
                  <w:rFonts w:ascii="Arial" w:cs="Arial" w:eastAsia="Arial" w:hAnsi="Arial"/>
                  <w:sz w:val="17"/>
                  <w:szCs w:val="17"/>
                  <w:b w:val="1"/>
                  <w:bCs w:val="1"/>
                  <w:color w:val="0000EE"/>
                  <w:w w:val="89"/>
                </w:rPr>
                <w:t>Option Exercises and Stock Vested in 2011</w:t>
              </w:r>
            </w:hyperlink>
          </w:p>
        </w:tc>
        <w:tc>
          <w:tcPr>
            <w:tcW w:w="720" w:type="dxa"/>
            <w:vAlign w:val="bottom"/>
            <w:tcBorders>
              <w:top w:val="single" w:sz="8" w:color="0000EE"/>
            </w:tcBorders>
            <w:gridSpan w:val="5"/>
          </w:tcPr>
          <w:p>
            <w:pPr>
              <w:spacing w:after="0"/>
              <w:rPr>
                <w:sz w:val="16"/>
                <w:szCs w:val="16"/>
                <w:color w:val="auto"/>
              </w:rPr>
            </w:pPr>
          </w:p>
        </w:tc>
        <w:tc>
          <w:tcPr>
            <w:tcW w:w="4520" w:type="dxa"/>
            <w:vAlign w:val="bottom"/>
            <w:gridSpan w:val="11"/>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9">
              <w:r>
                <w:rPr>
                  <w:rFonts w:ascii="Arial" w:cs="Arial" w:eastAsia="Arial" w:hAnsi="Arial"/>
                  <w:sz w:val="17"/>
                  <w:szCs w:val="17"/>
                  <w:b w:val="1"/>
                  <w:bCs w:val="1"/>
                  <w:color w:val="0000EE"/>
                  <w:w w:val="73"/>
                </w:rPr>
                <w:t>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420" w:type="dxa"/>
            <w:vAlign w:val="bottom"/>
            <w:tcBorders>
              <w:bottom w:val="single" w:sz="8" w:color="0000EE"/>
            </w:tcBorders>
            <w:gridSpan w:val="15"/>
          </w:tcPr>
          <w:p>
            <w:pPr>
              <w:spacing w:after="0" w:line="192" w:lineRule="exact"/>
              <w:rPr>
                <w:rFonts w:ascii="Arial" w:cs="Arial" w:eastAsia="Arial" w:hAnsi="Arial"/>
                <w:sz w:val="17"/>
                <w:szCs w:val="17"/>
                <w:b w:val="1"/>
                <w:bCs w:val="1"/>
                <w:color w:val="0000EE"/>
                <w:w w:val="92"/>
              </w:rPr>
            </w:pPr>
            <w:hyperlink w:anchor="page19">
              <w:r>
                <w:rPr>
                  <w:rFonts w:ascii="Arial" w:cs="Arial" w:eastAsia="Arial" w:hAnsi="Arial"/>
                  <w:sz w:val="17"/>
                  <w:szCs w:val="17"/>
                  <w:b w:val="1"/>
                  <w:bCs w:val="1"/>
                  <w:color w:val="0000EE"/>
                  <w:w w:val="92"/>
                </w:rPr>
                <w:t>Director Compensation for 2011</w:t>
              </w:r>
            </w:hyperlink>
          </w:p>
        </w:tc>
        <w:tc>
          <w:tcPr>
            <w:tcW w:w="5940" w:type="dxa"/>
            <w:vAlign w:val="bottom"/>
            <w:gridSpan w:val="23"/>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9">
              <w:r>
                <w:rPr>
                  <w:rFonts w:ascii="Arial" w:cs="Arial" w:eastAsia="Arial" w:hAnsi="Arial"/>
                  <w:sz w:val="17"/>
                  <w:szCs w:val="17"/>
                  <w:b w:val="1"/>
                  <w:bCs w:val="1"/>
                  <w:color w:val="0000EE"/>
                  <w:w w:val="73"/>
                </w:rPr>
                <w:t>15</w:t>
              </w:r>
            </w:hyperlink>
          </w:p>
        </w:tc>
        <w:tc>
          <w:tcPr>
            <w:tcW w:w="0" w:type="dxa"/>
            <w:vAlign w:val="bottom"/>
          </w:tcPr>
          <w:p>
            <w:pPr>
              <w:spacing w:after="0"/>
              <w:rPr>
                <w:sz w:val="1"/>
                <w:szCs w:val="1"/>
                <w:color w:val="auto"/>
              </w:rPr>
            </w:pPr>
          </w:p>
        </w:tc>
      </w:tr>
      <w:tr>
        <w:trPr>
          <w:trHeight w:val="192"/>
        </w:trPr>
        <w:tc>
          <w:tcPr>
            <w:tcW w:w="2920" w:type="dxa"/>
            <w:vAlign w:val="bottom"/>
            <w:tcBorders>
              <w:bottom w:val="single" w:sz="8" w:color="0000EE"/>
            </w:tcBorders>
            <w:gridSpan w:val="19"/>
          </w:tcPr>
          <w:p>
            <w:pPr>
              <w:spacing w:after="0" w:line="192"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OWNERSHIP OF COMPANY STOCK</w:t>
              </w:r>
            </w:hyperlink>
          </w:p>
        </w:tc>
        <w:tc>
          <w:tcPr>
            <w:tcW w:w="5600" w:type="dxa"/>
            <w:vAlign w:val="bottom"/>
            <w:gridSpan w:val="20"/>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21">
              <w:r>
                <w:rPr>
                  <w:rFonts w:ascii="Arial" w:cs="Arial" w:eastAsia="Arial" w:hAnsi="Arial"/>
                  <w:sz w:val="17"/>
                  <w:szCs w:val="17"/>
                  <w:b w:val="1"/>
                  <w:bCs w:val="1"/>
                  <w:color w:val="0000EE"/>
                  <w:w w:val="73"/>
                </w:rPr>
                <w:t>17</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720" w:type="dxa"/>
            <w:vAlign w:val="bottom"/>
            <w:tcBorders>
              <w:bottom w:val="single" w:sz="8" w:color="0000EE"/>
            </w:tcBorders>
            <w:gridSpan w:val="26"/>
          </w:tcPr>
          <w:p>
            <w:pPr>
              <w:spacing w:after="0" w:line="192" w:lineRule="exact"/>
              <w:rPr>
                <w:rFonts w:ascii="Arial" w:cs="Arial" w:eastAsia="Arial" w:hAnsi="Arial"/>
                <w:sz w:val="17"/>
                <w:szCs w:val="17"/>
                <w:b w:val="1"/>
                <w:bCs w:val="1"/>
                <w:color w:val="0000EE"/>
                <w:w w:val="92"/>
              </w:rPr>
            </w:pPr>
            <w:hyperlink w:anchor="page21">
              <w:r>
                <w:rPr>
                  <w:rFonts w:ascii="Arial" w:cs="Arial" w:eastAsia="Arial" w:hAnsi="Arial"/>
                  <w:sz w:val="17"/>
                  <w:szCs w:val="17"/>
                  <w:b w:val="1"/>
                  <w:bCs w:val="1"/>
                  <w:color w:val="0000EE"/>
                  <w:w w:val="92"/>
                </w:rPr>
                <w:t>Security Ownership of Certain Beneficial Owners</w:t>
              </w:r>
            </w:hyperlink>
          </w:p>
        </w:tc>
        <w:tc>
          <w:tcPr>
            <w:tcW w:w="4640" w:type="dxa"/>
            <w:vAlign w:val="bottom"/>
            <w:gridSpan w:val="12"/>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21">
              <w:r>
                <w:rPr>
                  <w:rFonts w:ascii="Arial" w:cs="Arial" w:eastAsia="Arial" w:hAnsi="Arial"/>
                  <w:sz w:val="17"/>
                  <w:szCs w:val="17"/>
                  <w:b w:val="1"/>
                  <w:bCs w:val="1"/>
                  <w:color w:val="0000EE"/>
                  <w:w w:val="73"/>
                </w:rPr>
                <w:t>17</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8"/>
          </w:tcPr>
          <w:p>
            <w:pPr>
              <w:spacing w:after="0" w:line="192"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Security Ownership of Management and Directors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4300" w:type="dxa"/>
            <w:vAlign w:val="bottom"/>
            <w:gridSpan w:val="5"/>
            <w:vMerge w:val="restart"/>
          </w:tcPr>
          <w:p>
            <w:pPr>
              <w:spacing w:after="0"/>
              <w:rPr>
                <w:rFonts w:ascii="Arial" w:cs="Arial" w:eastAsia="Arial" w:hAnsi="Arial"/>
                <w:sz w:val="17"/>
                <w:szCs w:val="17"/>
                <w:b w:val="1"/>
                <w:bCs w:val="1"/>
                <w:color w:val="0000EE"/>
                <w:w w:val="91"/>
              </w:rPr>
            </w:pPr>
            <w:hyperlink w:anchor="page23">
              <w:r>
                <w:rPr>
                  <w:rFonts w:ascii="Arial" w:cs="Arial" w:eastAsia="Arial" w:hAnsi="Arial"/>
                  <w:sz w:val="17"/>
                  <w:szCs w:val="17"/>
                  <w:b w:val="1"/>
                  <w:bCs w:val="1"/>
                  <w:color w:val="0000EE"/>
                  <w:w w:val="91"/>
                </w:rPr>
                <w:t>Section 16(a) Beneficial Ownership Reporting Compliance</w:t>
              </w:r>
            </w:hyperlink>
          </w:p>
        </w:tc>
        <w:tc>
          <w:tcPr>
            <w:tcW w:w="4060" w:type="dxa"/>
            <w:vAlign w:val="bottom"/>
            <w:gridSpan w:val="4"/>
            <w:vMerge w:val="restart"/>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4300" w:type="dxa"/>
            <w:vAlign w:val="bottom"/>
            <w:tcBorders>
              <w:bottom w:val="single" w:sz="8" w:color="0000EE"/>
            </w:tcBorders>
            <w:gridSpan w:val="5"/>
            <w:vMerge w:val="continue"/>
          </w:tcPr>
          <w:p>
            <w:pPr>
              <w:spacing w:after="0"/>
              <w:rPr>
                <w:sz w:val="14"/>
                <w:szCs w:val="14"/>
                <w:color w:val="auto"/>
              </w:rPr>
            </w:pPr>
          </w:p>
        </w:tc>
        <w:tc>
          <w:tcPr>
            <w:tcW w:w="4060" w:type="dxa"/>
            <w:vAlign w:val="bottom"/>
            <w:gridSpan w:val="4"/>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0000EE"/>
            </w:tcBorders>
          </w:tcPr>
          <w:p>
            <w:pPr>
              <w:jc w:val="right"/>
              <w:spacing w:after="0" w:line="166" w:lineRule="exact"/>
              <w:rPr>
                <w:rFonts w:ascii="Arial" w:cs="Arial" w:eastAsia="Arial" w:hAnsi="Arial"/>
                <w:sz w:val="17"/>
                <w:szCs w:val="17"/>
                <w:b w:val="1"/>
                <w:bCs w:val="1"/>
                <w:color w:val="0000EE"/>
                <w:w w:val="84"/>
              </w:rPr>
            </w:pPr>
            <w:hyperlink w:anchor="page23">
              <w:r>
                <w:rPr>
                  <w:rFonts w:ascii="Arial" w:cs="Arial" w:eastAsia="Arial" w:hAnsi="Arial"/>
                  <w:sz w:val="17"/>
                  <w:szCs w:val="17"/>
                  <w:b w:val="1"/>
                  <w:bCs w:val="1"/>
                  <w:color w:val="0000EE"/>
                  <w:w w:val="84"/>
                </w:rPr>
                <w:t>19</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520" w:type="dxa"/>
            <w:vAlign w:val="bottom"/>
            <w:gridSpan w:val="10"/>
          </w:tcPr>
          <w:p>
            <w:pPr>
              <w:spacing w:after="0" w:line="192"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PROPOSAL TWO: RATIFICATION OF INDEPENDENT REGISTERED PUBLIC ACCOUNTING FIRM</w:t>
              </w:r>
            </w:hyperlink>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19</w:t>
              </w:r>
            </w:hyperlink>
          </w:p>
        </w:tc>
        <w:tc>
          <w:tcPr>
            <w:tcW w:w="0" w:type="dxa"/>
            <w:vAlign w:val="bottom"/>
          </w:tcPr>
          <w:p>
            <w:pPr>
              <w:spacing w:after="0"/>
              <w:rPr>
                <w:sz w:val="1"/>
                <w:szCs w:val="1"/>
                <w:color w:val="auto"/>
              </w:rPr>
            </w:pPr>
          </w:p>
        </w:tc>
      </w:tr>
      <w:tr>
        <w:trPr>
          <w:trHeight w:val="192"/>
        </w:trPr>
        <w:tc>
          <w:tcPr>
            <w:tcW w:w="150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OTHER MATTERS</w:t>
              </w:r>
            </w:hyperlink>
          </w:p>
        </w:tc>
        <w:tc>
          <w:tcPr>
            <w:tcW w:w="6440" w:type="dxa"/>
            <w:vAlign w:val="bottom"/>
            <w:tcBorders>
              <w:top w:val="single" w:sz="8" w:color="0000EE"/>
            </w:tcBorders>
            <w:gridSpan w:val="4"/>
          </w:tcPr>
          <w:p>
            <w:pPr>
              <w:spacing w:after="0"/>
              <w:rPr>
                <w:sz w:val="16"/>
                <w:szCs w:val="16"/>
                <w:color w:val="auto"/>
              </w:rPr>
            </w:pPr>
          </w:p>
        </w:tc>
        <w:tc>
          <w:tcPr>
            <w:tcW w:w="5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0000EE"/>
              <w:bottom w:val="single" w:sz="8" w:color="0000EE"/>
            </w:tcBorders>
            <w:gridSpan w:val="2"/>
          </w:tcPr>
          <w:p>
            <w:pPr>
              <w:jc w:val="right"/>
              <w:ind w:right="20"/>
              <w:spacing w:after="0" w:line="192" w:lineRule="exact"/>
              <w:rPr>
                <w:rFonts w:ascii="Arial" w:cs="Arial" w:eastAsia="Arial" w:hAnsi="Arial"/>
                <w:sz w:val="17"/>
                <w:szCs w:val="17"/>
                <w:b w:val="1"/>
                <w:bCs w:val="1"/>
                <w:color w:val="0000EE"/>
                <w:w w:val="84"/>
              </w:rPr>
            </w:pPr>
            <w:hyperlink w:anchor="page24">
              <w:r>
                <w:rPr>
                  <w:rFonts w:ascii="Arial" w:cs="Arial" w:eastAsia="Arial" w:hAnsi="Arial"/>
                  <w:sz w:val="17"/>
                  <w:szCs w:val="17"/>
                  <w:b w:val="1"/>
                  <w:bCs w:val="1"/>
                  <w:color w:val="0000EE"/>
                  <w:w w:val="84"/>
                </w:rPr>
                <w:t>20</w:t>
              </w:r>
            </w:hyperlink>
          </w:p>
        </w:tc>
        <w:tc>
          <w:tcPr>
            <w:tcW w:w="0" w:type="dxa"/>
            <w:vAlign w:val="bottom"/>
          </w:tcPr>
          <w:p>
            <w:pPr>
              <w:spacing w:after="0"/>
              <w:rPr>
                <w:sz w:val="1"/>
                <w:szCs w:val="1"/>
                <w:color w:val="auto"/>
              </w:rPr>
            </w:pPr>
          </w:p>
        </w:tc>
      </w:tr>
      <w:tr>
        <w:trPr>
          <w:trHeight w:val="192"/>
        </w:trPr>
        <w:tc>
          <w:tcPr>
            <w:tcW w:w="8520" w:type="dxa"/>
            <w:vAlign w:val="bottom"/>
            <w:gridSpan w:val="10"/>
          </w:tcPr>
          <w:p>
            <w:pPr>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SHAREHOLDER PROPOSALS FOR THE 2012 ANNUAL MEETING</w:t>
              </w:r>
            </w:hyperlink>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20</w:t>
              </w:r>
            </w:hyperlink>
          </w:p>
        </w:tc>
        <w:tc>
          <w:tcPr>
            <w:tcW w:w="0" w:type="dxa"/>
            <w:vAlign w:val="bottom"/>
          </w:tcPr>
          <w:p>
            <w:pPr>
              <w:spacing w:after="0"/>
              <w:rPr>
                <w:sz w:val="1"/>
                <w:szCs w:val="1"/>
                <w:color w:val="auto"/>
              </w:rPr>
            </w:pPr>
          </w:p>
        </w:tc>
      </w:tr>
      <w:tr>
        <w:trPr>
          <w:trHeight w:val="192"/>
        </w:trPr>
        <w:tc>
          <w:tcPr>
            <w:tcW w:w="160" w:type="dxa"/>
            <w:vAlign w:val="bottom"/>
            <w:tcBorders>
              <w:top w:val="single" w:sz="8" w:color="0000EE"/>
            </w:tcBorders>
          </w:tcPr>
          <w:p>
            <w:pPr>
              <w:spacing w:after="0"/>
              <w:rPr>
                <w:sz w:val="16"/>
                <w:szCs w:val="16"/>
                <w:color w:val="auto"/>
              </w:rPr>
            </w:pPr>
          </w:p>
        </w:tc>
        <w:tc>
          <w:tcPr>
            <w:tcW w:w="330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b w:val="1"/>
                <w:bCs w:val="1"/>
                <w:color w:val="0000EE"/>
                <w:w w:val="92"/>
              </w:rPr>
            </w:pPr>
            <w:hyperlink w:anchor="page24">
              <w:r>
                <w:rPr>
                  <w:rFonts w:ascii="Arial" w:cs="Arial" w:eastAsia="Arial" w:hAnsi="Arial"/>
                  <w:sz w:val="17"/>
                  <w:szCs w:val="17"/>
                  <w:b w:val="1"/>
                  <w:bCs w:val="1"/>
                  <w:color w:val="0000EE"/>
                  <w:w w:val="92"/>
                </w:rPr>
                <w:t>Proposals for the Company's Proxy Material</w:t>
              </w:r>
            </w:hyperlink>
          </w:p>
        </w:tc>
        <w:tc>
          <w:tcPr>
            <w:tcW w:w="1800" w:type="dxa"/>
            <w:vAlign w:val="bottom"/>
            <w:tcBorders>
              <w:top w:val="single" w:sz="8" w:color="0000EE"/>
            </w:tcBorders>
            <w:gridSpan w:val="2"/>
          </w:tcPr>
          <w:p>
            <w:pPr>
              <w:spacing w:after="0"/>
              <w:rPr>
                <w:sz w:val="16"/>
                <w:szCs w:val="16"/>
                <w:color w:val="auto"/>
              </w:rPr>
            </w:pPr>
          </w:p>
        </w:tc>
        <w:tc>
          <w:tcPr>
            <w:tcW w:w="326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0000EE"/>
              <w:bottom w:val="single" w:sz="8" w:color="0000EE"/>
            </w:tcBorders>
            <w:gridSpan w:val="2"/>
          </w:tcPr>
          <w:p>
            <w:pPr>
              <w:jc w:val="right"/>
              <w:ind w:right="20"/>
              <w:spacing w:after="0" w:line="192" w:lineRule="exact"/>
              <w:rPr>
                <w:rFonts w:ascii="Arial" w:cs="Arial" w:eastAsia="Arial" w:hAnsi="Arial"/>
                <w:sz w:val="17"/>
                <w:szCs w:val="17"/>
                <w:b w:val="1"/>
                <w:bCs w:val="1"/>
                <w:color w:val="0000EE"/>
                <w:w w:val="84"/>
              </w:rPr>
            </w:pPr>
            <w:hyperlink w:anchor="page24">
              <w:r>
                <w:rPr>
                  <w:rFonts w:ascii="Arial" w:cs="Arial" w:eastAsia="Arial" w:hAnsi="Arial"/>
                  <w:sz w:val="17"/>
                  <w:szCs w:val="17"/>
                  <w:b w:val="1"/>
                  <w:bCs w:val="1"/>
                  <w:color w:val="0000EE"/>
                  <w:w w:val="84"/>
                </w:rPr>
                <w:t>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9"/>
          </w:tcPr>
          <w:p>
            <w:pPr>
              <w:spacing w:after="0" w:line="192" w:lineRule="exact"/>
              <w:rPr>
                <w:rFonts w:ascii="Arial" w:cs="Arial" w:eastAsia="Arial" w:hAnsi="Arial"/>
                <w:sz w:val="17"/>
                <w:szCs w:val="17"/>
                <w:b w:val="1"/>
                <w:bCs w:val="1"/>
                <w:color w:val="0000EE"/>
                <w:w w:val="97"/>
              </w:rPr>
            </w:pPr>
            <w:hyperlink w:anchor="page25">
              <w:r>
                <w:rPr>
                  <w:rFonts w:ascii="Arial" w:cs="Arial" w:eastAsia="Arial" w:hAnsi="Arial"/>
                  <w:sz w:val="17"/>
                  <w:szCs w:val="17"/>
                  <w:b w:val="1"/>
                  <w:bCs w:val="1"/>
                  <w:color w:val="0000EE"/>
                  <w:w w:val="97"/>
                </w:rPr>
                <w:t>Proposals to be Introduced at the Annual Meeting but not Intended to be Included in the Company's Proxy</w:t>
              </w:r>
            </w:hyperlink>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680" w:type="dxa"/>
            <w:vAlign w:val="bottom"/>
            <w:tcBorders>
              <w:top w:val="single" w:sz="8" w:color="0000EE"/>
            </w:tcBorders>
            <w:gridSpan w:val="7"/>
          </w:tcPr>
          <w:p>
            <w:pPr>
              <w:spacing w:after="0" w:line="19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Material</w:t>
              </w:r>
            </w:hyperlink>
          </w:p>
        </w:tc>
        <w:tc>
          <w:tcPr>
            <w:tcW w:w="500" w:type="dxa"/>
            <w:vAlign w:val="bottom"/>
          </w:tcPr>
          <w:p>
            <w:pPr>
              <w:spacing w:after="0"/>
              <w:rPr>
                <w:sz w:val="16"/>
                <w:szCs w:val="16"/>
                <w:color w:val="auto"/>
              </w:rPr>
            </w:pPr>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150495</wp:posOffset>
            </wp:positionV>
            <wp:extent cx="2051685" cy="277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1685"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w:t>
      </w:r>
    </w:p>
    <w:p>
      <w:pPr>
        <w:spacing w:after="0" w:line="200" w:lineRule="exact"/>
        <w:rPr>
          <w:sz w:val="20"/>
          <w:szCs w:val="20"/>
          <w:color w:val="auto"/>
        </w:rPr>
      </w:pPr>
    </w:p>
    <w:p>
      <w:pPr>
        <w:spacing w:after="0" w:line="260"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QUESTIONS AND ANSWERS</w:t>
      </w:r>
    </w:p>
    <w:p>
      <w:pPr>
        <w:spacing w:after="0" w:line="2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ABOUT THE 2012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this proxy?</w:t>
      </w:r>
    </w:p>
    <w:p>
      <w:pPr>
        <w:spacing w:after="0" w:line="234" w:lineRule="exact"/>
        <w:rPr>
          <w:sz w:val="20"/>
          <w:szCs w:val="20"/>
          <w:color w:val="auto"/>
        </w:rPr>
      </w:pPr>
    </w:p>
    <w:p>
      <w:pPr>
        <w:ind w:right="20" w:firstLine="341"/>
        <w:spacing w:after="0" w:line="269" w:lineRule="auto"/>
        <w:rPr>
          <w:sz w:val="20"/>
          <w:szCs w:val="20"/>
          <w:color w:val="auto"/>
        </w:rPr>
      </w:pPr>
      <w:r>
        <w:rPr>
          <w:rFonts w:ascii="Arial" w:cs="Arial" w:eastAsia="Arial" w:hAnsi="Arial"/>
          <w:sz w:val="17"/>
          <w:szCs w:val="17"/>
          <w:color w:val="auto"/>
        </w:rPr>
        <w:t>The Board of Directors of Allied Motion Technologies Inc. (the "Company") is soliciting proxies to be voted at the Annual Meeting of Shareholders. The Annual Meeting will be held Thursday, May 10, 2012,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Wednesday, March 14, 2012 (the "Record Date") are entitled to vote at the Annual Meeting.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for the Annual Meeting?</w:t>
      </w:r>
    </w:p>
    <w:p>
      <w:pPr>
        <w:spacing w:after="0" w:line="234" w:lineRule="exact"/>
        <w:rPr>
          <w:sz w:val="20"/>
          <w:szCs w:val="20"/>
          <w:color w:val="auto"/>
        </w:rPr>
      </w:pPr>
    </w:p>
    <w:p>
      <w:pPr>
        <w:ind w:right="240" w:firstLine="335"/>
        <w:spacing w:after="0" w:line="290"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8,644,882 shares of Common Stock were issued and outstanding.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a shareholder of record and a beneficial owner of shares held in street name?</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 American Stock Transfer &amp; Trust Company, you</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the shareholder of record with respect to those shares.</w:t>
      </w:r>
    </w:p>
    <w:p>
      <w:pPr>
        <w:spacing w:after="0" w:line="168" w:lineRule="exact"/>
        <w:rPr>
          <w:sz w:val="20"/>
          <w:szCs w:val="20"/>
          <w:color w:val="auto"/>
        </w:rPr>
      </w:pPr>
    </w:p>
    <w:p>
      <w:pPr>
        <w:ind w:right="160" w:firstLine="344"/>
        <w:spacing w:after="0" w:line="326"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 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shareholder of record of Common Stock, how do I vote?</w:t>
      </w:r>
    </w:p>
    <w:p>
      <w:pPr>
        <w:spacing w:after="0" w:line="234"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how do I vote?</w:t>
      </w:r>
    </w:p>
    <w:p>
      <w:pPr>
        <w:spacing w:after="0" w:line="234"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83"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Two). Please ensure that you complete the voting instruction card sent by your bank or broker.</w:t>
      </w:r>
    </w:p>
    <w:p>
      <w:pPr>
        <w:spacing w:after="0" w:line="181" w:lineRule="exact"/>
        <w:rPr>
          <w:sz w:val="20"/>
          <w:szCs w:val="20"/>
          <w:color w:val="auto"/>
        </w:rPr>
      </w:pPr>
    </w:p>
    <w:p>
      <w:pPr>
        <w:jc w:val="both"/>
        <w:ind w:right="100" w:firstLine="344"/>
        <w:spacing w:after="0" w:line="273" w:lineRule="auto"/>
        <w:rPr>
          <w:sz w:val="20"/>
          <w:szCs w:val="20"/>
          <w:color w:val="auto"/>
        </w:rPr>
      </w:pPr>
      <w:r>
        <w:rPr>
          <w:rFonts w:ascii="Arial" w:cs="Arial" w:eastAsia="Arial" w:hAnsi="Arial"/>
          <w:sz w:val="17"/>
          <w:szCs w:val="17"/>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am I voting 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will be voting on the following proposals:</w:t>
      </w:r>
    </w:p>
    <w:p>
      <w:pPr>
        <w:spacing w:after="0" w:line="242" w:lineRule="exact"/>
        <w:rPr>
          <w:sz w:val="20"/>
          <w:szCs w:val="20"/>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One:  The election of nine Directors of the Company</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Two:  The ratification of EKS&amp;H as the Company's independent registered public accounting firm for the 2012 fiscal year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there be any other items of business on the agenda?</w:t>
      </w:r>
    </w:p>
    <w:p>
      <w:pPr>
        <w:spacing w:after="0" w:line="234" w:lineRule="exact"/>
        <w:rPr>
          <w:sz w:val="20"/>
          <w:szCs w:val="20"/>
          <w:color w:val="auto"/>
        </w:rPr>
      </w:pPr>
    </w:p>
    <w:p>
      <w:pPr>
        <w:ind w:right="220" w:firstLine="341"/>
        <w:spacing w:after="0" w:line="273"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required to act on the proposals?</w:t>
      </w:r>
    </w:p>
    <w:p>
      <w:pPr>
        <w:spacing w:after="0" w:line="234" w:lineRule="exact"/>
        <w:rPr>
          <w:sz w:val="20"/>
          <w:szCs w:val="20"/>
          <w:color w:val="auto"/>
        </w:rPr>
      </w:pPr>
    </w:p>
    <w:p>
      <w:pPr>
        <w:ind w:right="80" w:firstLine="341"/>
        <w:spacing w:after="0" w:line="287" w:lineRule="auto"/>
        <w:rPr>
          <w:sz w:val="20"/>
          <w:szCs w:val="20"/>
          <w:color w:val="auto"/>
        </w:rPr>
      </w:pPr>
      <w:r>
        <w:rPr>
          <w:rFonts w:ascii="Arial" w:cs="Arial" w:eastAsia="Arial" w:hAnsi="Arial"/>
          <w:sz w:val="17"/>
          <w:szCs w:val="17"/>
          <w:color w:val="auto"/>
        </w:rPr>
        <w:t>The holder of each outstanding share of Common Stock is entitled to one vote for each share of Common Stock on each matter submitted to a vote at a meeting of shareholders.</w:t>
      </w:r>
    </w:p>
    <w:p>
      <w:pPr>
        <w:spacing w:after="0" w:line="16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Pursuant to our Amended and Restated Articles of Incorporation and Bylaws, directors will be elected by the affirmative vote of the majority of the votes cast with respect to such director's election.</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Ratification of the appointment of EKS&amp;H as the Company's independent registered public accounting firm for the 2012 fiscal year requires the affirmative vote of a majority of the votes cast on the proposal.</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w:t>
      </w:r>
    </w:p>
    <w:p>
      <w:pPr>
        <w:spacing w:after="0" w:line="234"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return my proxy card without voting on all proposals?</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return my proxy card?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revoke your proxy and change your vote at any time prior to the voting thereof at the Annual Meeting. You can do this by:</w:t>
      </w:r>
    </w:p>
    <w:p>
      <w:pPr>
        <w:spacing w:after="0" w:line="242" w:lineRule="exact"/>
        <w:rPr>
          <w:sz w:val="20"/>
          <w:szCs w:val="20"/>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with the Secretary of the Company a written revocation or signing and submitting another proxy with a later date, or</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attending the Annual Meeting, withdrawing the proxy and voting in person.</w:t>
      </w:r>
    </w:p>
    <w:p>
      <w:pPr>
        <w:spacing w:after="0" w:line="228" w:lineRule="exact"/>
        <w:rPr>
          <w:sz w:val="20"/>
          <w:szCs w:val="20"/>
          <w:color w:val="auto"/>
        </w:rPr>
      </w:pPr>
    </w:p>
    <w:p>
      <w:pPr>
        <w:jc w:val="both"/>
        <w:ind w:right="220" w:firstLine="344"/>
        <w:spacing w:after="0" w:line="273" w:lineRule="auto"/>
        <w:rPr>
          <w:sz w:val="20"/>
          <w:szCs w:val="20"/>
          <w:color w:val="auto"/>
        </w:rPr>
      </w:pPr>
      <w:r>
        <w:rPr>
          <w:rFonts w:ascii="Arial" w:cs="Arial" w:eastAsia="Arial" w:hAnsi="Arial"/>
          <w:sz w:val="17"/>
          <w:szCs w:val="17"/>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anyone contact me regarding this vote?</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 King &amp; Co., Inc. to aid in the solicitation of proxies in person, by mail or telephone. The costs are not expected to exceed $7,000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has paid for this proxy solicitation?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paid the entire expense of this proxy statement and any additional materials furnished to shareholders.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shareholders ask questions at the Annual Meeting?</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obtain a copy of this year's Annual Report on Form 10-K?</w:t>
      </w:r>
    </w:p>
    <w:p>
      <w:pPr>
        <w:spacing w:after="0" w:line="234" w:lineRule="exact"/>
        <w:rPr>
          <w:sz w:val="20"/>
          <w:szCs w:val="20"/>
          <w:color w:val="auto"/>
        </w:rPr>
      </w:pPr>
    </w:p>
    <w:p>
      <w:pPr>
        <w:ind w:right="160" w:firstLine="335"/>
        <w:spacing w:after="0" w:line="287" w:lineRule="auto"/>
        <w:rPr>
          <w:sz w:val="20"/>
          <w:szCs w:val="20"/>
          <w:color w:val="auto"/>
        </w:rPr>
      </w:pPr>
      <w:r>
        <w:rPr>
          <w:rFonts w:ascii="Arial" w:cs="Arial" w:eastAsia="Arial" w:hAnsi="Arial"/>
          <w:sz w:val="16"/>
          <w:szCs w:val="16"/>
          <w:color w:val="auto"/>
        </w:rPr>
        <w:t>A copy of the Company's 2011 Annual Report to Shareholders, including financial statements for the fiscal year ended December 31, 2011,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 Suite 150, Englewood, Colorado 80112, Attention: Secretary or by accessing the "SEC Filings" section of the Company's website at www.alliedmotion.com. In addition, the Proxy Statement and Annual Report are available on the internet at https://materials.proxyvote.com/019330.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proxy card?</w:t>
      </w:r>
    </w:p>
    <w:p>
      <w:pPr>
        <w:spacing w:after="0" w:line="234"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 xml:space="preserve">It means that you have multiple accounts at the transfer agent or with stockbrokers. Please complete and return </w:t>
      </w:r>
      <w:r>
        <w:rPr>
          <w:rFonts w:ascii="Arial" w:cs="Arial" w:eastAsia="Arial" w:hAnsi="Arial"/>
          <w:sz w:val="17"/>
          <w:szCs w:val="17"/>
          <w:i w:val="1"/>
          <w:iCs w:val="1"/>
          <w:color w:val="auto"/>
        </w:rPr>
        <w:t>ALL</w:t>
      </w:r>
      <w:r>
        <w:rPr>
          <w:rFonts w:ascii="Arial" w:cs="Arial" w:eastAsia="Arial" w:hAnsi="Arial"/>
          <w:sz w:val="17"/>
          <w:szCs w:val="17"/>
          <w:color w:val="auto"/>
        </w:rPr>
        <w:t xml:space="preserve"> proxy cards to ensure that all your shares are voted.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was this proxy statement mailed?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March 20, 2012.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find additional information on the Company's website?</w:t>
      </w:r>
    </w:p>
    <w:p>
      <w:pPr>
        <w:spacing w:after="0" w:line="234" w:lineRule="exact"/>
        <w:rPr>
          <w:sz w:val="20"/>
          <w:szCs w:val="20"/>
          <w:color w:val="auto"/>
        </w:rPr>
      </w:pPr>
    </w:p>
    <w:p>
      <w:pPr>
        <w:ind w:right="220" w:firstLine="338"/>
        <w:spacing w:after="0" w:line="290"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ONE: ELECTION OF DIRECTORS</w:t>
      </w:r>
    </w:p>
    <w:p>
      <w:pPr>
        <w:spacing w:after="0" w:line="234"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1"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Our Board of Directors currently consists of Joseph W. Bagan, Richard D. Federico, S.R. (Rollie) Heath, Jr., Delwin D. Hock, Gerald J. (Bud) Laber, George J. Pilmanis, Michel M. Robert, Richard D. Smith and Richard S. Warzala. Based on the recommendation of our Governance and Nominating Committee, all incumbent directors have been nominated to succeed themselves as directors. The affirmative vote of a majority of the votes cast is required for the election of directors. Unless instructed otherwise, it is intended that the shares represented by proxy at the Annual Meeting will be voted in favor of the nine nominees named below. All nominees have agreed to serve if elected.</w:t>
      </w:r>
    </w:p>
    <w:p>
      <w:pPr>
        <w:spacing w:after="0" w:line="188" w:lineRule="exact"/>
        <w:rPr>
          <w:sz w:val="20"/>
          <w:szCs w:val="20"/>
          <w:color w:val="auto"/>
        </w:rPr>
      </w:pPr>
    </w:p>
    <w:p>
      <w:pPr>
        <w:ind w:right="80" w:firstLine="344"/>
        <w:spacing w:after="0" w:line="320"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9" w:lineRule="exact"/>
        <w:rPr>
          <w:sz w:val="20"/>
          <w:szCs w:val="20"/>
          <w:color w:val="auto"/>
        </w:rPr>
      </w:pPr>
    </w:p>
    <w:p>
      <w:pPr>
        <w:ind w:right="20" w:firstLine="344"/>
        <w:spacing w:after="0" w:line="294" w:lineRule="auto"/>
        <w:rPr>
          <w:sz w:val="20"/>
          <w:szCs w:val="20"/>
          <w:color w:val="auto"/>
        </w:rPr>
      </w:pPr>
      <w:r>
        <w:rPr>
          <w:rFonts w:ascii="Arial" w:cs="Arial" w:eastAsia="Arial" w:hAnsi="Arial"/>
          <w:sz w:val="17"/>
          <w:szCs w:val="17"/>
          <w:b w:val="1"/>
          <w:bCs w:val="1"/>
          <w:color w:val="auto"/>
        </w:rPr>
        <w:t>THE BOARD OF DIRECTORS UNANIMOUSLY RECOMMENDS THAT SHAREHOLDERS VOTE "FOR" THE ELECTION OF EACH OF THE NOMINEES.</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Election as Directors</w:t>
      </w:r>
    </w:p>
    <w:p>
      <w:pPr>
        <w:spacing w:after="0" w:line="234" w:lineRule="exact"/>
        <w:rPr>
          <w:sz w:val="20"/>
          <w:szCs w:val="20"/>
          <w:color w:val="auto"/>
        </w:rPr>
      </w:pPr>
    </w:p>
    <w:p>
      <w:pPr>
        <w:ind w:right="60" w:firstLine="341"/>
        <w:spacing w:after="0" w:line="269" w:lineRule="auto"/>
        <w:rPr>
          <w:sz w:val="20"/>
          <w:szCs w:val="20"/>
          <w:color w:val="auto"/>
        </w:rPr>
      </w:pPr>
      <w:r>
        <w:rPr>
          <w:rFonts w:ascii="Arial" w:cs="Arial" w:eastAsia="Arial" w:hAnsi="Arial"/>
          <w:sz w:val="17"/>
          <w:szCs w:val="17"/>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83"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b w:val="1"/>
          <w:bCs w:val="1"/>
          <w:i w:val="1"/>
          <w:iCs w:val="1"/>
          <w:color w:val="auto"/>
        </w:rPr>
        <w:t xml:space="preserve">Joseph W. Bagan, </w:t>
      </w:r>
      <w:r>
        <w:rPr>
          <w:rFonts w:ascii="Arial" w:cs="Arial" w:eastAsia="Arial" w:hAnsi="Arial"/>
          <w:sz w:val="17"/>
          <w:szCs w:val="17"/>
          <w:color w:val="auto"/>
        </w:rPr>
        <w:t>age 47—Mr. Bagan is a veteran strategist and business leader having worked in a number of executive leadership roles in both corporate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consulting environments. He has served as a director since February 2012. Since June 2007, he has been the Chairman of the Board of Sharklet Technologies, a Denver based bio-technology company, and was the Chief Executive Officer from 2007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60"/>
        <w:spacing w:after="0" w:line="290" w:lineRule="auto"/>
        <w:rPr>
          <w:sz w:val="20"/>
          <w:szCs w:val="20"/>
          <w:color w:val="auto"/>
        </w:rPr>
      </w:pPr>
      <w:r>
        <w:rPr>
          <w:rFonts w:ascii="Arial" w:cs="Arial" w:eastAsia="Arial" w:hAnsi="Arial"/>
          <w:sz w:val="16"/>
          <w:szCs w:val="16"/>
          <w:color w:val="auto"/>
        </w:rPr>
        <w:t>through 2010. Since January 2008, he has also been the Chairman of the Board of RevGen Partners, a business and technology management consulting company. From July 2010 through January 2012, he was Chief Operating Officer of Clear Channel Outdoor Holdings. Prior to that, Mr. Bagan held a number of executive positions with Adelphia Communications, Ricochet Wireless Networks and AT&amp;T Broadband. He started his career at Arthur Andersen and was a partner in the Consulting Practice and led the Southwestern United States High Tech and Communications consulting practice for the firm.</w:t>
      </w:r>
    </w:p>
    <w:p>
      <w:pPr>
        <w:spacing w:after="0" w:line="164"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b w:val="1"/>
          <w:bCs w:val="1"/>
          <w:i w:val="1"/>
          <w:iCs w:val="1"/>
          <w:color w:val="auto"/>
        </w:rPr>
        <w:t>Richard D. Federico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57—Mr. Federico has over thirty years of operational, strategy and investment acumen. He has served as a director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2012. Since October 2011 he has been a Managing Director at Ocean Tomo, a merchant banc specializing in intellectual capital equity. Since January 2002, as Managing Director of Sterling Partners, he worked with a number of Sterling portfolio investments to build, capture and maximize best-in-class practices across the network, along with instituting effective governance at the portfolio level. He remains a Senior Advisor to Sterling Partners. His background also includes senior management positions with companies including Fisher Scientific, The Millard Fillmore Health System (MFHS), The Science Kit Group and KPMG. He is involved with numerous private and non-profit boards and currently serves on the EduTone Board of Directors and as a Senior Operating Advisory Board member to Sound Harbor.</w:t>
      </w:r>
    </w:p>
    <w:p>
      <w:pPr>
        <w:spacing w:after="0" w:line="184" w:lineRule="exact"/>
        <w:rPr>
          <w:sz w:val="20"/>
          <w:szCs w:val="20"/>
          <w:color w:val="auto"/>
        </w:rPr>
      </w:pPr>
    </w:p>
    <w:p>
      <w:pPr>
        <w:ind w:right="60" w:firstLine="344"/>
        <w:spacing w:after="0" w:line="268" w:lineRule="auto"/>
        <w:rPr>
          <w:sz w:val="20"/>
          <w:szCs w:val="20"/>
          <w:color w:val="auto"/>
        </w:rPr>
      </w:pPr>
      <w:r>
        <w:rPr>
          <w:rFonts w:ascii="Arial" w:cs="Arial" w:eastAsia="Arial" w:hAnsi="Arial"/>
          <w:sz w:val="17"/>
          <w:szCs w:val="17"/>
          <w:b w:val="1"/>
          <w:bCs w:val="1"/>
          <w:i w:val="1"/>
          <w:iCs w:val="1"/>
          <w:color w:val="auto"/>
        </w:rPr>
        <w:t>S.R. (Rollie) Heath, Jr.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74—Mr. Heath has served as a director of the Company since August 2007. He is a recognized civic and business leader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Colorado, currently serving as a State Senator from District 18. He is also the founding partner of NorthStone Group, a company that advises and educates boards of directors and executive teams on leadership development and decision making. Mr. Heath has extensive knowledge of, and experience with, the manufacturing industry. Mr. Heath spent 17 years in senior management with Johns Manville Corporation and later became the chairman, CEO and a co-founder of Ponderosa Industries, a precision metal parts manufacturing company.</w:t>
      </w:r>
    </w:p>
    <w:p>
      <w:pPr>
        <w:spacing w:after="0" w:line="186"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5"/>
          <w:szCs w:val="15"/>
          <w:b w:val="1"/>
          <w:bCs w:val="1"/>
          <w:i w:val="1"/>
          <w:iCs w:val="1"/>
          <w:color w:val="auto"/>
        </w:rPr>
        <w:t>Delwin D. Hock</w:t>
      </w:r>
      <w:r>
        <w:rPr>
          <w:rFonts w:ascii="Arial" w:cs="Arial" w:eastAsia="Arial" w:hAnsi="Arial"/>
          <w:sz w:val="15"/>
          <w:szCs w:val="15"/>
          <w:color w:val="auto"/>
        </w:rPr>
        <w:t>, age 77—Mr. Hock has served as a director of the Company since February 1997 and was Chairman of the Board of Directors from May 2005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May 2009. In May 2009, Mr. Hock was appointed Lead Director of the Independent Directors. Mr. Hock has many years of executive management experience.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w:t>
      </w:r>
    </w:p>
    <w:p>
      <w:pPr>
        <w:spacing w:after="0" w:line="154"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68— Mr. Laber was appointed as a director of the Company on November 3, 2010. He has been a private investor since 2000,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 retired after 33 years of service with Arthur Andersen LLP. He holds a degree from the University of South Dakota and is a certified public accountant. Mr. Laber is currently on the board of directors and chair of the audit and compensation committees of Smart Balance Inc., chair of the audit committee and member of the compensation committee at Scott's Liquid Gold and chair of the audit committees of Qualmark Corporation and is the president of the Catholic Foundation of Northern Colorado.</w:t>
      </w:r>
    </w:p>
    <w:p>
      <w:pPr>
        <w:spacing w:after="0" w:line="188" w:lineRule="exact"/>
        <w:rPr>
          <w:sz w:val="20"/>
          <w:szCs w:val="20"/>
          <w:color w:val="auto"/>
        </w:rPr>
      </w:pPr>
    </w:p>
    <w:p>
      <w:pPr>
        <w:ind w:right="20" w:firstLine="344"/>
        <w:spacing w:after="0" w:line="326" w:lineRule="auto"/>
        <w:rPr>
          <w:sz w:val="20"/>
          <w:szCs w:val="20"/>
          <w:color w:val="auto"/>
        </w:rPr>
      </w:pPr>
      <w:r>
        <w:rPr>
          <w:rFonts w:ascii="Arial" w:cs="Arial" w:eastAsia="Arial" w:hAnsi="Arial"/>
          <w:sz w:val="15"/>
          <w:szCs w:val="15"/>
          <w:b w:val="1"/>
          <w:bCs w:val="1"/>
          <w:i w:val="1"/>
          <w:iCs w:val="1"/>
          <w:color w:val="auto"/>
        </w:rPr>
        <w:t>George J. Pilmanis</w:t>
      </w:r>
      <w:r>
        <w:rPr>
          <w:rFonts w:ascii="Arial" w:cs="Arial" w:eastAsia="Arial" w:hAnsi="Arial"/>
          <w:sz w:val="15"/>
          <w:szCs w:val="15"/>
          <w:color w:val="auto"/>
        </w:rPr>
        <w:t>, age 73—Mr. Pilmanis has served as a director of the Company since 1993. Mr. Pilmanis has almost forty years of management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consulting experience. He has extensive background in international business development. Prior to his retirement in 2003, he was chairman and president of Balriga International Corp. Mr. Pilmanis has held executive and technical positions with Storage Technology Corp., Calcomp, Deloite Touche, TRW Systems, and IBM.</w:t>
      </w:r>
    </w:p>
    <w:p>
      <w:pPr>
        <w:spacing w:after="0" w:line="145" w:lineRule="exact"/>
        <w:rPr>
          <w:sz w:val="20"/>
          <w:szCs w:val="20"/>
          <w:color w:val="auto"/>
        </w:rPr>
      </w:pPr>
    </w:p>
    <w:p>
      <w:pPr>
        <w:ind w:right="240" w:firstLine="344"/>
        <w:spacing w:after="0" w:line="290" w:lineRule="auto"/>
        <w:rPr>
          <w:sz w:val="20"/>
          <w:szCs w:val="20"/>
          <w:color w:val="auto"/>
        </w:rPr>
      </w:pPr>
      <w:r>
        <w:rPr>
          <w:rFonts w:ascii="Arial" w:cs="Arial" w:eastAsia="Arial" w:hAnsi="Arial"/>
          <w:sz w:val="16"/>
          <w:szCs w:val="16"/>
          <w:b w:val="1"/>
          <w:bCs w:val="1"/>
          <w:i w:val="1"/>
          <w:iCs w:val="1"/>
          <w:color w:val="auto"/>
        </w:rPr>
        <w:t>Michel M. Robert</w:t>
      </w:r>
      <w:r>
        <w:rPr>
          <w:rFonts w:ascii="Arial" w:cs="Arial" w:eastAsia="Arial" w:hAnsi="Arial"/>
          <w:sz w:val="16"/>
          <w:szCs w:val="16"/>
          <w:color w:val="auto"/>
        </w:rPr>
        <w:t>, age 70—Mr. Robert has served as a director of the Company since July 2004. Mr. Robert has many years of experience in guiding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 and private companies in developing their corporate strategy, which includes identifying their driving force and the critical issues that must be addressed to accomplish its corporate strategy, as well as deploying strategies to address the critical issues. He founded Decision Processes International, Inc. (DPI) in 1980 to provide consulting services in the field of strategy development and deployment. He is currently Chief Executive Officer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President of DPI. Mr. Robert has been published in a wide array of business magazines and journals and has authored several books.</w:t>
      </w:r>
    </w:p>
    <w:p>
      <w:pPr>
        <w:spacing w:after="0" w:line="228"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i w:val="1"/>
          <w:iCs w:val="1"/>
          <w:color w:val="auto"/>
        </w:rPr>
        <w:t>Richard D. Smith</w:t>
      </w:r>
      <w:r>
        <w:rPr>
          <w:rFonts w:ascii="Arial" w:cs="Arial" w:eastAsia="Arial" w:hAnsi="Arial"/>
          <w:sz w:val="17"/>
          <w:szCs w:val="17"/>
          <w:color w:val="auto"/>
        </w:rPr>
        <w:t>, age 64—Mr. Smith has served as a director of the Company since August 1996 and as Executive Chairman of the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2009. Mr. Smith has broad executive management experience with the Company and extensive knowledge and experience in accounting and financial matters. He served as Chief Executive Officer from August 1998 until May 2009. He served as President from August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Financial Officer of the Company and is willing to serve, the Board of Directors will nominate him for election to the Board.</w:t>
      </w:r>
    </w:p>
    <w:p>
      <w:pPr>
        <w:spacing w:after="0" w:line="188" w:lineRule="exact"/>
        <w:rPr>
          <w:sz w:val="20"/>
          <w:szCs w:val="20"/>
          <w:color w:val="auto"/>
        </w:rPr>
      </w:pPr>
    </w:p>
    <w:p>
      <w:pPr>
        <w:ind w:right="40" w:firstLine="344"/>
        <w:spacing w:after="0" w:line="264"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58—Mr. Warzala has served as director of the Company since August 2006. Mr. Warzala has strong management and technical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background in the motion control industry. In May 2009, He was appointed President and Chief 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 Pursuant to Mr. Warzala's employment agreement, as long as he is the President and Chief Executive Officer of the Company and is willing to serve, the Board of Directors will nominate him for election to the Board.</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Procedures</w:t>
      </w:r>
    </w:p>
    <w:p>
      <w:pPr>
        <w:spacing w:after="0" w:line="234" w:lineRule="exact"/>
        <w:rPr>
          <w:sz w:val="20"/>
          <w:szCs w:val="20"/>
          <w:color w:val="auto"/>
        </w:rPr>
      </w:pPr>
    </w:p>
    <w:p>
      <w:pPr>
        <w:ind w:right="20" w:firstLine="341"/>
        <w:spacing w:after="0" w:line="282"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experience, technical skills, diversity, financial literacy, mature confidence, high performance standards, time, other board appointments, industry knowledge, and degree of independence from management.</w:t>
      </w:r>
    </w:p>
    <w:p>
      <w:pPr>
        <w:spacing w:after="0" w:line="17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are available at www.alliedmotion.com.</w:t>
      </w:r>
    </w:p>
    <w:p>
      <w:pPr>
        <w:spacing w:after="0" w:line="183" w:lineRule="exact"/>
        <w:rPr>
          <w:sz w:val="20"/>
          <w:szCs w:val="20"/>
          <w:color w:val="auto"/>
        </w:rPr>
      </w:pPr>
    </w:p>
    <w:p>
      <w:pPr>
        <w:ind w:right="160" w:firstLine="341"/>
        <w:spacing w:after="0" w:line="266"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00" w:firstLine="341"/>
        <w:spacing w:after="0" w:line="298"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2013 Annual Meeting."</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34" w:lineRule="exact"/>
        <w:rPr>
          <w:sz w:val="20"/>
          <w:szCs w:val="20"/>
          <w:color w:val="auto"/>
        </w:rPr>
      </w:pPr>
    </w:p>
    <w:p>
      <w:pPr>
        <w:jc w:val="both"/>
        <w:ind w:right="40" w:firstLine="341"/>
        <w:spacing w:after="0" w:line="269" w:lineRule="auto"/>
        <w:rPr>
          <w:sz w:val="20"/>
          <w:szCs w:val="20"/>
          <w:color w:val="auto"/>
        </w:rPr>
      </w:pPr>
      <w:r>
        <w:rPr>
          <w:rFonts w:ascii="Arial" w:cs="Arial" w:eastAsia="Arial" w:hAnsi="Arial"/>
          <w:sz w:val="17"/>
          <w:szCs w:val="17"/>
          <w:color w:val="auto"/>
        </w:rPr>
        <w:t>The Board has established the position of Lead Director to assist in overseeing the affairs of the Board. The Lead Director is an independent director, currently Mr. Hock, appointed by the Board. The Lead Director's primary responsibilities include providing input to the Executive Chairman regarding agendas for Board and Committee meetings and presiding at all executive sessions of the independent directors. The Board will periodically review its leadership structure and determine if other structures might be appropriate.</w:t>
      </w:r>
    </w:p>
    <w:p>
      <w:pPr>
        <w:spacing w:after="0" w:line="183" w:lineRule="exact"/>
        <w:rPr>
          <w:sz w:val="20"/>
          <w:szCs w:val="20"/>
          <w:color w:val="auto"/>
        </w:rPr>
      </w:pPr>
    </w:p>
    <w:p>
      <w:pPr>
        <w:ind w:firstLine="341"/>
        <w:spacing w:after="0" w:line="315" w:lineRule="auto"/>
        <w:rPr>
          <w:sz w:val="20"/>
          <w:szCs w:val="20"/>
          <w:color w:val="auto"/>
        </w:rPr>
      </w:pPr>
      <w:r>
        <w:rPr>
          <w:rFonts w:ascii="Arial" w:cs="Arial" w:eastAsia="Arial" w:hAnsi="Arial"/>
          <w:sz w:val="15"/>
          <w:szCs w:val="15"/>
          <w:color w:val="auto"/>
        </w:rPr>
        <w:t>The Board has appointed Mr. Smith as Executive Chairman of the Board. Mr. Smith is also Chief Financial Officer of the Company and thus is not an independent director. The Board believes that having an officer as executive chairman allows him to leverage the substantial amount of information gained from both these roles to lead the Company most effectively. The Board believes that the appointment of an independent Lead Director provides the independent oversight with significant input into corporate governance while maintaining the Company's historical practice of having an Executive Officer also serve as Chairman.</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234" w:lineRule="exact"/>
        <w:rPr>
          <w:sz w:val="20"/>
          <w:szCs w:val="20"/>
          <w:color w:val="auto"/>
        </w:rPr>
      </w:pPr>
    </w:p>
    <w:p>
      <w:pPr>
        <w:ind w:firstLine="344"/>
        <w:spacing w:after="0" w:line="307" w:lineRule="auto"/>
        <w:rPr>
          <w:sz w:val="20"/>
          <w:szCs w:val="20"/>
          <w:color w:val="auto"/>
        </w:rPr>
      </w:pPr>
      <w:r>
        <w:rPr>
          <w:rFonts w:ascii="Arial" w:cs="Arial" w:eastAsia="Arial" w:hAnsi="Arial"/>
          <w:sz w:val="15"/>
          <w:szCs w:val="15"/>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Warzala, the Company's President and Chief Executive Officer and Mr. Smith, the Company's Chief Financial Officer, satisfies the bright-line criteria and that no other director has a relationship with the Company that would interfere with such person's ability to exercise independent judgment as a member of our Board.</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The Board of Directors oversees our risk management process. This oversight is primarily accomplished through the Board's committees and management's reporting processes. We do not have a formal risk committee; however, our Audit Committee focuses on risk related to accounting, internal controls, financial and tax reporting, and also assesses economic and business risks. Our Compensation Committee identifies and oversees risks associated with our executive compensation policies and practices, and our Governance and Nominating Committee identifies and oversees risks associated with director independence, related party transactions, the implementation of corporate governance policies and also monitors compliance with ethical standards.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Stock Ownership Policy</w:t>
      </w:r>
    </w:p>
    <w:p>
      <w:pPr>
        <w:spacing w:after="0" w:line="234" w:lineRule="exact"/>
        <w:rPr>
          <w:sz w:val="20"/>
          <w:szCs w:val="20"/>
          <w:color w:val="auto"/>
        </w:rPr>
      </w:pPr>
    </w:p>
    <w:p>
      <w:pPr>
        <w:jc w:val="both"/>
        <w:ind w:right="160" w:firstLine="341"/>
        <w:spacing w:after="0" w:line="273" w:lineRule="auto"/>
        <w:rPr>
          <w:sz w:val="20"/>
          <w:szCs w:val="20"/>
          <w:color w:val="auto"/>
        </w:rPr>
      </w:pPr>
      <w:r>
        <w:rPr>
          <w:rFonts w:ascii="Arial" w:cs="Arial" w:eastAsia="Arial" w:hAnsi="Arial"/>
          <w:sz w:val="17"/>
          <w:szCs w:val="17"/>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new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non-employee directors are to invest the greater of $50,000 or two and one-half times the cash portion of the Board's then annual retainer in the purchase of common stock of the Company (the "Guideline Investment"). For current directors at the time the policy was adopted, the Guideline Investment was set at $50,000. A new non-employee director is allowed a grace period to meet the Guideline Investment in full, from the date of initial election or appointment to the Board through the fifth anniversary of such election or appointment (the "Grace Period"). For current non-employee directors, the five-year Grace Period began as of the original effective date of the Policy. During 2010, a Non-Employee Director Stock in Lieu of Cash Retainer Plan was also adopted. Pursuant to the Plan, each non-employee director may elect to forego receipt of all or a portion of the cash retainer in exchange for newly issued common stock.</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COMMITTEES AND MEETINGS</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34" w:lineRule="exact"/>
        <w:rPr>
          <w:sz w:val="20"/>
          <w:szCs w:val="20"/>
          <w:color w:val="auto"/>
        </w:rPr>
      </w:pPr>
    </w:p>
    <w:p>
      <w:pPr>
        <w:ind w:right="420" w:firstLine="341"/>
        <w:spacing w:after="0" w:line="285"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2011 and consisted of Messrs. Laber (Chairman), Heath and Hock. Each member of the Audit Committee meets the current independence and experience requirements of Nasdaq and the SEC. Mr. Laber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34" w:lineRule="exact"/>
        <w:rPr>
          <w:sz w:val="20"/>
          <w:szCs w:val="20"/>
          <w:color w:val="auto"/>
        </w:rPr>
      </w:pPr>
    </w:p>
    <w:p>
      <w:pPr>
        <w:ind w:firstLine="341"/>
        <w:spacing w:after="0" w:line="315" w:lineRule="auto"/>
        <w:rPr>
          <w:sz w:val="20"/>
          <w:szCs w:val="20"/>
          <w:color w:val="auto"/>
        </w:rPr>
      </w:pPr>
      <w:r>
        <w:rPr>
          <w:rFonts w:ascii="Arial" w:cs="Arial" w:eastAsia="Arial" w:hAnsi="Arial"/>
          <w:sz w:val="15"/>
          <w:szCs w:val="15"/>
          <w:color w:val="auto"/>
        </w:rPr>
        <w:t>The Compensation Committee of our Board of Directors currently consists of Messrs. Pilmanis (Chairman), Hock and Laber.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three times during 2011.</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and Nominating Committee</w:t>
      </w:r>
    </w:p>
    <w:p>
      <w:pPr>
        <w:spacing w:after="0" w:line="234" w:lineRule="exact"/>
        <w:rPr>
          <w:sz w:val="20"/>
          <w:szCs w:val="20"/>
          <w:color w:val="auto"/>
        </w:rPr>
      </w:pPr>
    </w:p>
    <w:p>
      <w:pPr>
        <w:ind w:right="20" w:firstLine="341"/>
        <w:spacing w:after="0" w:line="269" w:lineRule="auto"/>
        <w:rPr>
          <w:sz w:val="20"/>
          <w:szCs w:val="20"/>
          <w:color w:val="auto"/>
        </w:rPr>
      </w:pPr>
      <w:r>
        <w:rPr>
          <w:rFonts w:ascii="Arial" w:cs="Arial" w:eastAsia="Arial" w:hAnsi="Arial"/>
          <w:sz w:val="17"/>
          <w:szCs w:val="17"/>
          <w:color w:val="auto"/>
        </w:rPr>
        <w:t>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Governance and Nominating Committee of our Board of Directors met four times during 2011 and consisted of Messrs. Hock (Chairman), Heath and Pilmanis.</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Meetings</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Board of Directors held four meetings in 2011. Our Independent Directors meet in executive session without management directors or management present. These sessions generally take place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prior to or following regularly scheduled board meetings. The directors met in such sessions four times during 2011. Each director attended 100%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2011, the Annual Meeting of Shareholders was attended by all of the directors.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 With the Board</w:t>
      </w:r>
    </w:p>
    <w:p>
      <w:pPr>
        <w:spacing w:after="0" w:line="234" w:lineRule="exact"/>
        <w:rPr>
          <w:sz w:val="20"/>
          <w:szCs w:val="20"/>
          <w:color w:val="auto"/>
        </w:rPr>
      </w:pPr>
    </w:p>
    <w:p>
      <w:pPr>
        <w:ind w:right="60" w:firstLine="341"/>
        <w:spacing w:after="0" w:line="269" w:lineRule="auto"/>
        <w:rPr>
          <w:sz w:val="20"/>
          <w:szCs w:val="20"/>
          <w:color w:val="auto"/>
        </w:rPr>
      </w:pPr>
      <w:r>
        <w:rPr>
          <w:rFonts w:ascii="Arial" w:cs="Arial" w:eastAsia="Arial" w:hAnsi="Arial"/>
          <w:sz w:val="17"/>
          <w:szCs w:val="17"/>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Executive Chairman of the Board.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34"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320" w:firstLine="344"/>
        <w:spacing w:after="0" w:line="298"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2" w:lineRule="exact"/>
        <w:rPr>
          <w:sz w:val="20"/>
          <w:szCs w:val="20"/>
          <w:color w:val="auto"/>
        </w:rPr>
      </w:pPr>
    </w:p>
    <w:p>
      <w:pPr>
        <w:ind w:right="320" w:firstLine="335"/>
        <w:spacing w:after="0" w:line="273" w:lineRule="auto"/>
        <w:rPr>
          <w:sz w:val="20"/>
          <w:szCs w:val="20"/>
          <w:color w:val="auto"/>
        </w:rPr>
      </w:pPr>
      <w:r>
        <w:rPr>
          <w:rFonts w:ascii="Arial" w:cs="Arial" w:eastAsia="Arial" w:hAnsi="Arial"/>
          <w:sz w:val="17"/>
          <w:szCs w:val="17"/>
          <w:color w:val="auto"/>
        </w:rPr>
        <w:t>As members of the Audit Committee, our work is guided by our Audit Committee Charter which is reviewed annually by the Board of Directors. We have completed all Charter tasks scheduled to be performed in 2011 prior to year-end and all Charter tasks scheduled to be performed in 2012 prior to the filing of this proxy statement. Our work included, among other procedures:</w:t>
      </w:r>
    </w:p>
    <w:p>
      <w:pPr>
        <w:spacing w:after="0" w:line="181" w:lineRule="exact"/>
        <w:rPr>
          <w:sz w:val="20"/>
          <w:szCs w:val="20"/>
          <w:color w:val="auto"/>
        </w:rPr>
      </w:pPr>
    </w:p>
    <w:p>
      <w:pPr>
        <w:ind w:left="1200" w:hanging="320"/>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pre-approved audit and permitted non-audit services of the Company's independent auditors.</w:t>
      </w:r>
    </w:p>
    <w:p>
      <w:pPr>
        <w:spacing w:after="0" w:line="228" w:lineRule="exact"/>
        <w:rPr>
          <w:rFonts w:ascii="Arial" w:cs="Arial" w:eastAsia="Arial" w:hAnsi="Arial"/>
          <w:sz w:val="17"/>
          <w:szCs w:val="17"/>
          <w:color w:val="auto"/>
        </w:rPr>
      </w:pPr>
    </w:p>
    <w:p>
      <w:pPr>
        <w:ind w:left="540" w:right="560" w:firstLine="340"/>
        <w:spacing w:after="0" w:line="287" w:lineRule="auto"/>
        <w:tabs>
          <w:tab w:leader="none" w:pos="1211"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met with management and the independent auditors on a quarterly basis to discuss financial statements and related reports and to review significant accounting and reporting matters.</w:t>
      </w:r>
    </w:p>
    <w:p>
      <w:pPr>
        <w:spacing w:after="0" w:line="168" w:lineRule="exact"/>
        <w:rPr>
          <w:rFonts w:ascii="Arial" w:cs="Arial" w:eastAsia="Arial" w:hAnsi="Arial"/>
          <w:sz w:val="17"/>
          <w:szCs w:val="17"/>
          <w:color w:val="auto"/>
        </w:rPr>
      </w:pPr>
    </w:p>
    <w:p>
      <w:pPr>
        <w:ind w:left="540" w:right="120" w:firstLine="340"/>
        <w:spacing w:after="0" w:line="273" w:lineRule="auto"/>
        <w:tabs>
          <w:tab w:leader="none" w:pos="1211"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14"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Prior to their publication, we reviewed and discussed with management and the independent auditors the Company's December 31, 2011, audited financial statements, the related audit report, and the applicable management's discussion and analysis.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2011, for filing with the SEC.</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Submitted by:</w:t>
      </w: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AUDIT COMMITTEE</w:t>
      </w: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Gerald J. (Bud) Laber, Chairman</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S.R. (Rollie) Heath</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Delwin D. Hock</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34" w:lineRule="exact"/>
        <w:rPr>
          <w:sz w:val="20"/>
          <w:szCs w:val="20"/>
          <w:color w:val="auto"/>
        </w:rPr>
      </w:pPr>
    </w:p>
    <w:p>
      <w:pPr>
        <w:jc w:val="both"/>
        <w:ind w:right="160" w:firstLine="341"/>
        <w:spacing w:after="0" w:line="273" w:lineRule="auto"/>
        <w:rPr>
          <w:sz w:val="20"/>
          <w:szCs w:val="20"/>
          <w:color w:val="auto"/>
        </w:rPr>
      </w:pPr>
      <w:r>
        <w:rPr>
          <w:rFonts w:ascii="Arial" w:cs="Arial" w:eastAsia="Arial" w:hAnsi="Arial"/>
          <w:sz w:val="17"/>
          <w:szCs w:val="17"/>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1"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58—Mr. Warzala has served as director of the Company since August 2006. In May 2009, he was appointed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8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b w:val="1"/>
          <w:bCs w:val="1"/>
          <w:i w:val="1"/>
          <w:iCs w:val="1"/>
          <w:color w:val="auto"/>
        </w:rPr>
        <w:t>Richard D. Smith</w:t>
      </w:r>
      <w:r>
        <w:rPr>
          <w:rFonts w:ascii="Arial" w:cs="Arial" w:eastAsia="Arial" w:hAnsi="Arial"/>
          <w:sz w:val="17"/>
          <w:szCs w:val="17"/>
          <w:color w:val="auto"/>
        </w:rPr>
        <w:t>, age 64—Mr. Smith has served as a director of the Company since August 1996 and as Executive Chairman of the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2009. He served as Chief Executive Officer from August 13, 1998 until May 12, 2009.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8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69—Mr. Wyman was named Vice President of Marketing of the Company in February 2003. He was designated as an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2005. From 2000 to 2002, he was Vice President of Marketing for the Motion Components Group of Danaher Corporation. In 1995, Mr. Wyman joined API Motion as Director of Marketing, and later was named Vice President of Marketing.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Executive Officers</w:t>
      </w:r>
    </w:p>
    <w:p>
      <w:pPr>
        <w:spacing w:after="0" w:line="234" w:lineRule="exact"/>
        <w:rPr>
          <w:sz w:val="20"/>
          <w:szCs w:val="20"/>
          <w:color w:val="auto"/>
        </w:rPr>
      </w:pPr>
    </w:p>
    <w:p>
      <w:pPr>
        <w:ind w:right="260" w:firstLine="341"/>
        <w:spacing w:after="0" w:line="287" w:lineRule="auto"/>
        <w:rPr>
          <w:sz w:val="20"/>
          <w:szCs w:val="20"/>
          <w:color w:val="auto"/>
        </w:rPr>
      </w:pPr>
      <w:r>
        <w:rPr>
          <w:rFonts w:ascii="Arial" w:cs="Arial" w:eastAsia="Arial" w:hAnsi="Arial"/>
          <w:sz w:val="17"/>
          <w:szCs w:val="17"/>
          <w:color w:val="auto"/>
        </w:rPr>
        <w:t>The following table presents information relating to total compensation of the Executive Officers of the Company (the "Named Officers") for the fiscal years ended December 31, 2011 and 2010.</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8"/>
              </w:rPr>
              <w:t>Non-Equity</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Stock</w:t>
            </w:r>
          </w:p>
        </w:tc>
        <w:tc>
          <w:tcPr>
            <w:tcW w:w="1280" w:type="dxa"/>
            <w:vAlign w:val="bottom"/>
            <w:gridSpan w:val="3"/>
          </w:tcPr>
          <w:p>
            <w:pPr>
              <w:jc w:val="center"/>
              <w:ind w:right="280"/>
              <w:spacing w:after="0" w:line="146" w:lineRule="exact"/>
              <w:rPr>
                <w:sz w:val="20"/>
                <w:szCs w:val="20"/>
                <w:color w:val="auto"/>
              </w:rPr>
            </w:pPr>
            <w:r>
              <w:rPr>
                <w:rFonts w:ascii="Arial" w:cs="Arial" w:eastAsia="Arial" w:hAnsi="Arial"/>
                <w:sz w:val="13"/>
                <w:szCs w:val="13"/>
                <w:b w:val="1"/>
                <w:bCs w:val="1"/>
                <w:color w:val="auto"/>
                <w:w w:val="91"/>
              </w:rPr>
              <w:t>Incentive Plan</w:t>
            </w:r>
          </w:p>
        </w:tc>
        <w:tc>
          <w:tcPr>
            <w:tcW w:w="160" w:type="dxa"/>
            <w:vAlign w:val="bottom"/>
          </w:tcPr>
          <w:p>
            <w:pPr>
              <w:spacing w:after="0"/>
              <w:rPr>
                <w:sz w:val="12"/>
                <w:szCs w:val="12"/>
                <w:color w:val="auto"/>
              </w:rPr>
            </w:pPr>
          </w:p>
        </w:tc>
        <w:tc>
          <w:tcPr>
            <w:tcW w:w="1100" w:type="dxa"/>
            <w:vAlign w:val="bottom"/>
            <w:gridSpan w:val="2"/>
          </w:tcPr>
          <w:p>
            <w:pPr>
              <w:jc w:val="right"/>
              <w:ind w:right="500"/>
              <w:spacing w:after="0" w:line="146" w:lineRule="exact"/>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Awards(1)</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Compensation</w:t>
            </w:r>
          </w:p>
        </w:tc>
        <w:tc>
          <w:tcPr>
            <w:tcW w:w="28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Compensation</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r>
      <w:tr>
        <w:trPr>
          <w:trHeight w:val="205"/>
        </w:trPr>
        <w:tc>
          <w:tcPr>
            <w:tcW w:w="2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345,833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212,400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977,182(2)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210,772(3)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1,746,177</w:t>
            </w:r>
          </w:p>
        </w:tc>
      </w:tr>
      <w:tr>
        <w:trPr>
          <w:trHeight w:val="212"/>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President and Chief</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319,996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506,687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556,948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48,557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1,432,188</w:t>
            </w:r>
          </w:p>
        </w:tc>
      </w:tr>
      <w:tr>
        <w:trPr>
          <w:trHeight w:val="212"/>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Executive Officer</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5"/>
        </w:trPr>
        <w:tc>
          <w:tcPr>
            <w:tcW w:w="284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2011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297,500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212,400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913,431(4)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57,518(5)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1,480,849</w:t>
            </w:r>
          </w:p>
        </w:tc>
      </w:tr>
      <w:tr>
        <w:trPr>
          <w:trHeight w:val="219"/>
        </w:trPr>
        <w:tc>
          <w:tcPr>
            <w:tcW w:w="2840" w:type="dxa"/>
            <w:vAlign w:val="bottom"/>
            <w:gridSpan w:val="3"/>
          </w:tcPr>
          <w:p>
            <w:pPr>
              <w:ind w:left="180"/>
              <w:spacing w:after="0"/>
              <w:rPr>
                <w:sz w:val="20"/>
                <w:szCs w:val="20"/>
                <w:color w:val="auto"/>
              </w:rPr>
            </w:pPr>
            <w:r>
              <w:rPr>
                <w:rFonts w:ascii="Arial" w:cs="Arial" w:eastAsia="Arial" w:hAnsi="Arial"/>
                <w:sz w:val="17"/>
                <w:szCs w:val="17"/>
                <w:color w:val="auto"/>
              </w:rPr>
              <w:t>Chief Financial Officer</w:t>
            </w:r>
          </w:p>
        </w:tc>
        <w:tc>
          <w:tcPr>
            <w:tcW w:w="800" w:type="dxa"/>
            <w:vAlign w:val="bottom"/>
            <w:gridSpan w:val="3"/>
          </w:tcPr>
          <w:p>
            <w:pPr>
              <w:jc w:val="right"/>
              <w:ind w:right="140"/>
              <w:spacing w:after="0"/>
              <w:rPr>
                <w:sz w:val="20"/>
                <w:szCs w:val="20"/>
                <w:color w:val="auto"/>
              </w:rPr>
            </w:pPr>
            <w:r>
              <w:rPr>
                <w:rFonts w:ascii="Arial" w:cs="Arial" w:eastAsia="Arial" w:hAnsi="Arial"/>
                <w:sz w:val="17"/>
                <w:szCs w:val="17"/>
                <w:color w:val="auto"/>
              </w:rPr>
              <w:t>2010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285,000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259,849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521,823</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48,539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1,115,211</w:t>
            </w:r>
          </w:p>
        </w:tc>
      </w:tr>
      <w:tr>
        <w:trPr>
          <w:trHeight w:val="422"/>
        </w:trPr>
        <w:tc>
          <w:tcPr>
            <w:tcW w:w="2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144,167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95,078(6)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20,492(7)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288,057</w:t>
            </w:r>
          </w:p>
        </w:tc>
      </w:tr>
      <w:tr>
        <w:trPr>
          <w:trHeight w:val="215"/>
        </w:trPr>
        <w:tc>
          <w:tcPr>
            <w:tcW w:w="2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Vice President of Marketing</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2010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134,619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67,115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15,560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224,034</w:t>
            </w:r>
          </w:p>
        </w:tc>
      </w:tr>
      <w:tr>
        <w:trPr>
          <w:trHeight w:val="106"/>
        </w:trPr>
        <w:tc>
          <w:tcPr>
            <w:tcW w:w="1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1680" w:right="40" w:hanging="533"/>
        <w:spacing w:after="0" w:line="320"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71" w:lineRule="exact"/>
        <w:rPr>
          <w:rFonts w:ascii="Arial" w:cs="Arial" w:eastAsia="Arial" w:hAnsi="Arial"/>
          <w:sz w:val="16"/>
          <w:szCs w:val="16"/>
          <w:color w:val="auto"/>
        </w:rPr>
      </w:pPr>
    </w:p>
    <w:p>
      <w:pPr>
        <w:ind w:left="1680" w:right="260" w:hanging="533"/>
        <w:spacing w:after="0" w:line="269"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Mr. Warzala for 2011 includes (a) $456,154 pursuant to the Annual Incentive Bonus Plan, which is generally available to all employees of the Company and is payable based upon the achievement of Company performance goals established by the Board of Directors and (b) contribution under the Deferred Compensation Plan of $521,028 upon achievement of Company performance goals established by the Board of Directors..</w:t>
      </w:r>
    </w:p>
    <w:p>
      <w:pPr>
        <w:spacing w:after="0" w:line="196" w:lineRule="exact"/>
        <w:rPr>
          <w:rFonts w:ascii="Arial" w:cs="Arial" w:eastAsia="Arial" w:hAnsi="Arial"/>
          <w:sz w:val="17"/>
          <w:szCs w:val="17"/>
          <w:color w:val="auto"/>
        </w:rPr>
      </w:pPr>
    </w:p>
    <w:p>
      <w:pPr>
        <w:ind w:left="1680" w:right="360" w:hanging="533"/>
        <w:spacing w:after="0" w:line="298"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Other Compensation for Mr. Warzala for 2011 includes (a) fair value of personal use of Company provided automobile of $6,946, as determined with reference to IRS regulations, (b) the Company's contribution of $19,315 to tax-qualified defined contribution plans,</w:t>
      </w:r>
    </w:p>
    <w:p>
      <w:pPr>
        <w:ind w:left="1680" w:right="660" w:hanging="3"/>
        <w:spacing w:after="0" w:line="280" w:lineRule="auto"/>
        <w:tabs>
          <w:tab w:leader="none" w:pos="1914" w:val="left"/>
        </w:tabs>
        <w:numPr>
          <w:ilvl w:val="1"/>
          <w:numId w:val="7"/>
        </w:numPr>
        <w:rPr>
          <w:rFonts w:ascii="Arial" w:cs="Arial" w:eastAsia="Arial" w:hAnsi="Arial"/>
          <w:sz w:val="17"/>
          <w:szCs w:val="17"/>
          <w:color w:val="auto"/>
        </w:rPr>
      </w:pPr>
      <w:r>
        <w:rPr>
          <w:rFonts w:ascii="Arial" w:cs="Arial" w:eastAsia="Arial" w:hAnsi="Arial"/>
          <w:sz w:val="17"/>
          <w:szCs w:val="17"/>
          <w:color w:val="auto"/>
        </w:rPr>
        <w:t>contribution under the Deferred Compensation Plan of $153,856 to provide Mr. Warzala supplemental retirement benefit, (d) the Company paid life insurance premiums of $24,500, and (e) financial planning services of $6,155.</w:t>
      </w:r>
    </w:p>
    <w:p>
      <w:pPr>
        <w:spacing w:after="0" w:line="187" w:lineRule="exact"/>
        <w:rPr>
          <w:rFonts w:ascii="Arial" w:cs="Arial" w:eastAsia="Arial" w:hAnsi="Arial"/>
          <w:sz w:val="17"/>
          <w:szCs w:val="17"/>
          <w:color w:val="auto"/>
        </w:rPr>
      </w:pPr>
    </w:p>
    <w:p>
      <w:pPr>
        <w:ind w:left="1680" w:right="80" w:hanging="533"/>
        <w:spacing w:after="0" w:line="269"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Mr. Smith for 2011 includes (a) $392,403 pursuant to the Annual Incentive Bonus Plan, which is generally available to all employees of the Company and is payable based upon the achievement of Company performance goals established by the Board of Directors and (b) contribution under the Deferred Compensation Plan of $521,028 upon achievement of Company performance goals established by the Board of Directors.</w:t>
      </w:r>
    </w:p>
    <w:p>
      <w:pPr>
        <w:spacing w:after="0" w:line="209" w:lineRule="exact"/>
        <w:rPr>
          <w:rFonts w:ascii="Arial" w:cs="Arial" w:eastAsia="Arial" w:hAnsi="Arial"/>
          <w:sz w:val="17"/>
          <w:szCs w:val="17"/>
          <w:color w:val="auto"/>
        </w:rPr>
      </w:pPr>
    </w:p>
    <w:p>
      <w:pPr>
        <w:jc w:val="both"/>
        <w:ind w:left="1680" w:right="380" w:hanging="533"/>
        <w:spacing w:after="0" w:line="298"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Other Compensation for Mr. Smith for 2011 includes (a) fair value of personal use of Company provided automobile of $17,359, as determined with reference to IRS regulations, (b) the Company's contribution of $19,315 to tax-qualified defined contribution plans and</w:t>
      </w:r>
    </w:p>
    <w:p>
      <w:pPr>
        <w:ind w:left="1920" w:hanging="243"/>
        <w:spacing w:after="0"/>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Company paid life insurance premiums of $20,845.</w:t>
      </w:r>
    </w:p>
    <w:p>
      <w:pPr>
        <w:spacing w:after="0" w:line="236" w:lineRule="exact"/>
        <w:rPr>
          <w:rFonts w:ascii="Arial" w:cs="Arial" w:eastAsia="Arial" w:hAnsi="Arial"/>
          <w:sz w:val="17"/>
          <w:szCs w:val="17"/>
          <w:color w:val="auto"/>
        </w:rPr>
      </w:pPr>
    </w:p>
    <w:p>
      <w:pPr>
        <w:jc w:val="both"/>
        <w:ind w:left="1680" w:right="260" w:hanging="533"/>
        <w:spacing w:after="0" w:line="273"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Mr. Wyman for 2011 represents amount paid pursuant to the Annual Incentive Bonus Plan, which is generally available to all employees of the Company and is payable based upon the achievement of Company performance goals established by the Board of Directors.</w:t>
      </w:r>
    </w:p>
    <w:p>
      <w:pPr>
        <w:spacing w:after="0" w:line="193" w:lineRule="exact"/>
        <w:rPr>
          <w:rFonts w:ascii="Arial" w:cs="Arial" w:eastAsia="Arial" w:hAnsi="Arial"/>
          <w:sz w:val="17"/>
          <w:szCs w:val="17"/>
          <w:color w:val="auto"/>
        </w:rPr>
      </w:pPr>
    </w:p>
    <w:p>
      <w:pPr>
        <w:ind w:left="1680" w:hanging="533"/>
        <w:spacing w:after="0" w:line="273"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Other Compensation for Mr. Wyman for 2011 includes (a) auto allowance paid of $6,000, (b) fair value of personal use portion of reimbursed automobile operating expenses of $2,162, as determined with reference to IRS regulations, and (c) the Company's contribution of $12,310 to tax-qualified defined contribution plans.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With Certain Named Executive Officers</w:t>
      </w:r>
    </w:p>
    <w:p>
      <w:pPr>
        <w:spacing w:after="0" w:line="234"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The Company has employment agreements with Richard S. Warzala, President and Chief Executive Officer, and Richard D. Smith, Chief Financial Officer. The Agreements have an initial term of five years, through May 2014, and continue subsequently on a year-to-year basis unless the Company or the officer gives termination notice at least 60 days prior to expiration of the initial or subsequent terms. The Agreements contain the provisions outlined below.</w:t>
      </w:r>
    </w:p>
    <w:p>
      <w:pPr>
        <w:spacing w:after="0" w:line="162"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Agreements provide an annual base salary of not less than $275,000 for Mr. Warzala and $285,000 for Mr. Smith, and may be reviewed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annually for increase on a merit basis. Mr. Warzala's salary was increased to $386,000 effective March 1, 2012. Mr. Smith's salary was increased to $325,000 effective March 1, 2012.</w:t>
      </w:r>
    </w:p>
    <w:p>
      <w:pPr>
        <w:spacing w:after="0" w:line="181"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Annual incentive bonuses are paid based on achieving performance criteria recommended annually by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approved by the Board of Directors.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2011, the individual target bonus was set at 60% for both Messrs. Warzala and Smith.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w:t>
      </w:r>
    </w:p>
    <w:p>
      <w:pPr>
        <w:spacing w:after="0" w:line="180"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For 2011, the Company exceeded performance targets specified at the beginning of 2011 for EVA. Applying the pre-established bonus formula to the financial performance resulted in bonuses for executive officers of 220% of target bonus levels, as set forth in the Summary Compensation Table under the heading Non-Equity Incentive Plan Compensation and corresponding notes (2), (4) and (6).</w:t>
      </w:r>
    </w:p>
    <w:p>
      <w:pPr>
        <w:spacing w:after="0" w:line="181" w:lineRule="exact"/>
        <w:rPr>
          <w:sz w:val="20"/>
          <w:szCs w:val="20"/>
          <w:color w:val="auto"/>
        </w:rPr>
      </w:pPr>
    </w:p>
    <w:p>
      <w:pPr>
        <w:ind w:right="260" w:firstLine="344"/>
        <w:spacing w:after="0" w:line="287"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The Company utilizes stock based awards for long-term incentives. In making its determination regarding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based awards, the Board considers, among other things, the Employee's responsibilities and efforts and performance in relation to the business plan and forecast, the relationship between the benefits of Restricted Stock or Stock Options and improving shareholder value, the development and performance of the Company's products in the marketplace and an increase in the trading price per share of the Company's Common Stock. The Board also considers customary business practices and Long-Term Incentive Plan benefits granted in comparison to such benefits provided to other executives in similar positions.</w:t>
      </w:r>
    </w:p>
    <w:p>
      <w:pPr>
        <w:spacing w:after="0" w:line="171"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In 2011, Messrs. Warzala and Smith each received grants of 20,000 performance based shares. All performance targets established for 2011 and for the four year period ending December 31, 2014 were met as of December 31, 2011 and therefore all the performance based shares that were granted in 2011 vested on February 24, 2012.</w:t>
      </w:r>
    </w:p>
    <w:p>
      <w:pPr>
        <w:spacing w:after="0" w:line="181" w:lineRule="exact"/>
        <w:rPr>
          <w:sz w:val="20"/>
          <w:szCs w:val="20"/>
          <w:color w:val="auto"/>
        </w:rPr>
      </w:pPr>
    </w:p>
    <w:p>
      <w:pPr>
        <w:ind w:right="40" w:firstLine="341"/>
        <w:spacing w:after="0"/>
        <w:rPr>
          <w:sz w:val="20"/>
          <w:szCs w:val="20"/>
          <w:color w:val="auto"/>
        </w:rPr>
      </w:pPr>
      <w:r>
        <w:rPr>
          <w:rFonts w:ascii="Arial" w:cs="Arial" w:eastAsia="Arial" w:hAnsi="Arial"/>
          <w:sz w:val="17"/>
          <w:szCs w:val="17"/>
          <w:color w:val="auto"/>
        </w:rPr>
        <w:t xml:space="preserve">The Board approved a grant of 30,000 shares for Mr. Warzala and 20,000 shares for Mr. Smith effective February 24, 2012. Of these shares, for each of Messrs. Warzala and Smith, 10,000 will vest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on each of March 31, 2013, 2014, and 2015, and 10,000 will vest if the established performance goal based on 2012 operating profit is achieved. For Mr. Warzala, an additional 10,000 will vest if the established performance goal based on operating profit is achieved in any of the four years ending December 31, 2015. If the performance goal for either 2012 or the four year period ending December 31, 2015 is not met, none of the performance based shares will vest.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3140" w:val="left"/>
        </w:tabs>
        <w:rPr>
          <w:sz w:val="20"/>
          <w:szCs w:val="20"/>
          <w:color w:val="auto"/>
        </w:rPr>
      </w:pPr>
      <w:r>
        <w:rPr>
          <w:rFonts w:ascii="Arial" w:cs="Arial" w:eastAsia="Arial" w:hAnsi="Arial"/>
          <w:sz w:val="17"/>
          <w:szCs w:val="17"/>
          <w:i w:val="1"/>
          <w:iCs w:val="1"/>
          <w:color w:val="auto"/>
        </w:rPr>
        <w:t>Nonqulaified Deferred Compensation.</w:t>
      </w:r>
      <w:r>
        <w:rPr>
          <w:sz w:val="20"/>
          <w:szCs w:val="20"/>
          <w:color w:val="auto"/>
        </w:rPr>
        <w:tab/>
      </w:r>
      <w:r>
        <w:rPr>
          <w:rFonts w:ascii="Arial" w:cs="Arial" w:eastAsia="Arial" w:hAnsi="Arial"/>
          <w:sz w:val="15"/>
          <w:szCs w:val="15"/>
          <w:color w:val="auto"/>
        </w:rPr>
        <w:t>The Company maintains a Deferred Compensation Plan which provides eligible key employees with the opportunity to</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defer the receipt of base compensation, bonuses, or a combination thereof, receive an allocation of any discretionary amount contributed to the Plan by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 receive an allocation of any performance based contributions by the Company. During 2011, no participants elected to defer any compensation and no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discretionary amounts, other than described below, were contributed to the Plan. Performance based contributions are set annually based on performance goals. For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2011, annual performance based contributions for Messrs. Warzala and Smith were based on the Company achieving an 8% return on beginning shareholders' equity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adjusted for the issuance of any Company stock during the year. If an 8% return was not achieved, no performance contribution would be awarded. If a return 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excess of 8% was achieved, an amount equal to 25% of such excess is contributed equally to Messrs. Warzala and Smith. For 2011, a performance contribution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$521,028 for each of Messrs. Warzala and Smith was earned and contributed to the Plan. For 2012, annual performance based contributions for Messrs. Warzala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Smith will be based on the Company achieving a 12% return on beginning shareholders' equity.</w:t>
      </w:r>
    </w:p>
    <w:p>
      <w:pPr>
        <w:spacing w:after="0" w:line="223" w:lineRule="exact"/>
        <w:rPr>
          <w:sz w:val="20"/>
          <w:szCs w:val="20"/>
          <w:color w:val="auto"/>
        </w:rPr>
      </w:pPr>
    </w:p>
    <w:p>
      <w:pPr>
        <w:ind w:right="180" w:firstLine="344"/>
        <w:spacing w:after="0" w:line="298" w:lineRule="auto"/>
        <w:rPr>
          <w:sz w:val="20"/>
          <w:szCs w:val="20"/>
          <w:color w:val="auto"/>
        </w:rPr>
      </w:pPr>
      <w:r>
        <w:rPr>
          <w:rFonts w:ascii="Arial" w:cs="Arial" w:eastAsia="Arial" w:hAnsi="Arial"/>
          <w:sz w:val="15"/>
          <w:szCs w:val="15"/>
          <w:color w:val="auto"/>
        </w:rPr>
        <w:t>Effective May 31, 2011 Mr. Warzala's agreement was amended to add supplemental retirement contributions. Under this amendment, the Company will make an annual contribution of $153,856 each May beginning in 2011 and for the next seven years ending in 2017. These contributions are guaranteed provided</w:t>
      </w:r>
    </w:p>
    <w:p>
      <w:pPr>
        <w:spacing w:after="0" w:line="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Mr. Warzala does not voluntarily terminate his employment and will be payable if his employment is terminated due to Employee's death, Disability, involuntary termination by the Company without Cause, or at any time and for any reason after a Change in Control. The contributions will be treated as Discretionary Contributions under the Deferred Compensation Plan.</w:t>
      </w:r>
    </w:p>
    <w:p>
      <w:pPr>
        <w:spacing w:after="0" w:line="182" w:lineRule="exact"/>
        <w:rPr>
          <w:sz w:val="20"/>
          <w:szCs w:val="20"/>
          <w:color w:val="auto"/>
        </w:rPr>
      </w:pPr>
    </w:p>
    <w:p>
      <w:pPr>
        <w:ind w:right="420" w:firstLine="344"/>
        <w:spacing w:after="0" w:line="273"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Messrs. Warzala and Smith participate in other benefits and perquisites as are generally provided by the Company to its employees.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the Company provides each with an automobile, personal financial planning, an annual physical examination and with life insurance for which the executive may designate the beneficiaries.</w:t>
      </w:r>
    </w:p>
    <w:p>
      <w:pPr>
        <w:spacing w:after="0" w:line="181"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In the event of termination prior to a change in control, the Agreements provide for continuation of salary, insurance benefits and other bonus prorations or settlements as outlined below.</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Payments upon retirement will be made pursuant to a retirement arrangement established with the Named Officer's consent, which may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settlement of the Annual Incentive Bonus for the current year.</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i w:val="1"/>
          <w:iCs w:val="1"/>
          <w:color w:val="auto"/>
        </w:rPr>
        <w:t xml:space="preserve">Termination for Cause. </w:t>
      </w:r>
      <w:r>
        <w:rPr>
          <w:rFonts w:ascii="Arial" w:cs="Arial" w:eastAsia="Arial" w:hAnsi="Arial"/>
          <w:sz w:val="17"/>
          <w:szCs w:val="17"/>
          <w:color w:val="auto"/>
        </w:rPr>
        <w:t>Termination for cause payments include salary continuation through the date of termination and benefit continuation until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termination month.</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Upon death, salary continues to the end of the month containing the date of death and for three months following. Any proration of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Bonus is at the Board of Directors' discretion.</w:t>
      </w:r>
    </w:p>
    <w:p>
      <w:pPr>
        <w:spacing w:after="0" w:line="16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2"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i w:val="1"/>
          <w:iCs w:val="1"/>
          <w:color w:val="auto"/>
        </w:rPr>
        <w:t xml:space="preserve">Involuntary Termination for other than Cause, Retirement, Death or Disability. </w:t>
      </w:r>
      <w:r>
        <w:rPr>
          <w:rFonts w:ascii="Arial" w:cs="Arial" w:eastAsia="Arial" w:hAnsi="Arial"/>
          <w:sz w:val="17"/>
          <w:szCs w:val="17"/>
          <w:color w:val="auto"/>
        </w:rPr>
        <w:t>Involuntary termination payments include salary continuation through the end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paid in lieu of the annual bonus and an equity award is granted at the discretion of the Board for the fiscal year in which employment is terminated.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Agreement</w:t>
      </w:r>
    </w:p>
    <w:p>
      <w:pPr>
        <w:spacing w:after="0" w:line="234" w:lineRule="exact"/>
        <w:rPr>
          <w:sz w:val="20"/>
          <w:szCs w:val="20"/>
          <w:color w:val="auto"/>
        </w:rPr>
      </w:pPr>
    </w:p>
    <w:p>
      <w:pPr>
        <w:ind w:right="40" w:firstLine="344"/>
        <w:spacing w:after="0" w:line="290" w:lineRule="auto"/>
        <w:rPr>
          <w:sz w:val="20"/>
          <w:szCs w:val="20"/>
          <w:color w:val="auto"/>
        </w:rPr>
      </w:pPr>
      <w:r>
        <w:rPr>
          <w:rFonts w:ascii="Arial" w:cs="Arial" w:eastAsia="Arial" w:hAnsi="Arial"/>
          <w:sz w:val="16"/>
          <w:szCs w:val="16"/>
          <w:color w:val="auto"/>
        </w:rPr>
        <w:t>Effective January 4, 2011, the Company entered into a five-year consulting agreement with Mr. Smith that will become effective upon his anticipated retirement as a full time employee of the Company on March 31, 2013. Upon his retirement, Mr. Smith will receive an annual consulting fee and will be available to work part time as an independent contractor on assignments as requested by the Chief Executive Officer and agreed upon by Mr. Smith. After his retirement, Mr. Smith will continue to serve as a Board Member of the Company as recommended by the Board of Directors and approved by the Company's shareholders.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 Agreements</w:t>
      </w:r>
    </w:p>
    <w:p>
      <w:pPr>
        <w:spacing w:after="0" w:line="234" w:lineRule="exact"/>
        <w:rPr>
          <w:sz w:val="20"/>
          <w:szCs w:val="20"/>
          <w:color w:val="auto"/>
        </w:rPr>
      </w:pPr>
    </w:p>
    <w:p>
      <w:pPr>
        <w:ind w:right="40" w:firstLine="341"/>
        <w:spacing w:after="0" w:line="295" w:lineRule="auto"/>
        <w:rPr>
          <w:sz w:val="20"/>
          <w:szCs w:val="20"/>
          <w:color w:val="auto"/>
        </w:rPr>
      </w:pPr>
      <w:r>
        <w:rPr>
          <w:rFonts w:ascii="Arial" w:cs="Arial" w:eastAsia="Arial" w:hAnsi="Arial"/>
          <w:sz w:val="15"/>
          <w:szCs w:val="15"/>
          <w:color w:val="auto"/>
        </w:rPr>
        <w:t>The Company has entered into separate agreements with Messrs. Warzala, Smith and Wyman,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a similar agreement (providing one times severance payments) with one other key officer. The change in control agreements are applicable to a change in control of the Company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of</w:t>
      </w:r>
    </w:p>
    <w:p>
      <w:pPr>
        <w:spacing w:after="0" w:line="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Messrs. Warzala and Smith would not be in the best interests of the shareholders. However, the Board of Directors determined that Mr. Wyman's responsibilities have changed and no longer fit with the purpose of the agreements and therefore, he was served notice that his agreement would not be extended, and would, therefore, expire at the end of 2012.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2011 Fiscal Year End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all option awards are expired.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the Named Executive Officers as of December 31, 2011.</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6"/>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940" w:type="dxa"/>
            <w:vAlign w:val="bottom"/>
            <w:gridSpan w:val="2"/>
          </w:tcPr>
          <w:p>
            <w:pPr>
              <w:jc w:val="center"/>
              <w:ind w:right="680"/>
              <w:spacing w:after="0" w:line="126" w:lineRule="exact"/>
              <w:rPr>
                <w:sz w:val="20"/>
                <w:szCs w:val="20"/>
                <w:color w:val="auto"/>
              </w:rPr>
            </w:pPr>
            <w:r>
              <w:rPr>
                <w:rFonts w:ascii="Arial" w:cs="Arial" w:eastAsia="Arial" w:hAnsi="Arial"/>
                <w:sz w:val="13"/>
                <w:szCs w:val="13"/>
                <w:b w:val="1"/>
                <w:bCs w:val="1"/>
                <w:color w:val="auto"/>
                <w:w w:val="91"/>
              </w:rPr>
              <w:t>Number of Shares</w:t>
            </w:r>
          </w:p>
        </w:tc>
        <w:tc>
          <w:tcPr>
            <w:tcW w:w="100" w:type="dxa"/>
            <w:vAlign w:val="bottom"/>
          </w:tcPr>
          <w:p>
            <w:pPr>
              <w:spacing w:after="0"/>
              <w:rPr>
                <w:sz w:val="10"/>
                <w:szCs w:val="10"/>
                <w:color w:val="auto"/>
              </w:rPr>
            </w:pPr>
          </w:p>
        </w:tc>
        <w:tc>
          <w:tcPr>
            <w:tcW w:w="1140" w:type="dxa"/>
            <w:vAlign w:val="bottom"/>
          </w:tcPr>
          <w:p>
            <w:pPr>
              <w:jc w:val="center"/>
              <w:ind w:right="26"/>
              <w:spacing w:after="0" w:line="126" w:lineRule="exact"/>
              <w:rPr>
                <w:sz w:val="20"/>
                <w:szCs w:val="20"/>
                <w:color w:val="auto"/>
              </w:rPr>
            </w:pPr>
            <w:r>
              <w:rPr>
                <w:rFonts w:ascii="Arial" w:cs="Arial" w:eastAsia="Arial" w:hAnsi="Arial"/>
                <w:sz w:val="13"/>
                <w:szCs w:val="13"/>
                <w:b w:val="1"/>
                <w:bCs w:val="1"/>
                <w:color w:val="auto"/>
                <w:w w:val="95"/>
              </w:rPr>
              <w:t>Market Value of</w:t>
            </w:r>
          </w:p>
        </w:tc>
        <w:tc>
          <w:tcPr>
            <w:tcW w:w="160" w:type="dxa"/>
            <w:vAlign w:val="bottom"/>
          </w:tcPr>
          <w:p>
            <w:pPr>
              <w:spacing w:after="0"/>
              <w:rPr>
                <w:sz w:val="10"/>
                <w:szCs w:val="10"/>
                <w:color w:val="auto"/>
              </w:rPr>
            </w:pP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92"/>
              </w:rPr>
              <w:t>or Units of Stock</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1"/>
              </w:rPr>
              <w:t>Shares or Units of</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96"/>
              </w:rPr>
              <w:t>That Have Not</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Stock That Have</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gridSpan w:val="2"/>
          </w:tcPr>
          <w:p>
            <w:pPr>
              <w:jc w:val="center"/>
              <w:ind w:right="680"/>
              <w:spacing w:after="0" w:line="146" w:lineRule="exact"/>
              <w:rPr>
                <w:sz w:val="20"/>
                <w:szCs w:val="20"/>
                <w:color w:val="auto"/>
              </w:rPr>
            </w:pPr>
            <w:r>
              <w:rPr>
                <w:rFonts w:ascii="Arial" w:cs="Arial" w:eastAsia="Arial" w:hAnsi="Arial"/>
                <w:sz w:val="13"/>
                <w:szCs w:val="13"/>
                <w:b w:val="1"/>
                <w:bCs w:val="1"/>
                <w:color w:val="auto"/>
                <w:w w:val="89"/>
              </w:rPr>
              <w:t>Vested</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1"/>
              </w:rPr>
              <w:t>Not Vested</w:t>
            </w:r>
          </w:p>
        </w:tc>
      </w:tr>
      <w:tr>
        <w:trPr>
          <w:trHeight w:val="15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280" w:type="dxa"/>
            <w:vAlign w:val="bottom"/>
            <w:gridSpan w:val="2"/>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94"/>
              </w:rPr>
              <w:t>($)(1)</w:t>
            </w:r>
          </w:p>
        </w:tc>
        <w:tc>
          <w:tcPr>
            <w:tcW w:w="160" w:type="dxa"/>
            <w:vAlign w:val="bottom"/>
          </w:tcPr>
          <w:p>
            <w:pPr>
              <w:spacing w:after="0"/>
              <w:rPr>
                <w:sz w:val="13"/>
                <w:szCs w:val="13"/>
                <w:color w:val="auto"/>
              </w:rPr>
            </w:pPr>
          </w:p>
        </w:tc>
      </w:tr>
      <w:tr>
        <w:trPr>
          <w:trHeight w:val="205"/>
        </w:trPr>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112,692(2)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635,583</w:t>
            </w:r>
          </w:p>
        </w:tc>
      </w:tr>
      <w:tr>
        <w:trPr>
          <w:trHeight w:val="212"/>
        </w:trPr>
        <w:tc>
          <w:tcPr>
            <w:tcW w:w="464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1940" w:type="dxa"/>
            <w:vAlign w:val="bottom"/>
            <w:gridSpan w:val="2"/>
          </w:tcPr>
          <w:p>
            <w:pPr>
              <w:jc w:val="right"/>
              <w:ind w:right="500"/>
              <w:spacing w:after="0"/>
              <w:rPr>
                <w:sz w:val="20"/>
                <w:szCs w:val="20"/>
                <w:color w:val="auto"/>
              </w:rPr>
            </w:pPr>
            <w:r>
              <w:rPr>
                <w:rFonts w:ascii="Arial" w:cs="Arial" w:eastAsia="Arial" w:hAnsi="Arial"/>
                <w:sz w:val="17"/>
                <w:szCs w:val="17"/>
                <w:color w:val="auto"/>
              </w:rPr>
              <w:t>46,026(3)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259,587</w:t>
            </w:r>
          </w:p>
        </w:tc>
      </w:tr>
      <w:tr>
        <w:trPr>
          <w:trHeight w:val="212"/>
        </w:trPr>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5,333(4)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30,078</w:t>
            </w:r>
          </w:p>
        </w:tc>
      </w:tr>
      <w:tr>
        <w:trPr>
          <w:trHeight w:val="106"/>
        </w:trPr>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2240" w:right="380" w:hanging="522"/>
        <w:spacing w:after="0" w:line="287"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Value is based on the closing price of the Company's common stock of $5.64 on December 31, 2011, as reported on the Nasdaq Global Market.</w:t>
      </w:r>
    </w:p>
    <w:p>
      <w:pPr>
        <w:spacing w:after="0" w:line="194" w:lineRule="exact"/>
        <w:rPr>
          <w:rFonts w:ascii="Arial" w:cs="Arial" w:eastAsia="Arial" w:hAnsi="Arial"/>
          <w:sz w:val="17"/>
          <w:szCs w:val="17"/>
          <w:color w:val="auto"/>
        </w:rPr>
      </w:pPr>
    </w:p>
    <w:p>
      <w:pPr>
        <w:ind w:left="2240" w:right="60" w:hanging="522"/>
        <w:spacing w:after="0" w:line="273"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 targets established in 2011 were met as of December 31, 2011 and therefore, 20,000 shares vested February 17, 2012. Assuming continued employment with the Company, 48,013 shares vest on March 31, 2012, 41,346 shares vest on March 31, 2013, and 3,333 shares vest on March 31, 2014.</w:t>
      </w:r>
    </w:p>
    <w:p>
      <w:pPr>
        <w:spacing w:after="0" w:line="193" w:lineRule="exact"/>
        <w:rPr>
          <w:rFonts w:ascii="Arial" w:cs="Arial" w:eastAsia="Arial" w:hAnsi="Arial"/>
          <w:sz w:val="17"/>
          <w:szCs w:val="17"/>
          <w:color w:val="auto"/>
        </w:rPr>
      </w:pPr>
    </w:p>
    <w:p>
      <w:pPr>
        <w:jc w:val="both"/>
        <w:ind w:left="2240" w:right="140" w:hanging="522"/>
        <w:spacing w:after="0" w:line="273"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 targets established in 2011 were met as of December 31, 2011 and therefore, 20,000 shares vested February 17, 2012. Assuming continued employment with the Company, 14,680 shares vest on March 31, 2012, 8,013 shares vest on March 31, 2013, and 3,333 shares vest on March 31, 2014.</w:t>
      </w:r>
    </w:p>
    <w:p>
      <w:pPr>
        <w:spacing w:after="0" w:line="193" w:lineRule="exact"/>
        <w:rPr>
          <w:rFonts w:ascii="Arial" w:cs="Arial" w:eastAsia="Arial" w:hAnsi="Arial"/>
          <w:sz w:val="17"/>
          <w:szCs w:val="17"/>
          <w:color w:val="auto"/>
        </w:rPr>
      </w:pPr>
    </w:p>
    <w:p>
      <w:pPr>
        <w:ind w:left="2240" w:hanging="522"/>
        <w:spacing w:after="0" w:line="287"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Assuming continued employment with the Company, 2,001 shares vest on March 31, 2012, 1,999 shares vest on March 31, 2013 and 1,333 shares vest on March 31, 2014.</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 in 2011</w:t>
      </w:r>
    </w:p>
    <w:p>
      <w:pPr>
        <w:spacing w:after="0" w:line="234" w:lineRule="exact"/>
        <w:rPr>
          <w:sz w:val="20"/>
          <w:szCs w:val="20"/>
          <w:color w:val="auto"/>
        </w:rPr>
      </w:pPr>
    </w:p>
    <w:p>
      <w:pPr>
        <w:ind w:right="400" w:firstLine="341"/>
        <w:spacing w:after="0" w:line="287" w:lineRule="auto"/>
        <w:rPr>
          <w:sz w:val="20"/>
          <w:szCs w:val="20"/>
          <w:color w:val="auto"/>
        </w:rPr>
      </w:pPr>
      <w:r>
        <w:rPr>
          <w:rFonts w:ascii="Arial" w:cs="Arial" w:eastAsia="Arial" w:hAnsi="Arial"/>
          <w:sz w:val="17"/>
          <w:szCs w:val="17"/>
          <w:color w:val="auto"/>
        </w:rPr>
        <w:t>The following table shows all stock options exercised and value realized upon exercise, and all stock awards vested and value realized upon vesting by the Named Executive Officers during 2011.</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540" w:type="dxa"/>
            <w:vAlign w:val="bottom"/>
            <w:gridSpan w:val="5"/>
          </w:tcPr>
          <w:p>
            <w:pPr>
              <w:ind w:left="760"/>
              <w:spacing w:after="0"/>
              <w:rPr>
                <w:sz w:val="20"/>
                <w:szCs w:val="20"/>
                <w:color w:val="auto"/>
              </w:rPr>
            </w:pPr>
            <w:r>
              <w:rPr>
                <w:rFonts w:ascii="Arial" w:cs="Arial" w:eastAsia="Arial" w:hAnsi="Arial"/>
                <w:sz w:val="13"/>
                <w:szCs w:val="13"/>
                <w:b w:val="1"/>
                <w:bCs w:val="1"/>
                <w:color w:val="auto"/>
              </w:rPr>
              <w:t>Option Awards</w:t>
            </w: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1"/>
              </w:rPr>
              <w:t>Number of Shares</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1"/>
              </w:rPr>
              <w:t>Number of Shares</w:t>
            </w: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Acquired on</w:t>
            </w:r>
          </w:p>
        </w:tc>
        <w:tc>
          <w:tcPr>
            <w:tcW w:w="116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Value Realized</w:t>
            </w:r>
          </w:p>
        </w:tc>
        <w:tc>
          <w:tcPr>
            <w:tcW w:w="14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Acquired on</w:t>
            </w:r>
          </w:p>
        </w:tc>
        <w:tc>
          <w:tcPr>
            <w:tcW w:w="116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Value Realized</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0"/>
              </w:rPr>
              <w:t>on Exercise</w:t>
            </w:r>
          </w:p>
        </w:tc>
        <w:tc>
          <w:tcPr>
            <w:tcW w:w="14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9"/>
              </w:rPr>
              <w:t>Vesting</w:t>
            </w:r>
          </w:p>
        </w:tc>
        <w:tc>
          <w:tcPr>
            <w:tcW w:w="200" w:type="dxa"/>
            <w:vAlign w:val="bottom"/>
          </w:tcPr>
          <w:p>
            <w:pPr>
              <w:spacing w:after="0"/>
              <w:rPr>
                <w:sz w:val="12"/>
                <w:szCs w:val="12"/>
                <w:color w:val="auto"/>
              </w:rPr>
            </w:pPr>
          </w:p>
        </w:tc>
        <w:tc>
          <w:tcPr>
            <w:tcW w:w="96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0"/>
              </w:rPr>
              <w:t>on Vesting</w:t>
            </w:r>
          </w:p>
        </w:tc>
        <w:tc>
          <w:tcPr>
            <w:tcW w:w="0" w:type="dxa"/>
            <w:vAlign w:val="bottom"/>
          </w:tcPr>
          <w:p>
            <w:pPr>
              <w:spacing w:after="0"/>
              <w:rPr>
                <w:sz w:val="1"/>
                <w:szCs w:val="1"/>
                <w:color w:val="auto"/>
              </w:rPr>
            </w:pPr>
          </w:p>
        </w:tc>
      </w:tr>
      <w:tr>
        <w:trPr>
          <w:trHeight w:val="158"/>
        </w:trPr>
        <w:tc>
          <w:tcPr>
            <w:tcW w:w="3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700" w:type="dxa"/>
            <w:vAlign w:val="bottom"/>
            <w:gridSpan w:val="2"/>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4"/>
              </w:rPr>
              <w:t>($)(1)</w:t>
            </w:r>
          </w:p>
        </w:tc>
        <w:tc>
          <w:tcPr>
            <w:tcW w:w="16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380" w:type="dxa"/>
            <w:vAlign w:val="bottom"/>
            <w:gridSpan w:val="2"/>
            <w:vMerge w:val="restart"/>
            <w:shd w:val="clear" w:color="auto" w:fill="CCEEFF"/>
          </w:tcPr>
          <w:p>
            <w:pPr>
              <w:ind w:left="760"/>
              <w:spacing w:after="0"/>
              <w:rPr>
                <w:sz w:val="20"/>
                <w:szCs w:val="20"/>
                <w:color w:val="auto"/>
              </w:rPr>
            </w:pPr>
            <w:r>
              <w:rPr>
                <w:rFonts w:ascii="Arial" w:cs="Arial" w:eastAsia="Arial" w:hAnsi="Arial"/>
                <w:sz w:val="17"/>
                <w:szCs w:val="17"/>
                <w:color w:val="auto"/>
              </w:rPr>
              <w:t>60,000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273,600</w:t>
            </w: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100,741</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709,272</w:t>
            </w:r>
          </w:p>
        </w:tc>
        <w:tc>
          <w:tcPr>
            <w:tcW w:w="0" w:type="dxa"/>
            <w:vAlign w:val="bottom"/>
          </w:tcPr>
          <w:p>
            <w:pPr>
              <w:spacing w:after="0" w:line="20" w:lineRule="exact"/>
              <w:rPr>
                <w:sz w:val="1"/>
                <w:szCs w:val="1"/>
                <w:color w:val="auto"/>
              </w:rPr>
            </w:pPr>
          </w:p>
        </w:tc>
      </w:tr>
      <w:tr>
        <w:trPr>
          <w:trHeight w:val="185"/>
        </w:trPr>
        <w:tc>
          <w:tcPr>
            <w:tcW w:w="408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auto"/>
              </w:rPr>
              <w:t>Richard S. Warzala</w:t>
            </w:r>
          </w:p>
        </w:tc>
        <w:tc>
          <w:tcPr>
            <w:tcW w:w="13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1380" w:type="dxa"/>
            <w:vAlign w:val="bottom"/>
            <w:gridSpan w:val="2"/>
          </w:tcPr>
          <w:p>
            <w:pPr>
              <w:ind w:left="760"/>
              <w:spacing w:after="0"/>
              <w:rPr>
                <w:sz w:val="20"/>
                <w:szCs w:val="20"/>
                <w:color w:val="auto"/>
              </w:rPr>
            </w:pPr>
            <w:r>
              <w:rPr>
                <w:rFonts w:ascii="Arial" w:cs="Arial" w:eastAsia="Arial" w:hAnsi="Arial"/>
                <w:sz w:val="17"/>
                <w:szCs w:val="17"/>
                <w:color w:val="auto"/>
              </w:rPr>
              <w:t>60,000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223,718</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67,407</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475,934</w:t>
            </w:r>
          </w:p>
        </w:tc>
        <w:tc>
          <w:tcPr>
            <w:tcW w:w="0" w:type="dxa"/>
            <w:vAlign w:val="bottom"/>
          </w:tcPr>
          <w:p>
            <w:pPr>
              <w:spacing w:after="0"/>
              <w:rPr>
                <w:sz w:val="1"/>
                <w:szCs w:val="1"/>
                <w:color w:val="auto"/>
              </w:rPr>
            </w:pPr>
          </w:p>
        </w:tc>
      </w:tr>
      <w:tr>
        <w:trPr>
          <w:trHeight w:val="212"/>
        </w:trPr>
        <w:tc>
          <w:tcPr>
            <w:tcW w:w="4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106"/>
        </w:trPr>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680" w:right="60" w:hanging="533"/>
        <w:spacing w:after="0" w:line="287" w:lineRule="auto"/>
        <w:tabs>
          <w:tab w:leader="none" w:pos="1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181" w:lineRule="exact"/>
        <w:rPr>
          <w:rFonts w:ascii="Arial" w:cs="Arial" w:eastAsia="Arial" w:hAnsi="Arial"/>
          <w:sz w:val="17"/>
          <w:szCs w:val="17"/>
          <w:color w:val="auto"/>
        </w:rPr>
      </w:pPr>
    </w:p>
    <w:p>
      <w:pPr>
        <w:ind w:left="1680" w:hanging="533"/>
        <w:spacing w:after="0"/>
        <w:tabs>
          <w:tab w:leader="none" w:pos="1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Value realized equals the market value of the Company's common stock on the vesting date, multiplied by the number of shares that vested.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for 2011</w:t>
      </w:r>
    </w:p>
    <w:p>
      <w:pPr>
        <w:spacing w:after="0" w:line="234" w:lineRule="exact"/>
        <w:rPr>
          <w:sz w:val="20"/>
          <w:szCs w:val="20"/>
          <w:color w:val="auto"/>
        </w:rPr>
      </w:pPr>
    </w:p>
    <w:p>
      <w:pPr>
        <w:ind w:right="140" w:firstLine="341"/>
        <w:spacing w:after="0" w:line="273" w:lineRule="auto"/>
        <w:rPr>
          <w:sz w:val="20"/>
          <w:szCs w:val="20"/>
          <w:color w:val="auto"/>
        </w:rPr>
      </w:pPr>
      <w:r>
        <w:rPr>
          <w:rFonts w:ascii="Arial" w:cs="Arial" w:eastAsia="Arial" w:hAnsi="Arial"/>
          <w:sz w:val="17"/>
          <w:szCs w:val="17"/>
          <w:color w:val="auto"/>
        </w:rPr>
        <w:t>The Board of Directors holds four regular full day meetings each year. Through March 2012, non-employee directors received an annual retainer of $20,000, paid quarterly, plus $1,000 per full day meeting of the board attended and $600 per telephone meeting attended. The Audit Committee chairman receives an annual retainer of $7,000, the Compensation Committee and Governance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Nominating Committee chairmen each receive an annual retainer of $4,500 and each committee member receives a $1,800 annual retainer, each of which are paid quarterly.</w:t>
      </w:r>
    </w:p>
    <w:p>
      <w:pPr>
        <w:spacing w:after="0" w:line="16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Beginning April 2012, non-employee directors will receive an annual retainer of $22,000, paid quarterly, plus $1,200 per full day meeting of the board attended and $600 per telephone meeting attended. The Audit Committee chairman will receive an annual retainer of $7,200, the Compensation Committee and Governance and Nominating Committee chairmen will each receive an annual retainer of $4,700 and each committee member will receive a $2,000 annual retainer, each of which are paid quarterly.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compensation paid by the Company to non-employee Directors for 2011.</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Fees Earned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5"/>
              </w:rPr>
              <w:t>or Paid</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3"/>
              </w:rPr>
              <w:t>in Cash</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Total</w:t>
            </w:r>
          </w:p>
        </w:tc>
      </w:tr>
      <w:tr>
        <w:trPr>
          <w:trHeight w:val="15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900" w:type="dxa"/>
            <w:vAlign w:val="bottom"/>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r>
      <w:tr>
        <w:trPr>
          <w:trHeight w:val="205"/>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 R. (Rollie) Heath, Jr.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21,240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49,040</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Delwin D. Hock</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33,950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28,320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62,270</w:t>
            </w:r>
          </w:p>
        </w:tc>
      </w:tr>
      <w:tr>
        <w:trPr>
          <w:trHeight w:val="212"/>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45,370</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George J. Pilmanis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32,175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24,780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56,955</w:t>
            </w:r>
          </w:p>
        </w:tc>
      </w:tr>
      <w:tr>
        <w:trPr>
          <w:trHeight w:val="212"/>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 M. Robert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21,240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45,490</w:t>
            </w:r>
          </w:p>
        </w:tc>
      </w:tr>
      <w:tr>
        <w:trPr>
          <w:trHeight w:val="106"/>
        </w:trPr>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2240" w:hanging="522"/>
        <w:spacing w:after="0" w:line="357" w:lineRule="auto"/>
        <w:tabs>
          <w:tab w:leader="none" w:pos="2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all option awards are expired.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2011 is shown below:</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98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1"/>
              </w:rPr>
              <w:t>Number of Shares</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80" w:type="dxa"/>
            <w:vAlign w:val="bottom"/>
            <w:gridSpan w:val="2"/>
          </w:tcPr>
          <w:p>
            <w:pPr>
              <w:jc w:val="center"/>
              <w:ind w:right="740"/>
              <w:spacing w:after="0" w:line="146" w:lineRule="exact"/>
              <w:rPr>
                <w:sz w:val="20"/>
                <w:szCs w:val="20"/>
                <w:color w:val="auto"/>
              </w:rPr>
            </w:pPr>
            <w:r>
              <w:rPr>
                <w:rFonts w:ascii="Arial" w:cs="Arial" w:eastAsia="Arial" w:hAnsi="Arial"/>
                <w:sz w:val="13"/>
                <w:szCs w:val="13"/>
                <w:b w:val="1"/>
                <w:bCs w:val="1"/>
                <w:color w:val="auto"/>
                <w:w w:val="88"/>
              </w:rPr>
              <w:t>Unvested</w:t>
            </w:r>
          </w:p>
        </w:tc>
      </w:tr>
      <w:tr>
        <w:trPr>
          <w:trHeight w:val="178"/>
        </w:trPr>
        <w:tc>
          <w:tcPr>
            <w:tcW w:w="60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 Awards</w:t>
            </w:r>
          </w:p>
        </w:tc>
        <w:tc>
          <w:tcPr>
            <w:tcW w:w="760" w:type="dxa"/>
            <w:vAlign w:val="bottom"/>
          </w:tcPr>
          <w:p>
            <w:pPr>
              <w:spacing w:after="0"/>
              <w:rPr>
                <w:sz w:val="15"/>
                <w:szCs w:val="15"/>
                <w:color w:val="auto"/>
              </w:rPr>
            </w:pPr>
          </w:p>
        </w:tc>
      </w:tr>
      <w:tr>
        <w:trPr>
          <w:trHeight w:val="185"/>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0"/>
              </w:rPr>
              <w:t>Joseph</w:t>
            </w:r>
          </w:p>
        </w:tc>
        <w:tc>
          <w:tcPr>
            <w:tcW w:w="5640" w:type="dxa"/>
            <w:vAlign w:val="bottom"/>
            <w:tcBorders>
              <w:top w:val="single" w:sz="8" w:color="CCEEFF"/>
            </w:tcBorders>
            <w:gridSpan w:val="2"/>
            <w:shd w:val="clear" w:color="auto" w:fill="CCEEFF"/>
          </w:tcPr>
          <w:p>
            <w:pPr>
              <w:ind w:left="160"/>
              <w:spacing w:after="0" w:line="185" w:lineRule="exact"/>
              <w:rPr>
                <w:sz w:val="20"/>
                <w:szCs w:val="20"/>
                <w:color w:val="auto"/>
              </w:rPr>
            </w:pPr>
            <w:r>
              <w:rPr>
                <w:rFonts w:ascii="Arial" w:cs="Arial" w:eastAsia="Arial" w:hAnsi="Arial"/>
                <w:sz w:val="17"/>
                <w:szCs w:val="17"/>
                <w:color w:val="auto"/>
              </w:rPr>
              <w:t>W. Bagan</w:t>
            </w:r>
          </w:p>
        </w:tc>
        <w:tc>
          <w:tcPr>
            <w:tcW w:w="1980" w:type="dxa"/>
            <w:vAlign w:val="bottom"/>
            <w:tcBorders>
              <w:top w:val="single" w:sz="8" w:color="CCEEFF"/>
            </w:tcBorders>
            <w:gridSpan w:val="2"/>
            <w:shd w:val="clear" w:color="auto" w:fill="CCEEFF"/>
          </w:tcPr>
          <w:p>
            <w:pPr>
              <w:jc w:val="right"/>
              <w:ind w:right="540"/>
              <w:spacing w:after="0" w:line="185" w:lineRule="exact"/>
              <w:rPr>
                <w:sz w:val="20"/>
                <w:szCs w:val="20"/>
                <w:color w:val="auto"/>
              </w:rPr>
            </w:pPr>
            <w:r>
              <w:rPr>
                <w:rFonts w:ascii="Arial" w:cs="Arial" w:eastAsia="Arial" w:hAnsi="Arial"/>
                <w:sz w:val="17"/>
                <w:szCs w:val="17"/>
                <w:color w:val="auto"/>
              </w:rPr>
              <w:t>—(1)</w:t>
            </w:r>
          </w:p>
        </w:tc>
      </w:tr>
      <w:tr>
        <w:trPr>
          <w:trHeight w:val="212"/>
        </w:trPr>
        <w:tc>
          <w:tcPr>
            <w:tcW w:w="6000" w:type="dxa"/>
            <w:vAlign w:val="bottom"/>
            <w:gridSpan w:val="3"/>
          </w:tcPr>
          <w:p>
            <w:pPr>
              <w:spacing w:after="0"/>
              <w:rPr>
                <w:sz w:val="20"/>
                <w:szCs w:val="20"/>
                <w:color w:val="auto"/>
              </w:rPr>
            </w:pPr>
            <w:r>
              <w:rPr>
                <w:rFonts w:ascii="Arial" w:cs="Arial" w:eastAsia="Arial" w:hAnsi="Arial"/>
                <w:sz w:val="17"/>
                <w:szCs w:val="17"/>
                <w:color w:val="auto"/>
              </w:rPr>
              <w:t>Richard D. Federico</w:t>
            </w:r>
          </w:p>
        </w:tc>
        <w:tc>
          <w:tcPr>
            <w:tcW w:w="1980" w:type="dxa"/>
            <w:vAlign w:val="bottom"/>
            <w:gridSpan w:val="2"/>
          </w:tcPr>
          <w:p>
            <w:pPr>
              <w:jc w:val="right"/>
              <w:ind w:right="540"/>
              <w:spacing w:after="0"/>
              <w:rPr>
                <w:sz w:val="20"/>
                <w:szCs w:val="20"/>
                <w:color w:val="auto"/>
              </w:rPr>
            </w:pPr>
            <w:r>
              <w:rPr>
                <w:rFonts w:ascii="Arial" w:cs="Arial" w:eastAsia="Arial" w:hAnsi="Arial"/>
                <w:sz w:val="17"/>
                <w:szCs w:val="17"/>
                <w:color w:val="auto"/>
              </w:rPr>
              <w:t>—(1)</w:t>
            </w:r>
          </w:p>
        </w:tc>
      </w:tr>
      <w:tr>
        <w:trPr>
          <w:trHeight w:val="212"/>
        </w:trPr>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 R. (Rollie) Heath, Jr.</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5,152</w:t>
            </w:r>
          </w:p>
        </w:tc>
      </w:tr>
      <w:tr>
        <w:trPr>
          <w:trHeight w:val="212"/>
        </w:trPr>
        <w:tc>
          <w:tcPr>
            <w:tcW w:w="6000" w:type="dxa"/>
            <w:vAlign w:val="bottom"/>
            <w:gridSpan w:val="3"/>
          </w:tcPr>
          <w:p>
            <w:pPr>
              <w:spacing w:after="0"/>
              <w:rPr>
                <w:sz w:val="20"/>
                <w:szCs w:val="20"/>
                <w:color w:val="auto"/>
              </w:rPr>
            </w:pPr>
            <w:r>
              <w:rPr>
                <w:rFonts w:ascii="Arial" w:cs="Arial" w:eastAsia="Arial" w:hAnsi="Arial"/>
                <w:sz w:val="17"/>
                <w:szCs w:val="17"/>
                <w:color w:val="auto"/>
              </w:rPr>
              <w:t>Delwin D. Hock</w:t>
            </w: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7,153</w:t>
            </w:r>
          </w:p>
        </w:tc>
      </w:tr>
      <w:tr>
        <w:trPr>
          <w:trHeight w:val="212"/>
        </w:trPr>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6,500</w:t>
            </w:r>
          </w:p>
        </w:tc>
      </w:tr>
      <w:tr>
        <w:trPr>
          <w:trHeight w:val="212"/>
        </w:trPr>
        <w:tc>
          <w:tcPr>
            <w:tcW w:w="6000" w:type="dxa"/>
            <w:vAlign w:val="bottom"/>
            <w:gridSpan w:val="3"/>
          </w:tcPr>
          <w:p>
            <w:pPr>
              <w:spacing w:after="0"/>
              <w:rPr>
                <w:sz w:val="20"/>
                <w:szCs w:val="20"/>
                <w:color w:val="auto"/>
              </w:rPr>
            </w:pPr>
            <w:r>
              <w:rPr>
                <w:rFonts w:ascii="Arial" w:cs="Arial" w:eastAsia="Arial" w:hAnsi="Arial"/>
                <w:sz w:val="17"/>
                <w:szCs w:val="17"/>
                <w:color w:val="auto"/>
              </w:rPr>
              <w:t>George J. Pilmanis</w:t>
            </w: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6.319</w:t>
            </w:r>
          </w:p>
        </w:tc>
      </w:tr>
      <w:tr>
        <w:trPr>
          <w:trHeight w:val="212"/>
        </w:trPr>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 M. Robert</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5,152</w:t>
            </w:r>
          </w:p>
        </w:tc>
      </w:tr>
      <w:tr>
        <w:trPr>
          <w:trHeight w:val="106"/>
        </w:trPr>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230" w:lineRule="exact"/>
        <w:rPr>
          <w:sz w:val="20"/>
          <w:szCs w:val="20"/>
          <w:color w:val="auto"/>
        </w:rPr>
      </w:pPr>
    </w:p>
    <w:p>
      <w:pPr>
        <w:ind w:left="2240" w:hanging="522"/>
        <w:spacing w:after="0"/>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Messrs. Bagan and Federico were elected to the Board of Directors effective February 2012.</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approved grants of restricted shares to each of the non-employee directors effective February 24, 2012, with one-third vesting each year 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March 31, 2013, 2014 and 2015 as follows: Messrs. Bagan and Federico, 5,000 shares each; Messrs. Hock and Laber, 4,000 shares each; Mr. Pilmanis 3,500 shares;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Messrs. Robert and Heath, 3,000 shares each.</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OWNERSHIP OF COMPANY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34" w:lineRule="exact"/>
        <w:rPr>
          <w:sz w:val="20"/>
          <w:szCs w:val="20"/>
          <w:color w:val="auto"/>
        </w:rPr>
      </w:pPr>
    </w:p>
    <w:p>
      <w:pPr>
        <w:ind w:right="80" w:firstLine="341"/>
        <w:spacing w:after="0" w:line="320"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Amount of</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2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2"/>
              </w:rPr>
              <w:t>Common Stock</w:t>
            </w:r>
          </w:p>
        </w:tc>
        <w:tc>
          <w:tcPr>
            <w:tcW w:w="13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Percent of</w:t>
            </w:r>
          </w:p>
        </w:tc>
      </w:tr>
      <w:tr>
        <w:trPr>
          <w:trHeight w:val="158"/>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Beneficially Owned</w:t>
            </w:r>
          </w:p>
        </w:tc>
        <w:tc>
          <w:tcPr>
            <w:tcW w:w="4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Common Stock(1)</w:t>
            </w:r>
          </w:p>
        </w:tc>
        <w:tc>
          <w:tcPr>
            <w:tcW w:w="160" w:type="dxa"/>
            <w:vAlign w:val="bottom"/>
          </w:tcPr>
          <w:p>
            <w:pPr>
              <w:spacing w:after="0"/>
              <w:rPr>
                <w:sz w:val="13"/>
                <w:szCs w:val="13"/>
                <w:color w:val="auto"/>
              </w:rPr>
            </w:pPr>
          </w:p>
        </w:tc>
      </w:tr>
      <w:tr>
        <w:trPr>
          <w:trHeight w:val="205"/>
        </w:trPr>
        <w:tc>
          <w:tcPr>
            <w:tcW w:w="4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829,111(2)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2"/>
        </w:trPr>
        <w:tc>
          <w:tcPr>
            <w:tcW w:w="47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23 Inverness Way East, Suite 150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47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Englewood, Colorado 80112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5"/>
        </w:trPr>
        <w:tc>
          <w:tcPr>
            <w:tcW w:w="4780" w:type="dxa"/>
            <w:vAlign w:val="bottom"/>
            <w:gridSpan w:val="3"/>
          </w:tcPr>
          <w:p>
            <w:pPr>
              <w:spacing w:after="0"/>
              <w:rPr>
                <w:sz w:val="20"/>
                <w:szCs w:val="20"/>
                <w:color w:val="auto"/>
              </w:rPr>
            </w:pPr>
            <w:r>
              <w:rPr>
                <w:rFonts w:ascii="Arial" w:cs="Arial" w:eastAsia="Arial" w:hAnsi="Arial"/>
                <w:sz w:val="17"/>
                <w:szCs w:val="17"/>
                <w:color w:val="auto"/>
              </w:rPr>
              <w:t>Eugene E. Prince</w:t>
            </w:r>
          </w:p>
        </w:tc>
        <w:tc>
          <w:tcPr>
            <w:tcW w:w="1840" w:type="dxa"/>
            <w:vAlign w:val="bottom"/>
            <w:gridSpan w:val="3"/>
          </w:tcPr>
          <w:p>
            <w:pPr>
              <w:jc w:val="right"/>
              <w:ind w:right="200"/>
              <w:spacing w:after="0"/>
              <w:rPr>
                <w:sz w:val="20"/>
                <w:szCs w:val="20"/>
                <w:color w:val="auto"/>
              </w:rPr>
            </w:pPr>
            <w:r>
              <w:rPr>
                <w:rFonts w:ascii="Arial" w:cs="Arial" w:eastAsia="Arial" w:hAnsi="Arial"/>
                <w:sz w:val="17"/>
                <w:szCs w:val="17"/>
                <w:color w:val="auto"/>
              </w:rPr>
              <w:t>673,580(3)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7.8%</w:t>
            </w:r>
          </w:p>
        </w:tc>
      </w:tr>
      <w:tr>
        <w:trPr>
          <w:trHeight w:val="212"/>
        </w:trPr>
        <w:tc>
          <w:tcPr>
            <w:tcW w:w="4780" w:type="dxa"/>
            <w:vAlign w:val="bottom"/>
            <w:gridSpan w:val="3"/>
          </w:tcPr>
          <w:p>
            <w:pPr>
              <w:ind w:left="180"/>
              <w:spacing w:after="0"/>
              <w:rPr>
                <w:sz w:val="20"/>
                <w:szCs w:val="20"/>
                <w:color w:val="auto"/>
              </w:rPr>
            </w:pPr>
            <w:r>
              <w:rPr>
                <w:rFonts w:ascii="Arial" w:cs="Arial" w:eastAsia="Arial" w:hAnsi="Arial"/>
                <w:sz w:val="17"/>
                <w:szCs w:val="17"/>
                <w:color w:val="auto"/>
              </w:rPr>
              <w:t>7560 Panorama Drive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4780" w:type="dxa"/>
            <w:vAlign w:val="bottom"/>
            <w:gridSpan w:val="3"/>
          </w:tcPr>
          <w:p>
            <w:pPr>
              <w:ind w:left="180"/>
              <w:spacing w:after="0"/>
              <w:rPr>
                <w:sz w:val="20"/>
                <w:szCs w:val="20"/>
                <w:color w:val="auto"/>
              </w:rPr>
            </w:pPr>
            <w:r>
              <w:rPr>
                <w:rFonts w:ascii="Arial" w:cs="Arial" w:eastAsia="Arial" w:hAnsi="Arial"/>
                <w:sz w:val="17"/>
                <w:szCs w:val="17"/>
                <w:color w:val="auto"/>
              </w:rPr>
              <w:t>Boulder, Colorado 80303</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2"/>
        </w:trPr>
        <w:tc>
          <w:tcPr>
            <w:tcW w:w="4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Smith</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652,493(4)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5"/>
        </w:trPr>
        <w:tc>
          <w:tcPr>
            <w:tcW w:w="47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23 Inverness Way East, Suite 150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47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Englewood, Colorado 80112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5"/>
        </w:trPr>
        <w:tc>
          <w:tcPr>
            <w:tcW w:w="4780" w:type="dxa"/>
            <w:vAlign w:val="bottom"/>
            <w:gridSpan w:val="3"/>
          </w:tcPr>
          <w:p>
            <w:pPr>
              <w:spacing w:after="0"/>
              <w:rPr>
                <w:sz w:val="20"/>
                <w:szCs w:val="20"/>
                <w:color w:val="auto"/>
              </w:rPr>
            </w:pPr>
            <w:r>
              <w:rPr>
                <w:rFonts w:ascii="Arial" w:cs="Arial" w:eastAsia="Arial" w:hAnsi="Arial"/>
                <w:sz w:val="17"/>
                <w:szCs w:val="17"/>
                <w:color w:val="auto"/>
              </w:rPr>
              <w:t>J. Landis Martin</w:t>
            </w:r>
          </w:p>
        </w:tc>
        <w:tc>
          <w:tcPr>
            <w:tcW w:w="1840" w:type="dxa"/>
            <w:vAlign w:val="bottom"/>
            <w:gridSpan w:val="3"/>
          </w:tcPr>
          <w:p>
            <w:pPr>
              <w:jc w:val="right"/>
              <w:ind w:right="400"/>
              <w:spacing w:after="0"/>
              <w:rPr>
                <w:sz w:val="20"/>
                <w:szCs w:val="20"/>
                <w:color w:val="auto"/>
              </w:rPr>
            </w:pPr>
            <w:r>
              <w:rPr>
                <w:rFonts w:ascii="Arial" w:cs="Arial" w:eastAsia="Arial" w:hAnsi="Arial"/>
                <w:sz w:val="17"/>
                <w:szCs w:val="17"/>
                <w:color w:val="auto"/>
              </w:rPr>
              <w:t>482,408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12"/>
        </w:trPr>
        <w:tc>
          <w:tcPr>
            <w:tcW w:w="4780" w:type="dxa"/>
            <w:vAlign w:val="bottom"/>
            <w:gridSpan w:val="3"/>
          </w:tcPr>
          <w:p>
            <w:pPr>
              <w:ind w:left="180"/>
              <w:spacing w:after="0"/>
              <w:rPr>
                <w:sz w:val="20"/>
                <w:szCs w:val="20"/>
                <w:color w:val="auto"/>
              </w:rPr>
            </w:pPr>
            <w:r>
              <w:rPr>
                <w:rFonts w:ascii="Arial" w:cs="Arial" w:eastAsia="Arial" w:hAnsi="Arial"/>
                <w:sz w:val="17"/>
                <w:szCs w:val="17"/>
                <w:color w:val="auto"/>
              </w:rPr>
              <w:t>200 Fillmore Street, Suite 200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780" w:type="dxa"/>
            <w:vAlign w:val="bottom"/>
            <w:gridSpan w:val="3"/>
          </w:tcPr>
          <w:p>
            <w:pPr>
              <w:ind w:left="180"/>
              <w:spacing w:after="0"/>
              <w:rPr>
                <w:sz w:val="20"/>
                <w:szCs w:val="20"/>
                <w:color w:val="auto"/>
              </w:rPr>
            </w:pPr>
            <w:r>
              <w:rPr>
                <w:rFonts w:ascii="Arial" w:cs="Arial" w:eastAsia="Arial" w:hAnsi="Arial"/>
                <w:sz w:val="17"/>
                <w:szCs w:val="17"/>
                <w:color w:val="auto"/>
              </w:rPr>
              <w:t>Denver, Colorado 80206</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09"/>
        </w:trPr>
        <w:tc>
          <w:tcPr>
            <w:tcW w:w="21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2240" w:hanging="522"/>
        <w:spacing w:after="0"/>
        <w:tabs>
          <w:tab w:leader="none" w:pos="2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percentages are based upon 8,644,882 shares of Common Stock outstanding as of the Record Date.</w:t>
      </w:r>
    </w:p>
    <w:p>
      <w:pPr>
        <w:spacing w:after="0" w:line="254" w:lineRule="exact"/>
        <w:rPr>
          <w:rFonts w:ascii="Arial" w:cs="Arial" w:eastAsia="Arial" w:hAnsi="Arial"/>
          <w:sz w:val="17"/>
          <w:szCs w:val="17"/>
          <w:color w:val="auto"/>
        </w:rPr>
      </w:pPr>
    </w:p>
    <w:p>
      <w:pPr>
        <w:ind w:left="2240" w:hanging="522"/>
        <w:spacing w:after="0" w:line="273" w:lineRule="auto"/>
        <w:tabs>
          <w:tab w:leader="none" w:pos="2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122,692 shares of Common Stock granted as incentive restricted shares under the Company's stock incentive plans that have not yet vested. Includes 10,332 shares of Common Stock credited to the Company's Employee Stock Ownership Plan ("ESOP") account of Mr. Warzala and 65,501 shares of Common Stock held by Mr. Warzala's children.</w:t>
      </w:r>
    </w:p>
    <w:p>
      <w:pPr>
        <w:spacing w:after="0" w:line="193" w:lineRule="exact"/>
        <w:rPr>
          <w:rFonts w:ascii="Arial" w:cs="Arial" w:eastAsia="Arial" w:hAnsi="Arial"/>
          <w:sz w:val="17"/>
          <w:szCs w:val="17"/>
          <w:color w:val="auto"/>
        </w:rPr>
      </w:pPr>
    </w:p>
    <w:p>
      <w:pPr>
        <w:ind w:left="2240" w:right="100" w:hanging="522"/>
        <w:spacing w:after="0" w:line="287" w:lineRule="auto"/>
        <w:tabs>
          <w:tab w:leader="none" w:pos="2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88,800 shares of Common Stock held by the Prince Children's Trusts, of which Mr. Prince's wife is trustee and as to which Mr. Prince disclaims beneficial ownership.</w:t>
      </w:r>
    </w:p>
    <w:p>
      <w:pPr>
        <w:spacing w:after="0" w:line="181" w:lineRule="exact"/>
        <w:rPr>
          <w:rFonts w:ascii="Arial" w:cs="Arial" w:eastAsia="Arial" w:hAnsi="Arial"/>
          <w:sz w:val="17"/>
          <w:szCs w:val="17"/>
          <w:color w:val="auto"/>
        </w:rPr>
      </w:pPr>
    </w:p>
    <w:p>
      <w:pPr>
        <w:jc w:val="both"/>
        <w:ind w:left="2240" w:right="20" w:hanging="522"/>
        <w:spacing w:after="0" w:line="298" w:lineRule="auto"/>
        <w:tabs>
          <w:tab w:leader="none" w:pos="2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46,026 shares of Common Stock granted as incentive restricted shares under the Company's stock incentive plans that have not yet vested. Includes 14,439 shares of Common Stock credited to the ESOP account of Mr. Smith and 510,259 shares of Common Stock held by Smith Family Trust, of which Mr. Smith is trustee. Includes 900 shares held by Mr. Smith's wife's IRA.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 and Directors</w:t>
      </w:r>
    </w:p>
    <w:p>
      <w:pPr>
        <w:spacing w:after="0" w:line="234"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Amount of</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2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4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2"/>
              </w:rPr>
              <w:t>Common Stock</w:t>
            </w:r>
          </w:p>
        </w:tc>
        <w:tc>
          <w:tcPr>
            <w:tcW w:w="13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8"/>
              </w:rPr>
              <w:t>Percentage of</w:t>
            </w:r>
          </w:p>
        </w:tc>
      </w:tr>
      <w:tr>
        <w:trPr>
          <w:trHeight w:val="158"/>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Directors, Nominees and Executive Officers</w:t>
            </w:r>
          </w:p>
        </w:tc>
        <w:tc>
          <w:tcPr>
            <w:tcW w:w="22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Beneficially Owned</w:t>
            </w:r>
          </w:p>
        </w:tc>
        <w:tc>
          <w:tcPr>
            <w:tcW w:w="38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Common Stock(1)</w:t>
            </w:r>
          </w:p>
        </w:tc>
        <w:tc>
          <w:tcPr>
            <w:tcW w:w="160" w:type="dxa"/>
            <w:vAlign w:val="bottom"/>
          </w:tcPr>
          <w:p>
            <w:pPr>
              <w:spacing w:after="0"/>
              <w:rPr>
                <w:sz w:val="13"/>
                <w:szCs w:val="13"/>
                <w:color w:val="auto"/>
              </w:rPr>
            </w:pPr>
          </w:p>
        </w:tc>
      </w:tr>
      <w:tr>
        <w:trPr>
          <w:trHeight w:val="205"/>
        </w:trPr>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Joseph W. Bagan.</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5,000(2)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tcPr>
          <w:p>
            <w:pPr>
              <w:spacing w:after="0"/>
              <w:rPr>
                <w:sz w:val="20"/>
                <w:szCs w:val="20"/>
                <w:color w:val="auto"/>
              </w:rPr>
            </w:pPr>
            <w:r>
              <w:rPr>
                <w:rFonts w:ascii="Arial" w:cs="Arial" w:eastAsia="Arial" w:hAnsi="Arial"/>
                <w:sz w:val="17"/>
                <w:szCs w:val="17"/>
                <w:color w:val="auto"/>
              </w:rPr>
              <w:t>Richard D. Federico</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5,000(2)</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 R. (Rollie) Heath, Jr.</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23,698(3)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tcPr>
          <w:p>
            <w:pPr>
              <w:spacing w:after="0"/>
              <w:rPr>
                <w:sz w:val="20"/>
                <w:szCs w:val="20"/>
                <w:color w:val="auto"/>
              </w:rPr>
            </w:pPr>
            <w:r>
              <w:rPr>
                <w:rFonts w:ascii="Arial" w:cs="Arial" w:eastAsia="Arial" w:hAnsi="Arial"/>
                <w:sz w:val="17"/>
                <w:szCs w:val="17"/>
                <w:color w:val="auto"/>
              </w:rPr>
              <w:t>Delwin D. Hock</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58,493(4)</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17,500(5)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tcPr>
          <w:p>
            <w:pPr>
              <w:spacing w:after="0"/>
              <w:rPr>
                <w:sz w:val="20"/>
                <w:szCs w:val="20"/>
                <w:color w:val="auto"/>
              </w:rPr>
            </w:pPr>
            <w:r>
              <w:rPr>
                <w:rFonts w:ascii="Arial" w:cs="Arial" w:eastAsia="Arial" w:hAnsi="Arial"/>
                <w:sz w:val="17"/>
                <w:szCs w:val="17"/>
                <w:color w:val="auto"/>
              </w:rPr>
              <w:t>George J. Pilmanis</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47,009(6)</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 M. Robert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222,380(7)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2"/>
        </w:trPr>
        <w:tc>
          <w:tcPr>
            <w:tcW w:w="498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652,493(8)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7.6%</w:t>
            </w:r>
          </w:p>
        </w:tc>
      </w:tr>
      <w:tr>
        <w:trPr>
          <w:trHeight w:val="212"/>
        </w:trPr>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829,111(9)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2"/>
        </w:trPr>
        <w:tc>
          <w:tcPr>
            <w:tcW w:w="498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35,489(10)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2"/>
        </w:trPr>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Stock Ownership Plan</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357,971(11)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7"/>
        </w:trPr>
        <w:tc>
          <w:tcPr>
            <w:tcW w:w="4980" w:type="dxa"/>
            <w:vAlign w:val="bottom"/>
            <w:gridSpan w:val="3"/>
          </w:tcPr>
          <w:p>
            <w:pPr>
              <w:spacing w:after="0"/>
              <w:rPr>
                <w:sz w:val="20"/>
                <w:szCs w:val="20"/>
                <w:color w:val="auto"/>
              </w:rPr>
            </w:pPr>
            <w:r>
              <w:rPr>
                <w:rFonts w:ascii="Arial" w:cs="Arial" w:eastAsia="Arial" w:hAnsi="Arial"/>
                <w:sz w:val="17"/>
                <w:szCs w:val="17"/>
                <w:color w:val="auto"/>
              </w:rPr>
              <w:t>All directors, nominees and executive officers as a group</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2,221,655(12)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25.7%</w:t>
            </w:r>
          </w:p>
        </w:tc>
      </w:tr>
      <w:tr>
        <w:trPr>
          <w:trHeight w:val="100"/>
        </w:trPr>
        <w:tc>
          <w:tcPr>
            <w:tcW w:w="21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ind w:left="2240" w:hanging="522"/>
        <w:spacing w:after="0"/>
        <w:tabs>
          <w:tab w:leader="none" w:pos="2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255" w:lineRule="exact"/>
        <w:rPr>
          <w:sz w:val="20"/>
          <w:szCs w:val="20"/>
          <w:color w:val="auto"/>
        </w:rPr>
      </w:pPr>
    </w:p>
    <w:p>
      <w:pPr>
        <w:ind w:left="2240" w:hanging="522"/>
        <w:spacing w:after="0"/>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percentages are based upon 8,644,882 shares of Common Stock outstanding as of the Record Date.</w:t>
      </w:r>
    </w:p>
    <w:p>
      <w:pPr>
        <w:spacing w:after="0" w:line="241" w:lineRule="exact"/>
        <w:rPr>
          <w:rFonts w:ascii="Arial" w:cs="Arial" w:eastAsia="Arial" w:hAnsi="Arial"/>
          <w:sz w:val="17"/>
          <w:szCs w:val="17"/>
          <w:color w:val="auto"/>
        </w:rPr>
      </w:pPr>
    </w:p>
    <w:p>
      <w:pPr>
        <w:ind w:left="2240" w:right="8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5,000 shares of Common Stock granted as incentive restricted shares under the Company's stock incentive plans that have not yet vested.</w:t>
      </w:r>
    </w:p>
    <w:p>
      <w:pPr>
        <w:spacing w:after="0" w:line="181" w:lineRule="exact"/>
        <w:rPr>
          <w:rFonts w:ascii="Arial" w:cs="Arial" w:eastAsia="Arial" w:hAnsi="Arial"/>
          <w:sz w:val="17"/>
          <w:szCs w:val="17"/>
          <w:color w:val="auto"/>
        </w:rPr>
      </w:pPr>
    </w:p>
    <w:p>
      <w:pPr>
        <w:ind w:left="2240" w:right="8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8,152 shares of Common Stock granted as incentive restricted shares under the Company's stock incentive plans that have not yet vested.</w:t>
      </w:r>
    </w:p>
    <w:p>
      <w:pPr>
        <w:spacing w:after="0" w:line="194" w:lineRule="exact"/>
        <w:rPr>
          <w:rFonts w:ascii="Arial" w:cs="Arial" w:eastAsia="Arial" w:hAnsi="Arial"/>
          <w:sz w:val="17"/>
          <w:szCs w:val="17"/>
          <w:color w:val="auto"/>
        </w:rPr>
      </w:pPr>
    </w:p>
    <w:p>
      <w:pPr>
        <w:ind w:left="224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11,153 shares of Common Stock granted as incentive restricted shares under the Company's stock incentive plans that have not yet vested.</w:t>
      </w:r>
    </w:p>
    <w:p>
      <w:pPr>
        <w:spacing w:after="0" w:line="181" w:lineRule="exact"/>
        <w:rPr>
          <w:rFonts w:ascii="Arial" w:cs="Arial" w:eastAsia="Arial" w:hAnsi="Arial"/>
          <w:sz w:val="17"/>
          <w:szCs w:val="17"/>
          <w:color w:val="auto"/>
        </w:rPr>
      </w:pPr>
    </w:p>
    <w:p>
      <w:pPr>
        <w:ind w:left="224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10,500 shares of Common Stock granted as incentive restricted shares under the Company's stock incentive plans that have not yet vested.</w:t>
      </w:r>
    </w:p>
    <w:p>
      <w:pPr>
        <w:spacing w:after="0" w:line="181" w:lineRule="exact"/>
        <w:rPr>
          <w:rFonts w:ascii="Arial" w:cs="Arial" w:eastAsia="Arial" w:hAnsi="Arial"/>
          <w:sz w:val="17"/>
          <w:szCs w:val="17"/>
          <w:color w:val="auto"/>
        </w:rPr>
      </w:pPr>
    </w:p>
    <w:p>
      <w:pPr>
        <w:ind w:left="2240" w:right="8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9,819 shares of Common Stock granted as incentive restricted shares under the Company's stock incentive plans that have not yet vested.</w:t>
      </w:r>
    </w:p>
    <w:p>
      <w:pPr>
        <w:spacing w:after="0" w:line="194" w:lineRule="exact"/>
        <w:rPr>
          <w:rFonts w:ascii="Arial" w:cs="Arial" w:eastAsia="Arial" w:hAnsi="Arial"/>
          <w:sz w:val="17"/>
          <w:szCs w:val="17"/>
          <w:color w:val="auto"/>
        </w:rPr>
      </w:pPr>
    </w:p>
    <w:p>
      <w:pPr>
        <w:jc w:val="both"/>
        <w:ind w:left="2240" w:right="80" w:hanging="522"/>
        <w:spacing w:after="0" w:line="273"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8,152 shares of Common Stock granted as incentive restricted shares under the Company's stock incentive plans that have not yet vested. Includes 160,000 shares held by Mr. Robert's IRA. Includes 46,900 shares held by Mr. Robert's Childrens' trusts, of which Mr. Robert's wife is a co-trustee.</w:t>
      </w:r>
    </w:p>
    <w:p>
      <w:pPr>
        <w:spacing w:after="0" w:line="193" w:lineRule="exact"/>
        <w:rPr>
          <w:rFonts w:ascii="Arial" w:cs="Arial" w:eastAsia="Arial" w:hAnsi="Arial"/>
          <w:sz w:val="17"/>
          <w:szCs w:val="17"/>
          <w:color w:val="auto"/>
        </w:rPr>
      </w:pPr>
    </w:p>
    <w:p>
      <w:pPr>
        <w:ind w:left="2240" w:hanging="522"/>
        <w:spacing w:after="0"/>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note (4) under "Security Ownership of Certain Beneficial Owners."</w:t>
      </w:r>
    </w:p>
    <w:p>
      <w:pPr>
        <w:spacing w:after="0" w:line="241" w:lineRule="exact"/>
        <w:rPr>
          <w:rFonts w:ascii="Arial" w:cs="Arial" w:eastAsia="Arial" w:hAnsi="Arial"/>
          <w:sz w:val="17"/>
          <w:szCs w:val="17"/>
          <w:color w:val="auto"/>
        </w:rPr>
      </w:pPr>
    </w:p>
    <w:p>
      <w:pPr>
        <w:ind w:left="2240" w:hanging="522"/>
        <w:spacing w:after="0"/>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note (2) under "Security Ownership of Certain Beneficial Owners."</w:t>
      </w:r>
    </w:p>
    <w:p>
      <w:pPr>
        <w:spacing w:after="0" w:line="254" w:lineRule="exact"/>
        <w:rPr>
          <w:rFonts w:ascii="Arial" w:cs="Arial" w:eastAsia="Arial" w:hAnsi="Arial"/>
          <w:sz w:val="17"/>
          <w:szCs w:val="17"/>
          <w:color w:val="auto"/>
        </w:rPr>
      </w:pPr>
    </w:p>
    <w:p>
      <w:pPr>
        <w:ind w:left="224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10,333 shares of Common Stock granted as incentive restricted shares under the Company's stock incentive plans that have not yet vested. Includes 7,718 shares of Common Stock credited to the ESOP account of Mr. Wyman.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2240" w:right="80" w:hanging="522"/>
        <w:spacing w:after="0" w:line="287" w:lineRule="auto"/>
        <w:tabs>
          <w:tab w:leader="none" w:pos="2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all shares of the Company's ESOP plan of which Mr. Smith could be deemed to have shared investment power as a trustee of the ESOP.</w:t>
      </w:r>
    </w:p>
    <w:p>
      <w:pPr>
        <w:spacing w:after="0" w:line="194" w:lineRule="exact"/>
        <w:rPr>
          <w:rFonts w:ascii="Arial" w:cs="Arial" w:eastAsia="Arial" w:hAnsi="Arial"/>
          <w:sz w:val="17"/>
          <w:szCs w:val="17"/>
          <w:color w:val="auto"/>
        </w:rPr>
      </w:pPr>
    </w:p>
    <w:p>
      <w:pPr>
        <w:ind w:left="2240" w:right="40" w:hanging="522"/>
        <w:spacing w:after="0" w:line="266" w:lineRule="auto"/>
        <w:tabs>
          <w:tab w:leader="none" w:pos="2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(i) 236,827 shares of Common Stock granted to directors and executive officers as incentive restricted shares under the Company's stock incentive plans that have not yet vested; and (ii) 357,971 shares of Common Stock held by the ESOP as to which Mr. Smith has shared investment power as trustee of the ESOP, which includes 14,439 shares of Common Stock held by the ESOP for the account of Mr. Smith, 10,332 shares of Common Stock held by the ESOP for the account of Mr. Warzala and 7,718 shares of Common Stock held by the ESOP for the account of Mr. Wyman.</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34" w:lineRule="exact"/>
        <w:rPr>
          <w:sz w:val="20"/>
          <w:szCs w:val="20"/>
          <w:color w:val="auto"/>
        </w:rPr>
      </w:pPr>
    </w:p>
    <w:p>
      <w:pPr>
        <w:ind w:right="220" w:firstLine="344"/>
        <w:spacing w:after="0" w:line="266" w:lineRule="auto"/>
        <w:rPr>
          <w:sz w:val="20"/>
          <w:szCs w:val="20"/>
          <w:color w:val="auto"/>
        </w:rPr>
      </w:pPr>
      <w:r>
        <w:rPr>
          <w:rFonts w:ascii="Arial" w:cs="Arial" w:eastAsia="Arial" w:hAnsi="Arial"/>
          <w:sz w:val="17"/>
          <w:szCs w:val="17"/>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2011, except that one individual filed one Form 4 to report Common Stock transactions late and one individual filed one Form 5 to report Common Stock transactions that should have been reported earlier.</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PROPOSAL TWO: RATIFICATION OF INDEPENDENT REGISTERED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PUBLIC ACCOUNTING FIRM</w:t>
      </w:r>
    </w:p>
    <w:p>
      <w:pPr>
        <w:spacing w:after="0" w:line="223" w:lineRule="exact"/>
        <w:rPr>
          <w:sz w:val="20"/>
          <w:szCs w:val="20"/>
          <w:color w:val="auto"/>
        </w:rPr>
      </w:pPr>
    </w:p>
    <w:p>
      <w:pPr>
        <w:ind w:right="80" w:firstLine="341"/>
        <w:spacing w:after="0" w:line="269" w:lineRule="auto"/>
        <w:rPr>
          <w:sz w:val="20"/>
          <w:szCs w:val="20"/>
          <w:color w:val="auto"/>
        </w:rPr>
      </w:pPr>
      <w:r>
        <w:rPr>
          <w:rFonts w:ascii="Arial" w:cs="Arial" w:eastAsia="Arial" w:hAnsi="Arial"/>
          <w:sz w:val="17"/>
          <w:szCs w:val="17"/>
          <w:color w:val="auto"/>
        </w:rPr>
        <w:t>The Audit Committee of the Board of Directors has appointed Ehrhardt Keefe Steiner &amp; Hottman PC (EKS&amp;H) to act as auditors for the fiscal year ending December 31, 2012. EKS&amp;H has served as the independent registered public accounting firm for the Company since 2006. A representative of EKS&amp;H is expected to be present at the Annual Meeting and will have an opportunity to make a statement, if he or she so desires, and will be available to respond to appropriate questions.</w:t>
      </w:r>
    </w:p>
    <w:p>
      <w:pPr>
        <w:spacing w:after="0" w:line="183" w:lineRule="exact"/>
        <w:rPr>
          <w:sz w:val="20"/>
          <w:szCs w:val="20"/>
          <w:color w:val="auto"/>
        </w:rPr>
      </w:pPr>
    </w:p>
    <w:p>
      <w:pPr>
        <w:ind w:firstLine="335"/>
        <w:spacing w:after="0" w:line="266" w:lineRule="auto"/>
        <w:rPr>
          <w:sz w:val="20"/>
          <w:szCs w:val="20"/>
          <w:color w:val="auto"/>
        </w:rPr>
      </w:pPr>
      <w:r>
        <w:rPr>
          <w:rFonts w:ascii="Arial" w:cs="Arial" w:eastAsia="Arial" w:hAnsi="Arial"/>
          <w:sz w:val="17"/>
          <w:szCs w:val="17"/>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8" w:lineRule="exact"/>
        <w:rPr>
          <w:sz w:val="20"/>
          <w:szCs w:val="20"/>
          <w:color w:val="auto"/>
        </w:rPr>
      </w:pPr>
    </w:p>
    <w:p>
      <w:pPr>
        <w:ind w:right="500" w:firstLine="341"/>
        <w:spacing w:after="0" w:line="298"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EKS&amp;H. The directors of the Company unanimously recommend a vote "FOR" the ratification of EKS&amp;H as the Company's independent registered public accounting firm for 2012. Unless otherwise instructed, proxies will be voted "FOR" ratification of the appointment of EKS&amp;H.</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fees paid by the Company for the audit and other services provided by EKS&amp;H for 2011 and 2010.</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191,000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180,000</w:t>
            </w:r>
          </w:p>
        </w:tc>
        <w:tc>
          <w:tcPr>
            <w:tcW w:w="0" w:type="dxa"/>
            <w:vAlign w:val="bottom"/>
          </w:tcPr>
          <w:p>
            <w:pPr>
              <w:spacing w:after="0"/>
              <w:rPr>
                <w:sz w:val="1"/>
                <w:szCs w:val="1"/>
                <w:color w:val="auto"/>
              </w:rPr>
            </w:pPr>
          </w:p>
        </w:tc>
      </w:tr>
      <w:tr>
        <w:trPr>
          <w:trHeight w:val="212"/>
        </w:trPr>
        <w:tc>
          <w:tcPr>
            <w:tcW w:w="6120" w:type="dxa"/>
            <w:vAlign w:val="bottom"/>
            <w:gridSpan w:val="2"/>
          </w:tcPr>
          <w:p>
            <w:pPr>
              <w:spacing w:after="0"/>
              <w:rPr>
                <w:sz w:val="20"/>
                <w:szCs w:val="20"/>
                <w:color w:val="auto"/>
              </w:rPr>
            </w:pPr>
            <w:r>
              <w:rPr>
                <w:rFonts w:ascii="Arial" w:cs="Arial" w:eastAsia="Arial" w:hAnsi="Arial"/>
                <w:sz w:val="17"/>
                <w:szCs w:val="17"/>
                <w:color w:val="auto"/>
              </w:rPr>
              <w:t>Audit-Related Fees(2)</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31,000</w:t>
            </w:r>
          </w:p>
        </w:tc>
        <w:tc>
          <w:tcPr>
            <w:tcW w:w="0" w:type="dxa"/>
            <w:vAlign w:val="bottom"/>
          </w:tcPr>
          <w:p>
            <w:pPr>
              <w:spacing w:after="0"/>
              <w:rPr>
                <w:sz w:val="1"/>
                <w:szCs w:val="1"/>
                <w:color w:val="auto"/>
              </w:rPr>
            </w:pPr>
          </w:p>
        </w:tc>
      </w:tr>
      <w:tr>
        <w:trPr>
          <w:trHeight w:val="212"/>
        </w:trPr>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125,159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58,250</w:t>
            </w:r>
          </w:p>
        </w:tc>
        <w:tc>
          <w:tcPr>
            <w:tcW w:w="0" w:type="dxa"/>
            <w:vAlign w:val="bottom"/>
          </w:tcPr>
          <w:p>
            <w:pPr>
              <w:spacing w:after="0"/>
              <w:rPr>
                <w:sz w:val="1"/>
                <w:szCs w:val="1"/>
                <w:color w:val="auto"/>
              </w:rPr>
            </w:pPr>
          </w:p>
        </w:tc>
      </w:tr>
      <w:tr>
        <w:trPr>
          <w:trHeight w:val="26"/>
        </w:trPr>
        <w:tc>
          <w:tcPr>
            <w:tcW w:w="61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1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347,159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269,250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240" w:hanging="522"/>
        <w:spacing w:after="0" w:line="273" w:lineRule="auto"/>
        <w:tabs>
          <w:tab w:leader="none" w:pos="2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07" w:lineRule="exact"/>
        <w:rPr>
          <w:rFonts w:ascii="Arial" w:cs="Arial" w:eastAsia="Arial" w:hAnsi="Arial"/>
          <w:sz w:val="17"/>
          <w:szCs w:val="17"/>
          <w:color w:val="auto"/>
        </w:rPr>
      </w:pPr>
    </w:p>
    <w:p>
      <w:pPr>
        <w:ind w:left="2240" w:hanging="522"/>
        <w:spacing w:after="0"/>
        <w:tabs>
          <w:tab w:leader="none" w:pos="2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Audit-related fees consist of benefit plan audits.</w:t>
      </w:r>
    </w:p>
    <w:p>
      <w:pPr>
        <w:spacing w:after="0" w:line="241" w:lineRule="exact"/>
        <w:rPr>
          <w:rFonts w:ascii="Arial" w:cs="Arial" w:eastAsia="Arial" w:hAnsi="Arial"/>
          <w:sz w:val="17"/>
          <w:szCs w:val="17"/>
          <w:color w:val="auto"/>
        </w:rPr>
      </w:pPr>
    </w:p>
    <w:p>
      <w:pPr>
        <w:ind w:left="2240" w:right="60" w:hanging="522"/>
        <w:spacing w:after="0" w:line="287" w:lineRule="auto"/>
        <w:tabs>
          <w:tab w:leader="none" w:pos="2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Tax fees include fees for tax compliance and tax consulting. In 2011, approximately $71,000 of Tax fees related to International Tax Planning.</w:t>
      </w:r>
    </w:p>
    <w:p>
      <w:pPr>
        <w:spacing w:after="0" w:line="168" w:lineRule="exact"/>
        <w:rPr>
          <w:sz w:val="20"/>
          <w:szCs w:val="20"/>
          <w:color w:val="auto"/>
        </w:rPr>
      </w:pPr>
    </w:p>
    <w:p>
      <w:pPr>
        <w:ind w:right="200" w:firstLine="341"/>
        <w:spacing w:after="0" w:line="290"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70" w:lineRule="exact"/>
        <w:rPr>
          <w:sz w:val="20"/>
          <w:szCs w:val="20"/>
          <w:color w:val="auto"/>
        </w:rPr>
      </w:pPr>
    </w:p>
    <w:p>
      <w:pPr>
        <w:ind w:right="480" w:firstLine="341"/>
        <w:spacing w:after="0" w:line="287" w:lineRule="auto"/>
        <w:rPr>
          <w:sz w:val="20"/>
          <w:szCs w:val="20"/>
          <w:color w:val="auto"/>
        </w:rPr>
      </w:pPr>
      <w:r>
        <w:rPr>
          <w:rFonts w:ascii="Arial" w:cs="Arial" w:eastAsia="Arial" w:hAnsi="Arial"/>
          <w:sz w:val="17"/>
          <w:szCs w:val="17"/>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68" w:lineRule="exact"/>
        <w:rPr>
          <w:sz w:val="20"/>
          <w:szCs w:val="20"/>
          <w:color w:val="auto"/>
        </w:rPr>
      </w:pPr>
    </w:p>
    <w:p>
      <w:pPr>
        <w:ind w:right="520" w:firstLine="341"/>
        <w:spacing w:after="0" w:line="287" w:lineRule="auto"/>
        <w:rPr>
          <w:sz w:val="20"/>
          <w:szCs w:val="20"/>
          <w:color w:val="auto"/>
        </w:rPr>
      </w:pPr>
      <w:r>
        <w:rPr>
          <w:rFonts w:ascii="Arial" w:cs="Arial" w:eastAsia="Arial" w:hAnsi="Arial"/>
          <w:sz w:val="17"/>
          <w:szCs w:val="17"/>
          <w:color w:val="auto"/>
        </w:rPr>
        <w:t>The affirmative vote of a majority of the votes cast on the proposal, assuming a quorum is present at the Meeting, is required to ratify the appointment of Ehrhardt Keefe Steiner &amp; Hottman PC as the Company's independent public accounting firm for 2012.</w:t>
      </w:r>
    </w:p>
    <w:p>
      <w:pPr>
        <w:spacing w:after="0" w:line="162" w:lineRule="exact"/>
        <w:rPr>
          <w:sz w:val="20"/>
          <w:szCs w:val="20"/>
          <w:color w:val="auto"/>
        </w:rPr>
      </w:pPr>
    </w:p>
    <w:p>
      <w:pPr>
        <w:ind w:right="1140" w:firstLine="344"/>
        <w:spacing w:after="0" w:line="294" w:lineRule="auto"/>
        <w:rPr>
          <w:sz w:val="20"/>
          <w:szCs w:val="20"/>
          <w:color w:val="auto"/>
        </w:rPr>
      </w:pPr>
      <w:r>
        <w:rPr>
          <w:rFonts w:ascii="Arial" w:cs="Arial" w:eastAsia="Arial" w:hAnsi="Arial"/>
          <w:sz w:val="17"/>
          <w:szCs w:val="17"/>
          <w:b w:val="1"/>
          <w:bCs w:val="1"/>
          <w:color w:val="auto"/>
        </w:rPr>
        <w:t>THE BOARD OF DIRECTORS UNANIMOUSLY RECOMMENDS A VOTE "FOR" THE RATIFICATION. UNLESS OTHERWISE INSTRUCTED, PROXIES WILL BE VOTED "FOR" THE RATIFICATION.</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OTHER MATTERS</w:t>
      </w:r>
    </w:p>
    <w:p>
      <w:pPr>
        <w:spacing w:after="0" w:line="234"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Our management does not know of any other matters to come before the 2012 Annual Meeting. However, if any other matters come before the Annual Meeting, it is the intention of the persons designated as proxies to vote in accordance with their judgment on such matters.</w:t>
      </w:r>
    </w:p>
    <w:p>
      <w:pPr>
        <w:spacing w:after="0" w:line="374"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SHAREHOLDER PROPOSALS</w:t>
      </w:r>
    </w:p>
    <w:p>
      <w:pPr>
        <w:spacing w:after="0" w:line="28"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FOR THE 2013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for the Company's Proxy Material</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Any Company shareholder who wishes to submit a proposal to be included in the Proxy Material for the Company's 2013 Annual Meeting of Shareholders must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submit such proposal to the Company at its office at 23 Inverness Way East, Suite 150, Englewood, Colorado 80112, Attention: Secretary, no later than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November 22, 2012, in order to be considered for inclusion, if appropriate, in the Company's proxy statement and form of proxy relating to its 2013 Annual Meeting</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of Shareholders.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to be Introduced at the Annual Meeting but not Intended to be Included in the Company's Proxy Material</w:t>
      </w:r>
    </w:p>
    <w:p>
      <w:pPr>
        <w:spacing w:after="0" w:line="234" w:lineRule="exact"/>
        <w:rPr>
          <w:sz w:val="20"/>
          <w:szCs w:val="20"/>
          <w:color w:val="auto"/>
        </w:rPr>
      </w:pPr>
    </w:p>
    <w:p>
      <w:pPr>
        <w:ind w:firstLine="344"/>
        <w:spacing w:after="0" w:line="305" w:lineRule="auto"/>
        <w:rPr>
          <w:sz w:val="20"/>
          <w:szCs w:val="20"/>
          <w:color w:val="auto"/>
        </w:rPr>
      </w:pPr>
      <w:r>
        <w:rPr>
          <w:rFonts w:ascii="Arial" w:cs="Arial" w:eastAsia="Arial" w:hAnsi="Arial"/>
          <w:sz w:val="15"/>
          <w:szCs w:val="15"/>
          <w:color w:val="auto"/>
        </w:rPr>
        <w:t>For any shareholder proposal to be presented in connection with the 2013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61"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Based upon a meeting date of May 9, 2013 for the 2013 Annual Meeting of Shareholders, a qualified shareholder intending to introduce a proposal or nominate a director at the 2013 Annual Meeting of Shareholders should give written notice to the Company's Secretary not later than March 10, 2013 and not earlier than February 8, 2013.</w:t>
      </w:r>
    </w:p>
    <w:p>
      <w:pPr>
        <w:spacing w:after="0" w:line="181" w:lineRule="exact"/>
        <w:rPr>
          <w:sz w:val="20"/>
          <w:szCs w:val="20"/>
          <w:color w:val="auto"/>
        </w:rPr>
      </w:pPr>
    </w:p>
    <w:p>
      <w:pPr>
        <w:ind w:right="320" w:firstLine="341"/>
        <w:spacing w:after="0" w:line="287" w:lineRule="auto"/>
        <w:rPr>
          <w:sz w:val="20"/>
          <w:szCs w:val="20"/>
          <w:color w:val="auto"/>
        </w:rPr>
      </w:pPr>
      <w:r>
        <w:rPr>
          <w:rFonts w:ascii="Arial" w:cs="Arial" w:eastAsia="Arial" w:hAnsi="Arial"/>
          <w:sz w:val="17"/>
          <w:szCs w:val="17"/>
          <w:color w:val="auto"/>
        </w:rPr>
        <w:t>The specific requirements of these advance notice and eligibility provisions are set forth in Article II of the Company's Bylaws, a copy of which is available upon request.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Such requests and any shareholder proposals should be sent to the Secretary of the Company at 23 Inverness Way East, Suite 150, Englewood, Colorado 80112.</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318770</wp:posOffset>
            </wp:positionV>
            <wp:extent cx="2371725" cy="361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172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SUSAN M. CHIARMONTE</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March 16, 2012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1"/>
          <w:szCs w:val="21"/>
          <w:b w:val="1"/>
          <w:bCs w:val="1"/>
          <w:color w:val="auto"/>
        </w:rPr>
        <w:t>ALLIED MOTION TECHNOLOGIES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23 Inverness Way East, Ste. 150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Englewood, CO 80112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34"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10, 2012, and at all adjournments thereof, with respect to the following: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7"/>
          <w:szCs w:val="17"/>
          <w:b w:val="1"/>
          <w:bCs w:val="1"/>
          <w:color w:val="auto"/>
        </w:rPr>
        <w:t>ANNUAL MEETING OF SHAREHOLDERS OF</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ALLIED MOTION TECHNOLOGIES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MAY 10, 2012</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NOTICE OF INTERNET AVAILABILITY OF PROXY MATERIAL:</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Notice of Meeting, proxy statement and proxy card are available at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https://materials.proxyvote.com/019330</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BOARD OF DIRECTORS RECOMMENDS A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EACH NOMINEE NAMED AND</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ALL OTHER PROPOSALS</w:t>
      </w:r>
    </w:p>
    <w:p>
      <w:pPr>
        <w:spacing w:after="0" w:line="217" w:lineRule="exact"/>
        <w:rPr>
          <w:sz w:val="20"/>
          <w:szCs w:val="20"/>
          <w:color w:val="auto"/>
        </w:rPr>
      </w:pPr>
    </w:p>
    <w:p>
      <w:pPr>
        <w:jc w:val="center"/>
        <w:ind w:left="300" w:right="20"/>
        <w:spacing w:after="0" w:line="228" w:lineRule="exact"/>
        <w:rPr>
          <w:sz w:val="20"/>
          <w:szCs w:val="20"/>
          <w:color w:val="auto"/>
        </w:rPr>
      </w:pPr>
      <w:r>
        <w:rPr>
          <w:rFonts w:ascii="Arial" w:cs="Arial" w:eastAsia="Arial" w:hAnsi="Arial"/>
          <w:sz w:val="17"/>
          <w:szCs w:val="17"/>
          <w:b w:val="1"/>
          <w:bCs w:val="1"/>
          <w:color w:val="auto"/>
        </w:rPr>
        <w:t xml:space="preserve">PLEASE SIGN, DATE AND RETURN PROMPTLY IN THE ENCLOSED ENVELOPE. PLEASE MARK YOUR VOTE IN BLUE OR BLACK INK AS SHOWN HERE </w:t>
      </w:r>
      <w:r>
        <w:rPr>
          <w:rFonts w:ascii="MS PGothic" w:cs="MS PGothic" w:eastAsia="MS PGothic" w:hAnsi="MS PGothic"/>
          <w:sz w:val="17"/>
          <w:szCs w:val="17"/>
          <w:color w:val="auto"/>
          <w:highlight w:val="black"/>
        </w:rPr>
        <w:t>☒</w:t>
      </w:r>
    </w:p>
    <w:p>
      <w:pPr>
        <w:spacing w:after="0" w:line="18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5"/>
          <w:szCs w:val="15"/>
          <w:color w:val="auto"/>
        </w:rPr>
        <w:t>To elect nine directors to hold office until the next Annual Meeting of shareholders.</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NOMINEES:</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B.W. Bagan, R.D. Federico, S.R. Heath, Jr., D. D. Hock, G.J. Laber, G. J. Pilmanis,</w:t>
      </w:r>
    </w:p>
    <w:p>
      <w:pPr>
        <w:spacing w:after="0" w:line="22" w:lineRule="exact"/>
        <w:rPr>
          <w:sz w:val="20"/>
          <w:szCs w:val="20"/>
          <w:color w:val="auto"/>
        </w:rPr>
      </w:pPr>
    </w:p>
    <w:p>
      <w:pPr>
        <w:ind w:left="1200" w:hanging="426"/>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Robert, R.D. Smith, R.S. Warzala</w:t>
      </w:r>
    </w:p>
    <w:p>
      <w:pPr>
        <w:spacing w:after="0" w:line="243"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7"/>
          <w:szCs w:val="17"/>
          <w:b w:val="1"/>
          <w:bCs w:val="1"/>
          <w:color w:val="auto"/>
        </w:rPr>
        <w:t>FOR ALL NOMINEES</w:t>
      </w:r>
    </w:p>
    <w:p>
      <w:pPr>
        <w:spacing w:after="0" w:line="255" w:lineRule="exact"/>
        <w:rPr>
          <w:sz w:val="20"/>
          <w:szCs w:val="20"/>
          <w:color w:val="auto"/>
        </w:rPr>
      </w:pPr>
    </w:p>
    <w:p>
      <w:pPr>
        <w:ind w:left="1380" w:right="7880" w:hanging="606"/>
        <w:spacing w:after="0" w:line="294" w:lineRule="auto"/>
        <w:tabs>
          <w:tab w:leader="none" w:pos="138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WITHHOLD AUTHORITY </w:t>
      </w:r>
      <w:r>
        <w:rPr>
          <w:rFonts w:ascii="Arial" w:cs="Arial" w:eastAsia="Arial" w:hAnsi="Arial"/>
          <w:sz w:val="17"/>
          <w:szCs w:val="17"/>
          <w:color w:val="auto"/>
        </w:rPr>
        <w:t>for all nominees</w:t>
      </w:r>
    </w:p>
    <w:p>
      <w:pPr>
        <w:spacing w:after="0" w:line="183" w:lineRule="exact"/>
        <w:rPr>
          <w:rFonts w:ascii="Arial" w:cs="Arial" w:eastAsia="Arial" w:hAnsi="Arial"/>
          <w:sz w:val="17"/>
          <w:szCs w:val="17"/>
          <w:color w:val="auto"/>
        </w:rPr>
      </w:pPr>
    </w:p>
    <w:p>
      <w:pPr>
        <w:ind w:left="1380" w:right="8300" w:hanging="606"/>
        <w:spacing w:after="0" w:line="365" w:lineRule="auto"/>
        <w:tabs>
          <w:tab w:leader="none" w:pos="138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FOR ALL EXCEPT </w:t>
      </w:r>
      <w:r>
        <w:rPr>
          <w:rFonts w:ascii="Arial" w:cs="Arial" w:eastAsia="Arial" w:hAnsi="Arial"/>
          <w:sz w:val="15"/>
          <w:szCs w:val="15"/>
          <w:color w:val="auto"/>
        </w:rPr>
        <w:t>(See instructions below)</w:t>
      </w:r>
    </w:p>
    <w:p>
      <w:pPr>
        <w:spacing w:after="0" w:line="138" w:lineRule="exact"/>
        <w:rPr>
          <w:sz w:val="20"/>
          <w:szCs w:val="20"/>
          <w:color w:val="auto"/>
        </w:rPr>
      </w:pPr>
    </w:p>
    <w:p>
      <w:pPr>
        <w:ind w:left="780" w:right="300"/>
        <w:spacing w:after="0" w:line="277" w:lineRule="auto"/>
        <w:rPr>
          <w:sz w:val="20"/>
          <w:szCs w:val="20"/>
          <w:color w:val="auto"/>
        </w:rPr>
      </w:pPr>
      <w:r>
        <w:rPr>
          <w:rFonts w:ascii="Arial" w:cs="Arial" w:eastAsia="Arial" w:hAnsi="Arial"/>
          <w:sz w:val="17"/>
          <w:szCs w:val="17"/>
          <w:color w:val="auto"/>
        </w:rPr>
        <w:t xml:space="preserve">INSTRUCTIONS: To withhold authority to vote for any individual nominee(s), mark </w:t>
      </w:r>
      <w:r>
        <w:rPr>
          <w:rFonts w:ascii="Arial" w:cs="Arial" w:eastAsia="Arial" w:hAnsi="Arial"/>
          <w:sz w:val="17"/>
          <w:szCs w:val="17"/>
          <w:b w:val="1"/>
          <w:bCs w:val="1"/>
          <w:color w:val="auto"/>
        </w:rPr>
        <w:t>"FOR ALL EXCEPT"</w:t>
      </w:r>
      <w:r>
        <w:rPr>
          <w:rFonts w:ascii="Arial" w:cs="Arial" w:eastAsia="Arial" w:hAnsi="Arial"/>
          <w:sz w:val="17"/>
          <w:szCs w:val="17"/>
          <w:color w:val="auto"/>
        </w:rPr>
        <w:t xml:space="preserve"> and print that nominee's name in the space provided below. </w:t>
      </w:r>
      <w:r>
        <w:rPr>
          <w:rFonts w:ascii="Arial" w:cs="Arial" w:eastAsia="Arial" w:hAnsi="Arial"/>
          <w:sz w:val="17"/>
          <w:szCs w:val="17"/>
          <w:b w:val="1"/>
          <w:bCs w:val="1"/>
          <w:color w:val="auto"/>
        </w:rPr>
        <w:t>IF AUTHORITY TO VOTE FOR NOMINEES IS NOT EXPRESSLY WITHHELD, IT SHALL BE DEEMED</w:t>
      </w:r>
      <w:r>
        <w:rPr>
          <w:rFonts w:ascii="Arial" w:cs="Arial" w:eastAsia="Arial" w:hAnsi="Arial"/>
          <w:sz w:val="17"/>
          <w:szCs w:val="17"/>
          <w:color w:val="auto"/>
        </w:rPr>
        <w:t xml:space="preserve"> </w:t>
      </w:r>
      <w:r>
        <w:rPr>
          <w:rFonts w:ascii="Arial" w:cs="Arial" w:eastAsia="Arial" w:hAnsi="Arial"/>
          <w:sz w:val="17"/>
          <w:szCs w:val="17"/>
          <w:b w:val="1"/>
          <w:bCs w:val="1"/>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327660</wp:posOffset>
            </wp:positionV>
            <wp:extent cx="6777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Item 2.</w:t>
      </w:r>
      <w:r>
        <w:rPr>
          <w:sz w:val="20"/>
          <w:szCs w:val="20"/>
          <w:color w:val="auto"/>
        </w:rPr>
        <w:tab/>
      </w:r>
      <w:r>
        <w:rPr>
          <w:rFonts w:ascii="Arial" w:cs="Arial" w:eastAsia="Arial" w:hAnsi="Arial"/>
          <w:sz w:val="16"/>
          <w:szCs w:val="16"/>
          <w:color w:val="auto"/>
        </w:rPr>
        <w:t>RATIFICATION OF THE APPOINTMENT OF THE COMPANY'S INDEPENDENT PUBLIC ACCOUNTING FIRM FOR 2012</w:t>
      </w:r>
    </w:p>
    <w:p>
      <w:pPr>
        <w:spacing w:after="0" w:line="255" w:lineRule="exact"/>
        <w:rPr>
          <w:sz w:val="20"/>
          <w:szCs w:val="20"/>
          <w:color w:val="auto"/>
        </w:rPr>
      </w:pPr>
    </w:p>
    <w:p>
      <w:pPr>
        <w:ind w:left="780"/>
        <w:spacing w:after="0"/>
        <w:tabs>
          <w:tab w:leader="none" w:pos="1360" w:val="left"/>
          <w:tab w:leader="none" w:pos="4380" w:val="left"/>
          <w:tab w:leader="none" w:pos="5000" w:val="left"/>
          <w:tab w:leader="none" w:pos="8040" w:val="left"/>
          <w:tab w:leader="none" w:pos="86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AGAINST</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ABSTAIN</w:t>
      </w:r>
    </w:p>
    <w:p>
      <w:pPr>
        <w:spacing w:after="0" w:line="222" w:lineRule="exact"/>
        <w:rPr>
          <w:sz w:val="20"/>
          <w:szCs w:val="20"/>
          <w:color w:val="auto"/>
        </w:rPr>
      </w:pPr>
    </w:p>
    <w:p>
      <w:pPr>
        <w:ind w:right="60" w:firstLine="387"/>
        <w:spacing w:after="0" w:line="271" w:lineRule="auto"/>
        <w:rPr>
          <w:sz w:val="20"/>
          <w:szCs w:val="20"/>
          <w:color w:val="auto"/>
        </w:rPr>
      </w:pPr>
      <w:r>
        <w:rPr>
          <w:rFonts w:ascii="Arial" w:cs="Arial" w:eastAsia="Arial" w:hAnsi="Arial"/>
          <w:sz w:val="17"/>
          <w:szCs w:val="17"/>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ratification in Item 2. In their discretion, the proxies are authorized to vote upon such other business as may properly come before the Annual Meeting.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PLEASE SIGN AND RETURN THIS PROXY IN THE ENCLOSED POSTAGE PAID ENVELOPE AS PROMPTLY AS POSSIBLE.</w:t>
      </w:r>
    </w:p>
    <w:p>
      <w:pPr>
        <w:spacing w:after="0" w:line="234" w:lineRule="exact"/>
        <w:rPr>
          <w:sz w:val="20"/>
          <w:szCs w:val="20"/>
          <w:color w:val="auto"/>
        </w:rPr>
      </w:pPr>
    </w:p>
    <w:p>
      <w:pPr>
        <w:spacing w:after="0"/>
        <w:tabs>
          <w:tab w:leader="none" w:pos="4080" w:val="left"/>
          <w:tab w:leader="none" w:pos="5780" w:val="left"/>
          <w:tab w:leader="none" w:pos="9880" w:val="left"/>
        </w:tabs>
        <w:rPr>
          <w:sz w:val="20"/>
          <w:szCs w:val="20"/>
          <w:color w:val="auto"/>
        </w:rPr>
      </w:pPr>
      <w:r>
        <w:rPr>
          <w:rFonts w:ascii="Arial" w:cs="Arial" w:eastAsia="Arial" w:hAnsi="Arial"/>
          <w:sz w:val="13"/>
          <w:szCs w:val="13"/>
          <w:color w:val="auto"/>
        </w:rPr>
        <w:t>Signature of Shareholder:</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of Shareholder:</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45085</wp:posOffset>
            </wp:positionV>
            <wp:extent cx="102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45085</wp:posOffset>
            </wp:positionV>
            <wp:extent cx="5213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45085</wp:posOffset>
            </wp:positionV>
            <wp:extent cx="102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6748145</wp:posOffset>
            </wp:positionH>
            <wp:positionV relativeFrom="paragraph">
              <wp:posOffset>45085</wp:posOffset>
            </wp:positionV>
            <wp:extent cx="5213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539"/>
        <w:spacing w:after="0" w:line="273" w:lineRule="auto"/>
        <w:tabs>
          <w:tab w:leader="none" w:pos="52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Please sign exactly as your name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lvl w:ilvl="1">
      <w:lvlJc w:val="left"/>
      <w:lvlText w:val="(%2)"/>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lvl w:ilvl="1">
      <w:lvlJc w:val="left"/>
      <w:lvlText w:val="(%2)"/>
      <w:numFmt w:val="lowerLetter"/>
      <w:start w:val="3"/>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M.%1."/>
      <w:numFmt w:val="upperLetter"/>
      <w:start w:val="13"/>
    </w:lvl>
  </w:abstractNum>
  <w:abstractNum w:abstractNumId="17">
    <w:nsid w:val="431BD7B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2019-12-09T07:09:35Z</dcterms:created>
  <dcterms:modified xsi:type="dcterms:W3CDTF">2019-12-09T07:09:35Z</dcterms:modified>
</cp:coreProperties>
</file>