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6"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205"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204"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6" w:right="1440" w:bottom="13" w:gutter="0" w:footer="0" w:header="0"/>
        </w:sectPr>
      </w:pPr>
    </w:p>
    <w:p>
      <w:pPr>
        <w:spacing w:after="0" w:line="234"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Proxy Statement Pursuant to Section 14(a) of</w:t>
      </w:r>
    </w:p>
    <w:p>
      <w:pPr>
        <w:spacing w:after="0" w:line="36"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41" w:lineRule="exact"/>
        <w:rPr>
          <w:sz w:val="24"/>
          <w:szCs w:val="24"/>
          <w:color w:val="auto"/>
        </w:rPr>
      </w:pPr>
    </w:p>
    <w:p>
      <w:pPr>
        <w:sectPr>
          <w:pgSz w:w="11900" w:h="16838" w:orient="portrait"/>
          <w:cols w:equalWidth="0" w:num="2">
            <w:col w:w="7360" w:space="440"/>
            <w:col w:w="2419"/>
          </w:cols>
          <w:pgMar w:left="240" w:top="676" w:right="1440" w:bottom="13" w:gutter="0" w:footer="0" w:header="0"/>
          <w:type w:val="continuous"/>
        </w:sectPr>
      </w:pPr>
    </w:p>
    <w:p>
      <w:pPr>
        <w:spacing w:after="0" w:line="13"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9"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53"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6" w:right="1440" w:bottom="13" w:gutter="0" w:footer="0" w:header="0"/>
          <w:type w:val="continuous"/>
        </w:sectPr>
      </w:pPr>
    </w:p>
    <w:p>
      <w:pPr>
        <w:spacing w:after="0" w:line="2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22"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28"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24"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6" w:right="1440" w:bottom="13" w:gutter="0" w:footer="0" w:header="0"/>
          <w:type w:val="continuous"/>
        </w:sectPr>
      </w:pPr>
    </w:p>
    <w:p>
      <w:pPr>
        <w:spacing w:after="0" w:line="79"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11"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5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22" w:lineRule="exact"/>
        <w:rPr>
          <w:sz w:val="24"/>
          <w:szCs w:val="24"/>
          <w:color w:val="auto"/>
        </w:rPr>
      </w:pPr>
    </w:p>
    <w:p>
      <w:pPr>
        <w:sectPr>
          <w:pgSz w:w="11900" w:h="16838" w:orient="portrait"/>
          <w:cols w:equalWidth="0" w:num="2">
            <w:col w:w="1240" w:space="300"/>
            <w:col w:w="8679"/>
          </w:cols>
          <w:pgMar w:left="240" w:top="676" w:right="1440" w:bottom="13" w:gutter="0" w:footer="0" w:header="0"/>
          <w:type w:val="continuous"/>
        </w:sectPr>
      </w:pPr>
    </w:p>
    <w:p>
      <w:pPr>
        <w:spacing w:after="0" w:line="200" w:lineRule="exact"/>
        <w:rPr>
          <w:sz w:val="24"/>
          <w:szCs w:val="24"/>
          <w:color w:val="auto"/>
        </w:rPr>
      </w:pP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79375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89"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361950</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56"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6"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9" w:lineRule="exact"/>
        <w:rPr>
          <w:rFonts w:ascii="Arial" w:cs="Arial" w:eastAsia="Arial" w:hAnsi="Arial"/>
          <w:sz w:val="17"/>
          <w:szCs w:val="17"/>
          <w:color w:val="auto"/>
        </w:rPr>
      </w:pPr>
    </w:p>
    <w:p>
      <w:pPr>
        <w:ind w:left="1960" w:right="339" w:hanging="426"/>
        <w:spacing w:after="0" w:line="291"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1540" w:hanging="391"/>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6" w:lineRule="exact"/>
        <w:rPr>
          <w:rFonts w:ascii="Arial" w:cs="Arial" w:eastAsia="Arial" w:hAnsi="Arial"/>
          <w:sz w:val="17"/>
          <w:szCs w:val="17"/>
          <w:color w:val="auto"/>
        </w:rPr>
      </w:pPr>
    </w:p>
    <w:p>
      <w:pPr>
        <w:ind w:left="1540" w:right="39" w:hanging="391"/>
        <w:spacing w:after="0" w:line="276"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9" w:lineRule="exact"/>
        <w:rPr>
          <w:rFonts w:ascii="Arial" w:cs="Arial" w:eastAsia="Arial" w:hAnsi="Arial"/>
          <w:sz w:val="17"/>
          <w:szCs w:val="17"/>
          <w:color w:val="auto"/>
        </w:rPr>
      </w:pPr>
    </w:p>
    <w:p>
      <w:pPr>
        <w:ind w:left="1960" w:hanging="426"/>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1244600</wp:posOffset>
            </wp:positionH>
            <wp:positionV relativeFrom="paragraph">
              <wp:posOffset>-3324860</wp:posOffset>
            </wp:positionV>
            <wp:extent cx="5282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-3029585</wp:posOffset>
            </wp:positionV>
            <wp:extent cx="5282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-2599055</wp:posOffset>
            </wp:positionV>
            <wp:extent cx="5282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-2303780</wp:posOffset>
            </wp:positionV>
            <wp:extent cx="5282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-2008505</wp:posOffset>
            </wp:positionV>
            <wp:extent cx="5282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-717550</wp:posOffset>
            </wp:positionV>
            <wp:extent cx="5282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-421640</wp:posOffset>
            </wp:positionV>
            <wp:extent cx="5282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-126365</wp:posOffset>
            </wp:positionV>
            <wp:extent cx="5282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168275</wp:posOffset>
            </wp:positionV>
            <wp:extent cx="5282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255"/>
                    </a:xfrm>
                    <a:prstGeom prst="rect">
                      <a:avLst/>
                    </a:prstGeom>
                    <a:noFill/>
                  </pic:spPr>
                </pic:pic>
              </a:graphicData>
            </a:graphic>
          </wp:anchor>
        </w:drawing>
      </w:r>
    </w:p>
    <w:p>
      <w:pPr>
        <w:sectPr>
          <w:pgSz w:w="11900" w:h="16838" w:orient="portrait"/>
          <w:cols w:equalWidth="0" w:num="1">
            <w:col w:w="10219"/>
          </w:cols>
          <w:pgMar w:left="240" w:top="676" w:right="1440" w:bottom="13" w:gutter="0" w:footer="0" w:header="0"/>
          <w:type w:val="continuous"/>
        </w:sectPr>
      </w:pPr>
    </w:p>
    <w:bookmarkStart w:id="1" w:name="page2"/>
    <w:bookmarkEnd w:id="1"/>
    <w:p>
      <w:pPr>
        <w:ind w:left="760" w:right="179"/>
        <w:spacing w:after="0" w:line="298" w:lineRule="auto"/>
        <w:rPr>
          <w:sz w:val="20"/>
          <w:szCs w:val="20"/>
          <w:color w:val="auto"/>
        </w:rPr>
      </w:pP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36195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151130</wp:posOffset>
            </wp:positionV>
            <wp:extent cx="2059305"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930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ALLIED MOTION TECHNOLOGIES INC.</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495 Commerce Drive, Suite 3</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Amherst, New York 14228</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 BE HELD ON MAY 4, 2016</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of Allied Motion Technologies Inc.:</w:t>
      </w:r>
    </w:p>
    <w:p>
      <w:pPr>
        <w:spacing w:after="0" w:line="230" w:lineRule="exact"/>
        <w:rPr>
          <w:sz w:val="20"/>
          <w:szCs w:val="20"/>
          <w:color w:val="auto"/>
        </w:rPr>
      </w:pPr>
    </w:p>
    <w:p>
      <w:pPr>
        <w:ind w:right="180" w:firstLine="339"/>
        <w:spacing w:after="0" w:line="276" w:lineRule="auto"/>
        <w:rPr>
          <w:sz w:val="20"/>
          <w:szCs w:val="20"/>
          <w:color w:val="auto"/>
        </w:rPr>
      </w:pPr>
      <w:r>
        <w:rPr>
          <w:rFonts w:ascii="Arial" w:cs="Arial" w:eastAsia="Arial" w:hAnsi="Arial"/>
          <w:sz w:val="17"/>
          <w:szCs w:val="17"/>
          <w:color w:val="auto"/>
        </w:rPr>
        <w:t>You are hereby notified that the 2016 Annual Meeting of Shareholders of Allied Motion Technologies Inc. (the "Company") will be held on Tuesday, May 4, 2016 at 2:00 p.m. (Eastern Time) at the Company's offices, 495 Commerce Drive, Suite 3, Amherst, New York 14228. At this meeting, the shareholders will be asked to act on the following matters:</w:t>
      </w:r>
    </w:p>
    <w:p>
      <w:pPr>
        <w:spacing w:after="0" w:line="189" w:lineRule="exact"/>
        <w:rPr>
          <w:sz w:val="20"/>
          <w:szCs w:val="20"/>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seven directors of the Company;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provide an advisory approval of the compensation of our named executive officers;</w:t>
      </w:r>
    </w:p>
    <w:p>
      <w:pPr>
        <w:spacing w:after="0" w:line="243" w:lineRule="exact"/>
        <w:rPr>
          <w:rFonts w:ascii="Arial" w:cs="Arial" w:eastAsia="Arial" w:hAnsi="Arial"/>
          <w:sz w:val="17"/>
          <w:szCs w:val="17"/>
          <w:color w:val="auto"/>
        </w:rPr>
      </w:pPr>
    </w:p>
    <w:p>
      <w:pPr>
        <w:ind w:left="1060" w:right="220" w:hanging="522"/>
        <w:spacing w:after="0" w:line="29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appointment of EKS&amp;H LLLP ("EKS&amp;H") as the Company's independent registered public accounting firm for the 2016 fiscal year; and</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2016 Annual Meeting or any adjournment thereof.</w:t>
      </w:r>
    </w:p>
    <w:p>
      <w:pPr>
        <w:spacing w:after="0" w:line="230"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color w:val="auto"/>
        </w:rPr>
        <w:t>Only shareholders of record at the close of business on March 15, 2016 are entitled to notice of and to vote at the 2016 Annual Meeting and any adjournment thereof.</w:t>
      </w:r>
    </w:p>
    <w:p>
      <w:pPr>
        <w:spacing w:after="0" w:line="164" w:lineRule="exact"/>
        <w:rPr>
          <w:sz w:val="20"/>
          <w:szCs w:val="20"/>
          <w:color w:val="auto"/>
        </w:rPr>
      </w:pPr>
    </w:p>
    <w:p>
      <w:pPr>
        <w:jc w:val="both"/>
        <w:ind w:firstLine="342"/>
        <w:spacing w:after="0" w:line="276" w:lineRule="auto"/>
        <w:rPr>
          <w:sz w:val="20"/>
          <w:szCs w:val="20"/>
          <w:color w:val="auto"/>
        </w:rPr>
      </w:pPr>
      <w:r>
        <w:rPr>
          <w:rFonts w:ascii="Arial" w:cs="Arial" w:eastAsia="Arial" w:hAnsi="Arial"/>
          <w:sz w:val="17"/>
          <w:szCs w:val="17"/>
          <w:color w:val="auto"/>
        </w:rPr>
        <w:t>The Board of Directors of the Company extends a cordial invitation to all shareholders to attend the 2016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76" w:lineRule="exact"/>
        <w:rPr>
          <w:sz w:val="20"/>
          <w:szCs w:val="20"/>
          <w:color w:val="auto"/>
        </w:rPr>
      </w:pPr>
    </w:p>
    <w:p>
      <w:pPr>
        <w:ind w:right="380" w:firstLine="345"/>
        <w:spacing w:after="0" w:line="291"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320040</wp:posOffset>
            </wp:positionV>
            <wp:extent cx="1552575" cy="658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257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P. Kubarek</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DATED: April 4, 2016</w:t>
      </w:r>
    </w:p>
    <w:p>
      <w:pPr>
        <w:spacing w:after="0" w:line="224"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313295" cy="434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295" cy="4343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TABLE OF CONTENTS</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8560" w:type="dxa"/>
            <w:vAlign w:val="bottom"/>
            <w:gridSpan w:val="35"/>
            <w:vMerge w:val="restart"/>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QUESTIONS AND ANSWERS ABOUT THE 2016 ANNUAL MEETING</w:t>
              </w:r>
            </w:hyperlink>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8560" w:type="dxa"/>
            <w:vAlign w:val="bottom"/>
            <w:gridSpan w:val="35"/>
            <w:vMerge w:val="continue"/>
          </w:tcPr>
          <w:p>
            <w:pPr>
              <w:spacing w:after="0"/>
              <w:rPr>
                <w:sz w:val="14"/>
                <w:szCs w:val="14"/>
                <w:color w:val="auto"/>
              </w:rPr>
            </w:pPr>
          </w:p>
        </w:tc>
        <w:tc>
          <w:tcPr>
            <w:tcW w:w="420" w:type="dxa"/>
            <w:vAlign w:val="bottom"/>
            <w:gridSpan w:val="3"/>
          </w:tcPr>
          <w:p>
            <w:pPr>
              <w:jc w:val="right"/>
              <w:spacing w:after="0" w:line="166"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260" w:type="dxa"/>
            <w:vAlign w:val="bottom"/>
            <w:gridSpan w:val="30"/>
          </w:tcPr>
          <w:p>
            <w:pPr>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Why did I receive this proxy?</w:t>
              </w:r>
            </w:hyperlink>
          </w:p>
        </w:tc>
        <w:tc>
          <w:tcPr>
            <w:tcW w:w="3120" w:type="dxa"/>
            <w:vAlign w:val="bottom"/>
            <w:gridSpan w:val="4"/>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180" w:type="dxa"/>
            <w:vAlign w:val="bottom"/>
            <w:gridSpan w:val="7"/>
          </w:tcPr>
          <w:p>
            <w:pPr>
              <w:spacing w:after="0" w:line="193"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Who is entitled to vote?</w:t>
              </w:r>
            </w:hyperlink>
          </w:p>
        </w:tc>
        <w:tc>
          <w:tcPr>
            <w:tcW w:w="6200" w:type="dxa"/>
            <w:vAlign w:val="bottom"/>
            <w:gridSpan w:val="27"/>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340" w:type="dxa"/>
            <w:vAlign w:val="bottom"/>
            <w:gridSpan w:val="18"/>
          </w:tcPr>
          <w:p>
            <w:pPr>
              <w:spacing w:after="0" w:line="193"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What is the quorum for the Annual Meeting?</w:t>
              </w:r>
            </w:hyperlink>
          </w:p>
        </w:tc>
        <w:tc>
          <w:tcPr>
            <w:tcW w:w="5040" w:type="dxa"/>
            <w:vAlign w:val="bottom"/>
            <w:gridSpan w:val="1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980" w:type="dxa"/>
            <w:vAlign w:val="bottom"/>
            <w:gridSpan w:val="5"/>
          </w:tcPr>
          <w:p>
            <w:pPr>
              <w:spacing w:after="0" w:line="193" w:lineRule="exact"/>
              <w:rPr>
                <w:rFonts w:ascii="Arial" w:cs="Arial" w:eastAsia="Arial" w:hAnsi="Arial"/>
                <w:sz w:val="17"/>
                <w:szCs w:val="17"/>
                <w:b w:val="1"/>
                <w:bCs w:val="1"/>
                <w:color w:val="0000EE"/>
                <w:w w:val="86"/>
              </w:rPr>
            </w:pPr>
            <w:hyperlink w:anchor="page6">
              <w:r>
                <w:rPr>
                  <w:rFonts w:ascii="Arial" w:cs="Arial" w:eastAsia="Arial" w:hAnsi="Arial"/>
                  <w:sz w:val="17"/>
                  <w:szCs w:val="17"/>
                  <w:b w:val="1"/>
                  <w:bCs w:val="1"/>
                  <w:color w:val="0000EE"/>
                  <w:w w:val="86"/>
                </w:rPr>
                <w:t>How many votes do I have?</w:t>
              </w:r>
            </w:hyperlink>
          </w:p>
        </w:tc>
        <w:tc>
          <w:tcPr>
            <w:tcW w:w="1360" w:type="dxa"/>
            <w:vAlign w:val="bottom"/>
            <w:gridSpan w:val="13"/>
          </w:tcPr>
          <w:p>
            <w:pPr>
              <w:spacing w:after="0"/>
              <w:rPr>
                <w:sz w:val="16"/>
                <w:szCs w:val="16"/>
                <w:color w:val="auto"/>
              </w:rPr>
            </w:pPr>
          </w:p>
        </w:tc>
        <w:tc>
          <w:tcPr>
            <w:tcW w:w="5040" w:type="dxa"/>
            <w:vAlign w:val="bottom"/>
            <w:gridSpan w:val="1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w w:val="94"/>
              </w:rPr>
            </w:pPr>
            <w:hyperlink w:anchor="page6">
              <w:r>
                <w:rPr>
                  <w:rFonts w:ascii="Arial" w:cs="Arial" w:eastAsia="Arial" w:hAnsi="Arial"/>
                  <w:sz w:val="17"/>
                  <w:szCs w:val="17"/>
                  <w:b w:val="1"/>
                  <w:bCs w:val="1"/>
                  <w:color w:val="0000EE"/>
                  <w:w w:val="94"/>
                </w:rPr>
                <w:t>What is the difference between a shareholder of record and a beneficial owner of shares held in street name?</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820" w:type="dxa"/>
            <w:vAlign w:val="bottom"/>
            <w:gridSpan w:val="28"/>
          </w:tcPr>
          <w:p>
            <w:pPr>
              <w:spacing w:after="0" w:line="193" w:lineRule="exact"/>
              <w:rPr>
                <w:rFonts w:ascii="Arial" w:cs="Arial" w:eastAsia="Arial" w:hAnsi="Arial"/>
                <w:sz w:val="17"/>
                <w:szCs w:val="17"/>
                <w:b w:val="1"/>
                <w:bCs w:val="1"/>
                <w:color w:val="0000EE"/>
                <w:w w:val="91"/>
              </w:rPr>
            </w:pPr>
            <w:hyperlink w:anchor="page6">
              <w:r>
                <w:rPr>
                  <w:rFonts w:ascii="Arial" w:cs="Arial" w:eastAsia="Arial" w:hAnsi="Arial"/>
                  <w:sz w:val="17"/>
                  <w:szCs w:val="17"/>
                  <w:b w:val="1"/>
                  <w:bCs w:val="1"/>
                  <w:color w:val="0000EE"/>
                  <w:w w:val="91"/>
                </w:rPr>
                <w:t>If I am a shareholder of record of Common Stock, how do I vote?</w:t>
              </w:r>
            </w:hyperlink>
          </w:p>
        </w:tc>
        <w:tc>
          <w:tcPr>
            <w:tcW w:w="3160" w:type="dxa"/>
            <w:vAlign w:val="bottom"/>
            <w:gridSpan w:val="5"/>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620" w:type="dxa"/>
            <w:vAlign w:val="bottom"/>
          </w:tcPr>
          <w:p>
            <w:pPr>
              <w:spacing w:after="0" w:line="193" w:lineRule="exact"/>
              <w:rPr>
                <w:rFonts w:ascii="Arial" w:cs="Arial" w:eastAsia="Arial" w:hAnsi="Arial"/>
                <w:sz w:val="17"/>
                <w:szCs w:val="17"/>
                <w:b w:val="1"/>
                <w:bCs w:val="1"/>
                <w:color w:val="0000EE"/>
                <w:w w:val="93"/>
              </w:rPr>
            </w:pPr>
            <w:hyperlink w:anchor="page7">
              <w:r>
                <w:rPr>
                  <w:rFonts w:ascii="Arial" w:cs="Arial" w:eastAsia="Arial" w:hAnsi="Arial"/>
                  <w:sz w:val="17"/>
                  <w:szCs w:val="17"/>
                  <w:b w:val="1"/>
                  <w:bCs w:val="1"/>
                  <w:color w:val="0000EE"/>
                  <w:w w:val="93"/>
                </w:rPr>
                <w:t>What am I voting on?</w:t>
              </w:r>
            </w:hyperlink>
          </w:p>
        </w:tc>
        <w:tc>
          <w:tcPr>
            <w:tcW w:w="3200" w:type="dxa"/>
            <w:vAlign w:val="bottom"/>
            <w:gridSpan w:val="27"/>
          </w:tcPr>
          <w:p>
            <w:pPr>
              <w:spacing w:after="0"/>
              <w:rPr>
                <w:sz w:val="16"/>
                <w:szCs w:val="16"/>
                <w:color w:val="auto"/>
              </w:rPr>
            </w:pPr>
          </w:p>
        </w:tc>
        <w:tc>
          <w:tcPr>
            <w:tcW w:w="3560" w:type="dxa"/>
            <w:vAlign w:val="bottom"/>
            <w:gridSpan w:val="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7">
              <w:r>
                <w:rPr>
                  <w:rFonts w:ascii="Arial" w:cs="Arial" w:eastAsia="Arial" w:hAnsi="Arial"/>
                  <w:sz w:val="17"/>
                  <w:szCs w:val="17"/>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00" w:type="dxa"/>
            <w:vAlign w:val="bottom"/>
            <w:gridSpan w:val="24"/>
          </w:tcPr>
          <w:p>
            <w:pPr>
              <w:spacing w:after="0" w:line="193" w:lineRule="exact"/>
              <w:rPr>
                <w:rFonts w:ascii="Arial" w:cs="Arial" w:eastAsia="Arial" w:hAnsi="Arial"/>
                <w:sz w:val="17"/>
                <w:szCs w:val="17"/>
                <w:b w:val="1"/>
                <w:bCs w:val="1"/>
                <w:color w:val="0000EE"/>
                <w:w w:val="88"/>
              </w:rPr>
            </w:pPr>
            <w:hyperlink w:anchor="page7">
              <w:r>
                <w:rPr>
                  <w:rFonts w:ascii="Arial" w:cs="Arial" w:eastAsia="Arial" w:hAnsi="Arial"/>
                  <w:sz w:val="17"/>
                  <w:szCs w:val="17"/>
                  <w:b w:val="1"/>
                  <w:bCs w:val="1"/>
                  <w:color w:val="0000EE"/>
                  <w:w w:val="88"/>
                </w:rPr>
                <w:t>Will there be any other items of business on the agenda?</w:t>
              </w:r>
            </w:hyperlink>
          </w:p>
        </w:tc>
        <w:tc>
          <w:tcPr>
            <w:tcW w:w="428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7">
              <w:r>
                <w:rPr>
                  <w:rFonts w:ascii="Arial" w:cs="Arial" w:eastAsia="Arial" w:hAnsi="Arial"/>
                  <w:sz w:val="17"/>
                  <w:szCs w:val="17"/>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960" w:type="dxa"/>
            <w:vAlign w:val="bottom"/>
            <w:gridSpan w:val="23"/>
          </w:tcPr>
          <w:p>
            <w:pPr>
              <w:spacing w:after="0" w:line="193" w:lineRule="exact"/>
              <w:rPr>
                <w:rFonts w:ascii="Arial" w:cs="Arial" w:eastAsia="Arial" w:hAnsi="Arial"/>
                <w:sz w:val="17"/>
                <w:szCs w:val="17"/>
                <w:b w:val="1"/>
                <w:bCs w:val="1"/>
                <w:color w:val="0000EE"/>
                <w:w w:val="89"/>
              </w:rPr>
            </w:pPr>
            <w:hyperlink w:anchor="page7">
              <w:r>
                <w:rPr>
                  <w:rFonts w:ascii="Arial" w:cs="Arial" w:eastAsia="Arial" w:hAnsi="Arial"/>
                  <w:sz w:val="17"/>
                  <w:szCs w:val="17"/>
                  <w:b w:val="1"/>
                  <w:bCs w:val="1"/>
                  <w:color w:val="0000EE"/>
                  <w:w w:val="89"/>
                </w:rPr>
                <w:t>How many votes are required to act on the proposals?</w:t>
              </w:r>
            </w:hyperlink>
          </w:p>
        </w:tc>
        <w:tc>
          <w:tcPr>
            <w:tcW w:w="140" w:type="dxa"/>
            <w:vAlign w:val="bottom"/>
          </w:tcPr>
          <w:p>
            <w:pPr>
              <w:spacing w:after="0"/>
              <w:rPr>
                <w:sz w:val="16"/>
                <w:szCs w:val="16"/>
                <w:color w:val="auto"/>
              </w:rPr>
            </w:pPr>
          </w:p>
        </w:tc>
        <w:tc>
          <w:tcPr>
            <w:tcW w:w="428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7">
              <w:r>
                <w:rPr>
                  <w:rFonts w:ascii="Arial" w:cs="Arial" w:eastAsia="Arial" w:hAnsi="Arial"/>
                  <w:sz w:val="17"/>
                  <w:szCs w:val="17"/>
                  <w:color w:val="0000EE"/>
                </w:rPr>
                <w:t>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760" w:type="dxa"/>
            <w:vAlign w:val="bottom"/>
            <w:gridSpan w:val="4"/>
          </w:tcPr>
          <w:p>
            <w:pPr>
              <w:spacing w:after="0" w:line="193" w:lineRule="exact"/>
              <w:rPr>
                <w:rFonts w:ascii="Arial" w:cs="Arial" w:eastAsia="Arial" w:hAnsi="Arial"/>
                <w:sz w:val="17"/>
                <w:szCs w:val="17"/>
                <w:b w:val="1"/>
                <w:bCs w:val="1"/>
                <w:color w:val="0000EE"/>
                <w:w w:val="87"/>
              </w:rPr>
            </w:pPr>
            <w:hyperlink w:anchor="page8">
              <w:r>
                <w:rPr>
                  <w:rFonts w:ascii="Arial" w:cs="Arial" w:eastAsia="Arial" w:hAnsi="Arial"/>
                  <w:sz w:val="17"/>
                  <w:szCs w:val="17"/>
                  <w:b w:val="1"/>
                  <w:bCs w:val="1"/>
                  <w:color w:val="0000EE"/>
                  <w:w w:val="87"/>
                </w:rPr>
                <w:t>How are votes counted?</w:t>
              </w:r>
            </w:hyperlink>
          </w:p>
        </w:tc>
        <w:tc>
          <w:tcPr>
            <w:tcW w:w="2200" w:type="dxa"/>
            <w:vAlign w:val="bottom"/>
            <w:gridSpan w:val="19"/>
          </w:tcPr>
          <w:p>
            <w:pPr>
              <w:spacing w:after="0"/>
              <w:rPr>
                <w:sz w:val="16"/>
                <w:szCs w:val="16"/>
                <w:color w:val="auto"/>
              </w:rPr>
            </w:pPr>
          </w:p>
        </w:tc>
        <w:tc>
          <w:tcPr>
            <w:tcW w:w="4420" w:type="dxa"/>
            <w:vAlign w:val="bottom"/>
            <w:gridSpan w:val="1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What happens if I return my proxy card without voting on all proposals?</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380" w:type="dxa"/>
            <w:vAlign w:val="bottom"/>
            <w:gridSpan w:val="31"/>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Can I change my vote after I return my proxy card?</w:t>
              </w:r>
            </w:hyperlink>
          </w:p>
        </w:tc>
        <w:tc>
          <w:tcPr>
            <w:tcW w:w="3000" w:type="dxa"/>
            <w:vAlign w:val="bottom"/>
            <w:gridSpan w:val="3"/>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260" w:type="dxa"/>
            <w:vAlign w:val="bottom"/>
            <w:gridSpan w:val="17"/>
          </w:tcPr>
          <w:p>
            <w:pPr>
              <w:spacing w:after="0" w:line="193" w:lineRule="exact"/>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Will anyone contact me regarding this vote?</w:t>
              </w:r>
            </w:hyperlink>
          </w:p>
        </w:tc>
        <w:tc>
          <w:tcPr>
            <w:tcW w:w="580" w:type="dxa"/>
            <w:vAlign w:val="bottom"/>
            <w:gridSpan w:val="4"/>
          </w:tcPr>
          <w:p>
            <w:pPr>
              <w:spacing w:after="0"/>
              <w:rPr>
                <w:sz w:val="16"/>
                <w:szCs w:val="16"/>
                <w:color w:val="auto"/>
              </w:rPr>
            </w:pPr>
          </w:p>
        </w:tc>
        <w:tc>
          <w:tcPr>
            <w:tcW w:w="4540" w:type="dxa"/>
            <w:vAlign w:val="bottom"/>
            <w:gridSpan w:val="13"/>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260" w:type="dxa"/>
            <w:vAlign w:val="bottom"/>
            <w:gridSpan w:val="17"/>
          </w:tcPr>
          <w:p>
            <w:pPr>
              <w:spacing w:after="0" w:line="193" w:lineRule="exact"/>
              <w:rPr>
                <w:rFonts w:ascii="Arial" w:cs="Arial" w:eastAsia="Arial" w:hAnsi="Arial"/>
                <w:sz w:val="17"/>
                <w:szCs w:val="17"/>
                <w:b w:val="1"/>
                <w:bCs w:val="1"/>
                <w:color w:val="0000EE"/>
                <w:w w:val="98"/>
              </w:rPr>
            </w:pPr>
            <w:hyperlink w:anchor="page8">
              <w:r>
                <w:rPr>
                  <w:rFonts w:ascii="Arial" w:cs="Arial" w:eastAsia="Arial" w:hAnsi="Arial"/>
                  <w:sz w:val="17"/>
                  <w:szCs w:val="17"/>
                  <w:b w:val="1"/>
                  <w:bCs w:val="1"/>
                  <w:color w:val="0000EE"/>
                  <w:w w:val="98"/>
                </w:rPr>
                <w:t>Who has paid for this proxy solicitation?</w:t>
              </w:r>
            </w:hyperlink>
          </w:p>
        </w:tc>
        <w:tc>
          <w:tcPr>
            <w:tcW w:w="5120" w:type="dxa"/>
            <w:vAlign w:val="bottom"/>
            <w:gridSpan w:val="17"/>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May shareholders ask questions at the Annual Meeting?</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How can I obtain a copy of this year's Annual Report on Form 10-K?</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8">
              <w:r>
                <w:rPr>
                  <w:rFonts w:ascii="Arial" w:cs="Arial" w:eastAsia="Arial" w:hAnsi="Arial"/>
                  <w:sz w:val="17"/>
                  <w:szCs w:val="17"/>
                  <w:color w:val="0000EE"/>
                </w:rPr>
                <w:t>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100" w:type="dxa"/>
            <w:vAlign w:val="bottom"/>
            <w:gridSpan w:val="29"/>
          </w:tcPr>
          <w:p>
            <w:pPr>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What does it mean if I receive more than one proxy card?</w:t>
              </w:r>
            </w:hyperlink>
          </w:p>
        </w:tc>
        <w:tc>
          <w:tcPr>
            <w:tcW w:w="3280" w:type="dxa"/>
            <w:vAlign w:val="bottom"/>
            <w:gridSpan w:val="5"/>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80" w:type="dxa"/>
            <w:vAlign w:val="bottom"/>
            <w:gridSpan w:val="25"/>
          </w:tcPr>
          <w:p>
            <w:pPr>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When was this proxy statement mailed?</w:t>
              </w:r>
            </w:hyperlink>
          </w:p>
        </w:tc>
        <w:tc>
          <w:tcPr>
            <w:tcW w:w="4200" w:type="dxa"/>
            <w:vAlign w:val="bottom"/>
            <w:gridSpan w:val="9"/>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540" w:type="dxa"/>
            <w:vAlign w:val="bottom"/>
            <w:gridSpan w:val="27"/>
          </w:tcPr>
          <w:p>
            <w:pPr>
              <w:spacing w:after="0" w:line="193" w:lineRule="exact"/>
              <w:rPr>
                <w:rFonts w:ascii="Arial" w:cs="Arial" w:eastAsia="Arial" w:hAnsi="Arial"/>
                <w:sz w:val="17"/>
                <w:szCs w:val="17"/>
                <w:b w:val="1"/>
                <w:bCs w:val="1"/>
                <w:color w:val="0000EE"/>
                <w:w w:val="92"/>
              </w:rPr>
            </w:pPr>
            <w:hyperlink w:anchor="page9">
              <w:r>
                <w:rPr>
                  <w:rFonts w:ascii="Arial" w:cs="Arial" w:eastAsia="Arial" w:hAnsi="Arial"/>
                  <w:sz w:val="17"/>
                  <w:szCs w:val="17"/>
                  <w:b w:val="1"/>
                  <w:bCs w:val="1"/>
                  <w:color w:val="0000EE"/>
                  <w:w w:val="92"/>
                </w:rPr>
                <w:t>Can I find additional information on the Company's website?</w:t>
              </w:r>
            </w:hyperlink>
          </w:p>
        </w:tc>
        <w:tc>
          <w:tcPr>
            <w:tcW w:w="3840" w:type="dxa"/>
            <w:vAlign w:val="bottom"/>
            <w:gridSpan w:val="7"/>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gridSpan w:val="35"/>
          </w:tcPr>
          <w:p>
            <w:pPr>
              <w:spacing w:after="0" w:line="193"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CORPORATE GOVERNANCE AND BOARD MATTERS</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80" w:type="dxa"/>
            <w:vAlign w:val="bottom"/>
            <w:gridSpan w:val="25"/>
          </w:tcPr>
          <w:p>
            <w:pPr>
              <w:spacing w:after="0" w:line="193" w:lineRule="exact"/>
              <w:rPr>
                <w:rFonts w:ascii="Arial" w:cs="Arial" w:eastAsia="Arial" w:hAnsi="Arial"/>
                <w:sz w:val="17"/>
                <w:szCs w:val="17"/>
                <w:b w:val="1"/>
                <w:bCs w:val="1"/>
                <w:color w:val="0000EE"/>
                <w:w w:val="97"/>
              </w:rPr>
            </w:pPr>
            <w:hyperlink w:anchor="page9">
              <w:r>
                <w:rPr>
                  <w:rFonts w:ascii="Arial" w:cs="Arial" w:eastAsia="Arial" w:hAnsi="Arial"/>
                  <w:sz w:val="17"/>
                  <w:szCs w:val="17"/>
                  <w:b w:val="1"/>
                  <w:bCs w:val="1"/>
                  <w:color w:val="0000EE"/>
                  <w:w w:val="97"/>
                </w:rPr>
                <w:t>Director Qualifications and Biographical Information</w:t>
              </w:r>
            </w:hyperlink>
          </w:p>
        </w:tc>
        <w:tc>
          <w:tcPr>
            <w:tcW w:w="4200" w:type="dxa"/>
            <w:vAlign w:val="bottom"/>
            <w:gridSpan w:val="9"/>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960" w:type="dxa"/>
            <w:vAlign w:val="bottom"/>
            <w:gridSpan w:val="23"/>
          </w:tcPr>
          <w:p>
            <w:pPr>
              <w:spacing w:after="0" w:line="193"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Independent Directors</w:t>
              </w:r>
            </w:hyperlink>
          </w:p>
        </w:tc>
        <w:tc>
          <w:tcPr>
            <w:tcW w:w="4420" w:type="dxa"/>
            <w:vAlign w:val="bottom"/>
            <w:gridSpan w:val="1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100" w:type="dxa"/>
            <w:vAlign w:val="bottom"/>
            <w:gridSpan w:val="6"/>
          </w:tcPr>
          <w:p>
            <w:pPr>
              <w:spacing w:after="0" w:line="193" w:lineRule="exact"/>
              <w:rPr>
                <w:rFonts w:ascii="Arial" w:cs="Arial" w:eastAsia="Arial" w:hAnsi="Arial"/>
                <w:sz w:val="17"/>
                <w:szCs w:val="17"/>
                <w:b w:val="1"/>
                <w:bCs w:val="1"/>
                <w:color w:val="0000EE"/>
                <w:w w:val="92"/>
              </w:rPr>
            </w:pPr>
            <w:hyperlink w:anchor="page11">
              <w:r>
                <w:rPr>
                  <w:rFonts w:ascii="Arial" w:cs="Arial" w:eastAsia="Arial" w:hAnsi="Arial"/>
                  <w:sz w:val="17"/>
                  <w:szCs w:val="17"/>
                  <w:b w:val="1"/>
                  <w:bCs w:val="1"/>
                  <w:color w:val="0000EE"/>
                  <w:w w:val="92"/>
                </w:rPr>
                <w:t>Board Leadership Structure</w:t>
              </w:r>
            </w:hyperlink>
          </w:p>
        </w:tc>
        <w:tc>
          <w:tcPr>
            <w:tcW w:w="6280" w:type="dxa"/>
            <w:vAlign w:val="bottom"/>
            <w:gridSpan w:val="28"/>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340" w:type="dxa"/>
            <w:vAlign w:val="bottom"/>
            <w:gridSpan w:val="18"/>
          </w:tcPr>
          <w:p>
            <w:pPr>
              <w:spacing w:after="0" w:line="193" w:lineRule="exact"/>
              <w:rPr>
                <w:rFonts w:ascii="Arial" w:cs="Arial" w:eastAsia="Arial" w:hAnsi="Arial"/>
                <w:sz w:val="17"/>
                <w:szCs w:val="17"/>
                <w:b w:val="1"/>
                <w:bCs w:val="1"/>
                <w:color w:val="0000EE"/>
                <w:w w:val="92"/>
              </w:rPr>
            </w:pPr>
            <w:hyperlink w:anchor="page12">
              <w:r>
                <w:rPr>
                  <w:rFonts w:ascii="Arial" w:cs="Arial" w:eastAsia="Arial" w:hAnsi="Arial"/>
                  <w:sz w:val="17"/>
                  <w:szCs w:val="17"/>
                  <w:b w:val="1"/>
                  <w:bCs w:val="1"/>
                  <w:color w:val="0000EE"/>
                  <w:w w:val="92"/>
                </w:rPr>
                <w:t>Shareholder Communication With the Board</w:t>
              </w:r>
            </w:hyperlink>
          </w:p>
        </w:tc>
        <w:tc>
          <w:tcPr>
            <w:tcW w:w="5040" w:type="dxa"/>
            <w:vAlign w:val="bottom"/>
            <w:gridSpan w:val="1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260" w:type="dxa"/>
            <w:vAlign w:val="bottom"/>
            <w:gridSpan w:val="8"/>
          </w:tcPr>
          <w:p>
            <w:pPr>
              <w:spacing w:after="0" w:line="193" w:lineRule="exact"/>
              <w:rPr>
                <w:rFonts w:ascii="Arial" w:cs="Arial" w:eastAsia="Arial" w:hAnsi="Arial"/>
                <w:sz w:val="17"/>
                <w:szCs w:val="17"/>
                <w:b w:val="1"/>
                <w:bCs w:val="1"/>
                <w:color w:val="0000EE"/>
                <w:w w:val="92"/>
              </w:rPr>
            </w:pPr>
            <w:hyperlink w:anchor="page12">
              <w:r>
                <w:rPr>
                  <w:rFonts w:ascii="Arial" w:cs="Arial" w:eastAsia="Arial" w:hAnsi="Arial"/>
                  <w:sz w:val="17"/>
                  <w:szCs w:val="17"/>
                  <w:b w:val="1"/>
                  <w:bCs w:val="1"/>
                  <w:color w:val="0000EE"/>
                  <w:w w:val="92"/>
                </w:rPr>
                <w:t>Committees and Meeting Data</w:t>
              </w:r>
            </w:hyperlink>
          </w:p>
        </w:tc>
        <w:tc>
          <w:tcPr>
            <w:tcW w:w="1080" w:type="dxa"/>
            <w:vAlign w:val="bottom"/>
            <w:gridSpan w:val="10"/>
          </w:tcPr>
          <w:p>
            <w:pPr>
              <w:spacing w:after="0"/>
              <w:rPr>
                <w:sz w:val="16"/>
                <w:szCs w:val="16"/>
                <w:color w:val="auto"/>
              </w:rPr>
            </w:pPr>
          </w:p>
        </w:tc>
        <w:tc>
          <w:tcPr>
            <w:tcW w:w="5040" w:type="dxa"/>
            <w:vAlign w:val="bottom"/>
            <w:gridSpan w:val="1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820" w:type="dxa"/>
            <w:vAlign w:val="bottom"/>
            <w:gridSpan w:val="13"/>
          </w:tcPr>
          <w:p>
            <w:pPr>
              <w:spacing w:after="0" w:line="193" w:lineRule="exact"/>
              <w:rPr>
                <w:rFonts w:ascii="Arial" w:cs="Arial" w:eastAsia="Arial" w:hAnsi="Arial"/>
                <w:sz w:val="17"/>
                <w:szCs w:val="17"/>
                <w:b w:val="1"/>
                <w:bCs w:val="1"/>
                <w:color w:val="0000EE"/>
                <w:w w:val="91"/>
              </w:rPr>
            </w:pPr>
            <w:hyperlink w:anchor="page13">
              <w:r>
                <w:rPr>
                  <w:rFonts w:ascii="Arial" w:cs="Arial" w:eastAsia="Arial" w:hAnsi="Arial"/>
                  <w:sz w:val="17"/>
                  <w:szCs w:val="17"/>
                  <w:b w:val="1"/>
                  <w:bCs w:val="1"/>
                  <w:color w:val="0000EE"/>
                  <w:w w:val="91"/>
                </w:rPr>
                <w:t>Board Oversight of Risk Management</w:t>
              </w:r>
            </w:hyperlink>
          </w:p>
        </w:tc>
        <w:tc>
          <w:tcPr>
            <w:tcW w:w="5560" w:type="dxa"/>
            <w:vAlign w:val="bottom"/>
            <w:gridSpan w:val="2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3">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760" w:type="dxa"/>
            <w:vAlign w:val="bottom"/>
            <w:gridSpan w:val="4"/>
          </w:tcPr>
          <w:p>
            <w:pPr>
              <w:spacing w:after="0" w:line="193" w:lineRule="exact"/>
              <w:rPr>
                <w:rFonts w:ascii="Arial" w:cs="Arial" w:eastAsia="Arial" w:hAnsi="Arial"/>
                <w:sz w:val="17"/>
                <w:szCs w:val="17"/>
                <w:b w:val="1"/>
                <w:bCs w:val="1"/>
                <w:color w:val="0000EE"/>
                <w:w w:val="89"/>
              </w:rPr>
            </w:pPr>
            <w:hyperlink w:anchor="page13">
              <w:r>
                <w:rPr>
                  <w:rFonts w:ascii="Arial" w:cs="Arial" w:eastAsia="Arial" w:hAnsi="Arial"/>
                  <w:sz w:val="17"/>
                  <w:szCs w:val="17"/>
                  <w:b w:val="1"/>
                  <w:bCs w:val="1"/>
                  <w:color w:val="0000EE"/>
                  <w:w w:val="89"/>
                </w:rPr>
                <w:t>Nominating Procedures</w:t>
              </w:r>
            </w:hyperlink>
          </w:p>
        </w:tc>
        <w:tc>
          <w:tcPr>
            <w:tcW w:w="1060" w:type="dxa"/>
            <w:vAlign w:val="bottom"/>
            <w:gridSpan w:val="9"/>
          </w:tcPr>
          <w:p>
            <w:pPr>
              <w:spacing w:after="0"/>
              <w:rPr>
                <w:sz w:val="16"/>
                <w:szCs w:val="16"/>
                <w:color w:val="auto"/>
              </w:rPr>
            </w:pPr>
          </w:p>
        </w:tc>
        <w:tc>
          <w:tcPr>
            <w:tcW w:w="5560" w:type="dxa"/>
            <w:vAlign w:val="bottom"/>
            <w:gridSpan w:val="21"/>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3">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260" w:type="dxa"/>
            <w:vAlign w:val="bottom"/>
            <w:gridSpan w:val="8"/>
          </w:tcPr>
          <w:p>
            <w:pPr>
              <w:spacing w:after="0" w:line="193" w:lineRule="exact"/>
              <w:rPr>
                <w:rFonts w:ascii="Arial" w:cs="Arial" w:eastAsia="Arial" w:hAnsi="Arial"/>
                <w:sz w:val="17"/>
                <w:szCs w:val="17"/>
                <w:b w:val="1"/>
                <w:bCs w:val="1"/>
                <w:color w:val="0000EE"/>
                <w:w w:val="91"/>
              </w:rPr>
            </w:pPr>
            <w:hyperlink w:anchor="page14">
              <w:r>
                <w:rPr>
                  <w:rFonts w:ascii="Arial" w:cs="Arial" w:eastAsia="Arial" w:hAnsi="Arial"/>
                  <w:sz w:val="17"/>
                  <w:szCs w:val="17"/>
                  <w:b w:val="1"/>
                  <w:bCs w:val="1"/>
                  <w:color w:val="0000EE"/>
                  <w:w w:val="91"/>
                </w:rPr>
                <w:t>Board Attendance at Meetings</w:t>
              </w:r>
            </w:hyperlink>
          </w:p>
        </w:tc>
        <w:tc>
          <w:tcPr>
            <w:tcW w:w="6120" w:type="dxa"/>
            <w:vAlign w:val="bottom"/>
            <w:gridSpan w:val="26"/>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Compensation Committee Interlocks</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720" w:type="dxa"/>
            <w:vAlign w:val="bottom"/>
            <w:gridSpan w:val="12"/>
          </w:tcPr>
          <w:p>
            <w:pPr>
              <w:spacing w:after="0" w:line="193"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Compensation of Directors</w:t>
              </w:r>
            </w:hyperlink>
          </w:p>
        </w:tc>
        <w:tc>
          <w:tcPr>
            <w:tcW w:w="5660" w:type="dxa"/>
            <w:vAlign w:val="bottom"/>
            <w:gridSpan w:val="22"/>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gridSpan w:val="35"/>
          </w:tcPr>
          <w:p>
            <w:pPr>
              <w:spacing w:after="0" w:line="193"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PROPOSALS TO BE VOTED ON</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Proposal 1—Election of Directors</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4100" w:type="dxa"/>
            <w:vAlign w:val="bottom"/>
            <w:gridSpan w:val="24"/>
          </w:tcPr>
          <w:p>
            <w:pPr>
              <w:spacing w:after="0" w:line="193" w:lineRule="exact"/>
              <w:rPr>
                <w:rFonts w:ascii="Arial" w:cs="Arial" w:eastAsia="Arial" w:hAnsi="Arial"/>
                <w:sz w:val="17"/>
                <w:szCs w:val="17"/>
                <w:b w:val="1"/>
                <w:bCs w:val="1"/>
                <w:color w:val="0000EE"/>
                <w:w w:val="90"/>
              </w:rPr>
            </w:pPr>
            <w:hyperlink w:anchor="page16">
              <w:r>
                <w:rPr>
                  <w:rFonts w:ascii="Arial" w:cs="Arial" w:eastAsia="Arial" w:hAnsi="Arial"/>
                  <w:sz w:val="17"/>
                  <w:szCs w:val="17"/>
                  <w:b w:val="1"/>
                  <w:bCs w:val="1"/>
                  <w:color w:val="0000EE"/>
                  <w:w w:val="90"/>
                </w:rPr>
                <w:t>Proposal 2—Advisory Vote on Executive Compensation</w:t>
              </w:r>
            </w:hyperlink>
          </w:p>
        </w:tc>
        <w:tc>
          <w:tcPr>
            <w:tcW w:w="4280" w:type="dxa"/>
            <w:vAlign w:val="bottom"/>
            <w:gridSpan w:val="10"/>
          </w:tcPr>
          <w:p>
            <w:pPr>
              <w:spacing w:after="0"/>
              <w:rPr>
                <w:sz w:val="16"/>
                <w:szCs w:val="16"/>
                <w:color w:val="auto"/>
              </w:rPr>
            </w:pPr>
          </w:p>
        </w:tc>
        <w:tc>
          <w:tcPr>
            <w:tcW w:w="420" w:type="dxa"/>
            <w:vAlign w:val="bottom"/>
            <w:gridSpan w:val="3"/>
          </w:tcPr>
          <w:p>
            <w:pPr>
              <w:jc w:val="right"/>
              <w:spacing w:after="0" w:line="193" w:lineRule="exact"/>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Proposal 3—Advisory Vote on the Ratification of Independent Registered Public Accounting Firm</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17">
              <w:r>
                <w:rPr>
                  <w:rFonts w:ascii="Arial" w:cs="Arial" w:eastAsia="Arial" w:hAnsi="Arial"/>
                  <w:sz w:val="17"/>
                  <w:szCs w:val="17"/>
                  <w:color w:val="0000EE"/>
                </w:rPr>
                <w:t>12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40" w:type="dxa"/>
            <w:vAlign w:val="bottom"/>
            <w:tcBorders>
              <w:bottom w:val="single" w:sz="8" w:color="0000EE"/>
            </w:tcBorders>
            <w:gridSpan w:val="5"/>
          </w:tcPr>
          <w:p>
            <w:pPr>
              <w:spacing w:after="0" w:line="193"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EXECUTIVE OFFICERS</w:t>
              </w:r>
            </w:hyperlink>
          </w:p>
        </w:tc>
        <w:tc>
          <w:tcPr>
            <w:tcW w:w="6620" w:type="dxa"/>
            <w:vAlign w:val="bottom"/>
            <w:gridSpan w:val="30"/>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17">
              <w:r>
                <w:rPr>
                  <w:rFonts w:ascii="Arial" w:cs="Arial" w:eastAsia="Arial" w:hAnsi="Arial"/>
                  <w:sz w:val="17"/>
                  <w:szCs w:val="17"/>
                  <w:color w:val="0000EE"/>
                  <w:w w:val="73"/>
                </w:rPr>
                <w:t>12</w:t>
              </w:r>
            </w:hyperlink>
          </w:p>
        </w:tc>
        <w:tc>
          <w:tcPr>
            <w:tcW w:w="0" w:type="dxa"/>
            <w:vAlign w:val="bottom"/>
          </w:tcPr>
          <w:p>
            <w:pPr>
              <w:spacing w:after="0"/>
              <w:rPr>
                <w:sz w:val="1"/>
                <w:szCs w:val="1"/>
                <w:color w:val="auto"/>
              </w:rPr>
            </w:pPr>
          </w:p>
        </w:tc>
      </w:tr>
      <w:tr>
        <w:trPr>
          <w:trHeight w:val="193"/>
        </w:trPr>
        <w:tc>
          <w:tcPr>
            <w:tcW w:w="3700" w:type="dxa"/>
            <w:vAlign w:val="bottom"/>
            <w:tcBorders>
              <w:bottom w:val="single" w:sz="8" w:color="0000EE"/>
            </w:tcBorders>
            <w:gridSpan w:val="20"/>
          </w:tcPr>
          <w:p>
            <w:pPr>
              <w:spacing w:after="0" w:line="193"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COMPENSATION OF EXECUTIVE OFFICERS</w:t>
              </w:r>
            </w:hyperlink>
          </w:p>
        </w:tc>
        <w:tc>
          <w:tcPr>
            <w:tcW w:w="4860" w:type="dxa"/>
            <w:vAlign w:val="bottom"/>
            <w:gridSpan w:val="15"/>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18">
              <w:r>
                <w:rPr>
                  <w:rFonts w:ascii="Arial" w:cs="Arial" w:eastAsia="Arial" w:hAnsi="Arial"/>
                  <w:sz w:val="17"/>
                  <w:szCs w:val="17"/>
                  <w:color w:val="0000EE"/>
                  <w:w w:val="73"/>
                </w:rPr>
                <w:t>13</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Compensation Discussion and Analysis</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18">
              <w:r>
                <w:rPr>
                  <w:rFonts w:ascii="Arial" w:cs="Arial" w:eastAsia="Arial" w:hAnsi="Arial"/>
                  <w:sz w:val="17"/>
                  <w:szCs w:val="17"/>
                  <w:color w:val="0000EE"/>
                </w:rPr>
                <w:t>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600" w:type="dxa"/>
            <w:vAlign w:val="bottom"/>
            <w:tcBorders>
              <w:bottom w:val="single" w:sz="8" w:color="0000EE"/>
            </w:tcBorders>
            <w:gridSpan w:val="20"/>
          </w:tcPr>
          <w:p>
            <w:pPr>
              <w:spacing w:after="0" w:line="193" w:lineRule="exact"/>
              <w:rPr>
                <w:rFonts w:ascii="Arial" w:cs="Arial" w:eastAsia="Arial" w:hAnsi="Arial"/>
                <w:sz w:val="17"/>
                <w:szCs w:val="17"/>
                <w:b w:val="1"/>
                <w:bCs w:val="1"/>
                <w:color w:val="0000EE"/>
                <w:w w:val="92"/>
              </w:rPr>
            </w:pPr>
            <w:hyperlink w:anchor="page22">
              <w:r>
                <w:rPr>
                  <w:rFonts w:ascii="Arial" w:cs="Arial" w:eastAsia="Arial" w:hAnsi="Arial"/>
                  <w:sz w:val="17"/>
                  <w:szCs w:val="17"/>
                  <w:b w:val="1"/>
                  <w:bCs w:val="1"/>
                  <w:color w:val="0000EE"/>
                  <w:w w:val="92"/>
                </w:rPr>
                <w:t>Chief Executive Officer Employment Agreement</w:t>
              </w:r>
            </w:hyperlink>
          </w:p>
        </w:tc>
        <w:tc>
          <w:tcPr>
            <w:tcW w:w="4780" w:type="dxa"/>
            <w:vAlign w:val="bottom"/>
            <w:gridSpan w:val="14"/>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22">
              <w:r>
                <w:rPr>
                  <w:rFonts w:ascii="Arial" w:cs="Arial" w:eastAsia="Arial" w:hAnsi="Arial"/>
                  <w:sz w:val="17"/>
                  <w:szCs w:val="17"/>
                  <w:color w:val="0000EE"/>
                  <w:w w:val="73"/>
                </w:rPr>
                <w:t>17</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000" w:type="dxa"/>
            <w:vAlign w:val="bottom"/>
            <w:tcBorders>
              <w:bottom w:val="single" w:sz="8" w:color="0000EE"/>
            </w:tcBorders>
            <w:gridSpan w:val="15"/>
          </w:tcPr>
          <w:p>
            <w:pPr>
              <w:spacing w:after="0" w:line="193" w:lineRule="exact"/>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Report of the Compensation Committee</w:t>
              </w:r>
            </w:hyperlink>
          </w:p>
        </w:tc>
        <w:tc>
          <w:tcPr>
            <w:tcW w:w="5380" w:type="dxa"/>
            <w:vAlign w:val="bottom"/>
            <w:gridSpan w:val="19"/>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24">
              <w:r>
                <w:rPr>
                  <w:rFonts w:ascii="Arial" w:cs="Arial" w:eastAsia="Arial" w:hAnsi="Arial"/>
                  <w:sz w:val="17"/>
                  <w:szCs w:val="17"/>
                  <w:color w:val="0000EE"/>
                  <w:w w:val="73"/>
                </w:rPr>
                <w:t>19</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300" w:type="dxa"/>
            <w:vAlign w:val="bottom"/>
            <w:tcBorders>
              <w:bottom w:val="single" w:sz="8" w:color="0000EE"/>
            </w:tcBorders>
            <w:gridSpan w:val="9"/>
          </w:tcPr>
          <w:p>
            <w:pPr>
              <w:spacing w:after="0" w:line="193" w:lineRule="exact"/>
              <w:rPr>
                <w:rFonts w:ascii="Arial" w:cs="Arial" w:eastAsia="Arial" w:hAnsi="Arial"/>
                <w:sz w:val="17"/>
                <w:szCs w:val="17"/>
                <w:b w:val="1"/>
                <w:bCs w:val="1"/>
                <w:color w:val="0000EE"/>
                <w:w w:val="91"/>
              </w:rPr>
            </w:pPr>
            <w:hyperlink w:anchor="page24">
              <w:r>
                <w:rPr>
                  <w:rFonts w:ascii="Arial" w:cs="Arial" w:eastAsia="Arial" w:hAnsi="Arial"/>
                  <w:sz w:val="17"/>
                  <w:szCs w:val="17"/>
                  <w:b w:val="1"/>
                  <w:bCs w:val="1"/>
                  <w:color w:val="0000EE"/>
                  <w:w w:val="91"/>
                </w:rPr>
                <w:t>Summary Compensation Table</w:t>
              </w:r>
            </w:hyperlink>
          </w:p>
        </w:tc>
        <w:tc>
          <w:tcPr>
            <w:tcW w:w="6080" w:type="dxa"/>
            <w:vAlign w:val="bottom"/>
            <w:gridSpan w:val="25"/>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24">
              <w:r>
                <w:rPr>
                  <w:rFonts w:ascii="Arial" w:cs="Arial" w:eastAsia="Arial" w:hAnsi="Arial"/>
                  <w:sz w:val="17"/>
                  <w:szCs w:val="17"/>
                  <w:color w:val="0000EE"/>
                  <w:w w:val="73"/>
                </w:rPr>
                <w:t>19</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820" w:type="dxa"/>
            <w:vAlign w:val="bottom"/>
            <w:tcBorders>
              <w:bottom w:val="single" w:sz="8" w:color="0000EE"/>
            </w:tcBorders>
            <w:gridSpan w:val="13"/>
          </w:tcPr>
          <w:p>
            <w:pPr>
              <w:spacing w:after="0" w:line="193" w:lineRule="exact"/>
              <w:rPr>
                <w:rFonts w:ascii="Arial" w:cs="Arial" w:eastAsia="Arial" w:hAnsi="Arial"/>
                <w:sz w:val="17"/>
                <w:szCs w:val="17"/>
                <w:b w:val="1"/>
                <w:bCs w:val="1"/>
                <w:color w:val="0000EE"/>
                <w:w w:val="92"/>
              </w:rPr>
            </w:pPr>
            <w:hyperlink w:anchor="page25">
              <w:r>
                <w:rPr>
                  <w:rFonts w:ascii="Arial" w:cs="Arial" w:eastAsia="Arial" w:hAnsi="Arial"/>
                  <w:sz w:val="17"/>
                  <w:szCs w:val="17"/>
                  <w:b w:val="1"/>
                  <w:bCs w:val="1"/>
                  <w:color w:val="0000EE"/>
                  <w:w w:val="92"/>
                </w:rPr>
                <w:t>Grants of Plan-Based Awards in 2015</w:t>
              </w:r>
            </w:hyperlink>
          </w:p>
        </w:tc>
        <w:tc>
          <w:tcPr>
            <w:tcW w:w="5560" w:type="dxa"/>
            <w:vAlign w:val="bottom"/>
            <w:gridSpan w:val="21"/>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3" w:lineRule="exact"/>
              <w:rPr>
                <w:rFonts w:ascii="Arial" w:cs="Arial" w:eastAsia="Arial" w:hAnsi="Arial"/>
                <w:sz w:val="17"/>
                <w:szCs w:val="17"/>
                <w:color w:val="0000EE"/>
                <w:w w:val="73"/>
              </w:rPr>
            </w:pPr>
            <w:hyperlink w:anchor="page25">
              <w:r>
                <w:rPr>
                  <w:rFonts w:ascii="Arial" w:cs="Arial" w:eastAsia="Arial" w:hAnsi="Arial"/>
                  <w:sz w:val="17"/>
                  <w:szCs w:val="17"/>
                  <w:color w:val="0000EE"/>
                  <w:w w:val="73"/>
                </w:rPr>
                <w:t>20</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Outstanding Equity Awards at 2015 Fiscal Year End</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26">
              <w:r>
                <w:rPr>
                  <w:rFonts w:ascii="Arial" w:cs="Arial" w:eastAsia="Arial" w:hAnsi="Arial"/>
                  <w:sz w:val="17"/>
                  <w:szCs w:val="17"/>
                  <w:color w:val="0000EE"/>
                </w:rPr>
                <w:t>21</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16"/>
          </w:tcPr>
          <w:p>
            <w:pPr>
              <w:spacing w:after="0" w:line="193" w:lineRule="exact"/>
              <w:rPr>
                <w:rFonts w:ascii="Arial" w:cs="Arial" w:eastAsia="Arial" w:hAnsi="Arial"/>
                <w:sz w:val="17"/>
                <w:szCs w:val="17"/>
                <w:b w:val="1"/>
                <w:bCs w:val="1"/>
                <w:color w:val="0000EE"/>
                <w:w w:val="89"/>
              </w:rPr>
            </w:pPr>
            <w:hyperlink w:anchor="page27">
              <w:r>
                <w:rPr>
                  <w:rFonts w:ascii="Arial" w:cs="Arial" w:eastAsia="Arial" w:hAnsi="Arial"/>
                  <w:sz w:val="17"/>
                  <w:szCs w:val="17"/>
                  <w:b w:val="1"/>
                  <w:bCs w:val="1"/>
                  <w:color w:val="0000EE"/>
                  <w:w w:val="89"/>
                </w:rPr>
                <w:t>Option Exercises and Stock Vested in 2015</w:t>
              </w:r>
            </w:hyperlink>
          </w:p>
        </w:tc>
        <w:tc>
          <w:tcPr>
            <w:tcW w:w="720" w:type="dxa"/>
            <w:vAlign w:val="bottom"/>
            <w:tcBorders>
              <w:top w:val="single" w:sz="8" w:color="0000EE"/>
            </w:tcBorders>
            <w:gridSpan w:val="6"/>
          </w:tcPr>
          <w:p>
            <w:pPr>
              <w:spacing w:after="0"/>
              <w:rPr>
                <w:sz w:val="16"/>
                <w:szCs w:val="16"/>
                <w:color w:val="auto"/>
              </w:rPr>
            </w:pPr>
          </w:p>
        </w:tc>
        <w:tc>
          <w:tcPr>
            <w:tcW w:w="4520" w:type="dxa"/>
            <w:vAlign w:val="bottom"/>
            <w:gridSpan w:val="12"/>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93" w:lineRule="exact"/>
              <w:rPr>
                <w:rFonts w:ascii="Arial" w:cs="Arial" w:eastAsia="Arial" w:hAnsi="Arial"/>
                <w:sz w:val="17"/>
                <w:szCs w:val="17"/>
                <w:color w:val="0000EE"/>
                <w:w w:val="73"/>
              </w:rPr>
            </w:pPr>
            <w:hyperlink w:anchor="page27">
              <w:r>
                <w:rPr>
                  <w:rFonts w:ascii="Arial" w:cs="Arial" w:eastAsia="Arial" w:hAnsi="Arial"/>
                  <w:sz w:val="17"/>
                  <w:szCs w:val="17"/>
                  <w:color w:val="0000EE"/>
                  <w:w w:val="73"/>
                </w:rPr>
                <w:t>22</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34"/>
          </w:tcPr>
          <w:p>
            <w:pPr>
              <w:spacing w:after="0" w:line="193" w:lineRule="exact"/>
              <w:rPr>
                <w:rFonts w:ascii="Arial" w:cs="Arial" w:eastAsia="Arial" w:hAnsi="Arial"/>
                <w:sz w:val="17"/>
                <w:szCs w:val="17"/>
                <w:b w:val="1"/>
                <w:bCs w:val="1"/>
                <w:color w:val="0000EE"/>
              </w:rPr>
            </w:pPr>
            <w:hyperlink w:anchor="page27">
              <w:r>
                <w:rPr>
                  <w:rFonts w:ascii="Arial" w:cs="Arial" w:eastAsia="Arial" w:hAnsi="Arial"/>
                  <w:sz w:val="17"/>
                  <w:szCs w:val="17"/>
                  <w:b w:val="1"/>
                  <w:bCs w:val="1"/>
                  <w:color w:val="0000EE"/>
                </w:rPr>
                <w:t>Potential Payments upon Termination or Change in Control</w:t>
              </w:r>
            </w:hyperlink>
          </w:p>
        </w:tc>
        <w:tc>
          <w:tcPr>
            <w:tcW w:w="420" w:type="dxa"/>
            <w:vAlign w:val="bottom"/>
            <w:gridSpan w:val="3"/>
          </w:tcPr>
          <w:p>
            <w:pPr>
              <w:jc w:val="right"/>
              <w:spacing w:after="0" w:line="193" w:lineRule="exact"/>
              <w:rPr>
                <w:rFonts w:ascii="Arial" w:cs="Arial" w:eastAsia="Arial" w:hAnsi="Arial"/>
                <w:sz w:val="17"/>
                <w:szCs w:val="17"/>
                <w:color w:val="0000EE"/>
              </w:rPr>
            </w:pPr>
            <w:hyperlink w:anchor="page27">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080" w:type="dxa"/>
            <w:vAlign w:val="bottom"/>
            <w:gridSpan w:val="13"/>
            <w:vMerge w:val="restart"/>
          </w:tcPr>
          <w:p>
            <w:pPr>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CERTAIN TRANSACTIONS AND RELATIONSHIPS</w:t>
              </w:r>
            </w:hyperlink>
          </w:p>
        </w:tc>
        <w:tc>
          <w:tcPr>
            <w:tcW w:w="4480" w:type="dxa"/>
            <w:vAlign w:val="bottom"/>
            <w:gridSpan w:val="6"/>
            <w:vMerge w:val="restart"/>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6"/>
        </w:trPr>
        <w:tc>
          <w:tcPr>
            <w:tcW w:w="4080" w:type="dxa"/>
            <w:vAlign w:val="bottom"/>
            <w:tcBorders>
              <w:bottom w:val="single" w:sz="8" w:color="0000EE"/>
            </w:tcBorders>
            <w:gridSpan w:val="13"/>
            <w:vMerge w:val="continue"/>
          </w:tcPr>
          <w:p>
            <w:pPr>
              <w:spacing w:after="0"/>
              <w:rPr>
                <w:sz w:val="14"/>
                <w:szCs w:val="14"/>
                <w:color w:val="auto"/>
              </w:rPr>
            </w:pPr>
          </w:p>
        </w:tc>
        <w:tc>
          <w:tcPr>
            <w:tcW w:w="448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66" w:lineRule="exact"/>
              <w:rPr>
                <w:rFonts w:ascii="Arial" w:cs="Arial" w:eastAsia="Arial" w:hAnsi="Arial"/>
                <w:sz w:val="17"/>
                <w:szCs w:val="17"/>
                <w:color w:val="0000EE"/>
                <w:w w:val="84"/>
              </w:rPr>
            </w:pPr>
            <w:hyperlink w:anchor="page33">
              <w:r>
                <w:rPr>
                  <w:rFonts w:ascii="Arial" w:cs="Arial" w:eastAsia="Arial" w:hAnsi="Arial"/>
                  <w:sz w:val="17"/>
                  <w:szCs w:val="17"/>
                  <w:color w:val="0000EE"/>
                  <w:w w:val="84"/>
                </w:rPr>
                <w:t>28</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240" w:type="dxa"/>
            <w:vAlign w:val="bottom"/>
            <w:tcBorders>
              <w:bottom w:val="single" w:sz="8" w:color="0000EE"/>
            </w:tcBorders>
            <w:gridSpan w:val="6"/>
          </w:tcPr>
          <w:p>
            <w:pPr>
              <w:spacing w:after="0" w:line="193" w:lineRule="exact"/>
              <w:rPr>
                <w:rFonts w:ascii="Arial" w:cs="Arial" w:eastAsia="Arial" w:hAnsi="Arial"/>
                <w:sz w:val="17"/>
                <w:szCs w:val="17"/>
                <w:b w:val="1"/>
                <w:bCs w:val="1"/>
                <w:color w:val="0000EE"/>
                <w:w w:val="92"/>
              </w:rPr>
            </w:pPr>
            <w:hyperlink w:anchor="page33">
              <w:r>
                <w:rPr>
                  <w:rFonts w:ascii="Arial" w:cs="Arial" w:eastAsia="Arial" w:hAnsi="Arial"/>
                  <w:sz w:val="17"/>
                  <w:szCs w:val="17"/>
                  <w:b w:val="1"/>
                  <w:bCs w:val="1"/>
                  <w:color w:val="0000EE"/>
                  <w:w w:val="92"/>
                </w:rPr>
                <w:t>Change in Control Agreement</w:t>
              </w:r>
            </w:hyperlink>
          </w:p>
        </w:tc>
        <w:tc>
          <w:tcPr>
            <w:tcW w:w="6140" w:type="dxa"/>
            <w:vAlign w:val="bottom"/>
            <w:gridSpan w:val="1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3">
              <w:r>
                <w:rPr>
                  <w:rFonts w:ascii="Arial" w:cs="Arial" w:eastAsia="Arial" w:hAnsi="Arial"/>
                  <w:sz w:val="17"/>
                  <w:szCs w:val="17"/>
                  <w:color w:val="0000EE"/>
                  <w:w w:val="84"/>
                </w:rPr>
                <w:t>28</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920" w:type="dxa"/>
            <w:vAlign w:val="bottom"/>
            <w:tcBorders>
              <w:bottom w:val="single" w:sz="8" w:color="0000EE"/>
            </w:tcBorders>
            <w:gridSpan w:val="13"/>
          </w:tcPr>
          <w:p>
            <w:pPr>
              <w:spacing w:after="0" w:line="193" w:lineRule="exact"/>
              <w:rPr>
                <w:rFonts w:ascii="Arial" w:cs="Arial" w:eastAsia="Arial" w:hAnsi="Arial"/>
                <w:sz w:val="17"/>
                <w:szCs w:val="17"/>
                <w:b w:val="1"/>
                <w:bCs w:val="1"/>
                <w:color w:val="0000EE"/>
                <w:w w:val="91"/>
              </w:rPr>
            </w:pPr>
            <w:hyperlink w:anchor="page33">
              <w:r>
                <w:rPr>
                  <w:rFonts w:ascii="Arial" w:cs="Arial" w:eastAsia="Arial" w:hAnsi="Arial"/>
                  <w:sz w:val="17"/>
                  <w:szCs w:val="17"/>
                  <w:b w:val="1"/>
                  <w:bCs w:val="1"/>
                  <w:color w:val="0000EE"/>
                  <w:w w:val="91"/>
                </w:rPr>
                <w:t>Related-Party Transactions Policies and Procedures</w:t>
              </w:r>
              <w:r>
                <w:rPr>
                  <w:rFonts w:ascii="Arial" w:cs="Arial" w:eastAsia="Arial" w:hAnsi="Arial"/>
                  <w:sz w:val="17"/>
                  <w:szCs w:val="17"/>
                  <w:color w:val="0000EE"/>
                  <w:w w:val="91"/>
                </w:rPr>
                <w:t>.</w:t>
              </w:r>
            </w:hyperlink>
          </w:p>
        </w:tc>
        <w:tc>
          <w:tcPr>
            <w:tcW w:w="446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3">
              <w:r>
                <w:rPr>
                  <w:rFonts w:ascii="Arial" w:cs="Arial" w:eastAsia="Arial" w:hAnsi="Arial"/>
                  <w:sz w:val="17"/>
                  <w:szCs w:val="17"/>
                  <w:color w:val="0000EE"/>
                  <w:w w:val="84"/>
                </w:rPr>
                <w:t>28</w:t>
              </w:r>
            </w:hyperlink>
          </w:p>
        </w:tc>
        <w:tc>
          <w:tcPr>
            <w:tcW w:w="0" w:type="dxa"/>
            <w:vAlign w:val="bottom"/>
          </w:tcPr>
          <w:p>
            <w:pPr>
              <w:spacing w:after="0"/>
              <w:rPr>
                <w:sz w:val="1"/>
                <w:szCs w:val="1"/>
                <w:color w:val="auto"/>
              </w:rPr>
            </w:pPr>
          </w:p>
        </w:tc>
      </w:tr>
      <w:tr>
        <w:trPr>
          <w:trHeight w:val="193"/>
        </w:trPr>
        <w:tc>
          <w:tcPr>
            <w:tcW w:w="8560" w:type="dxa"/>
            <w:vAlign w:val="bottom"/>
            <w:gridSpan w:val="19"/>
          </w:tcPr>
          <w:p>
            <w:pPr>
              <w:spacing w:after="0" w:line="193"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OWNERSHIP OF COMPANY STOCK</w:t>
              </w:r>
            </w:hyperlink>
          </w:p>
        </w:tc>
        <w:tc>
          <w:tcPr>
            <w:tcW w:w="420" w:type="dxa"/>
            <w:vAlign w:val="bottom"/>
            <w:gridSpan w:val="2"/>
          </w:tcPr>
          <w:p>
            <w:pPr>
              <w:jc w:val="right"/>
              <w:spacing w:after="0" w:line="193" w:lineRule="exact"/>
              <w:rPr>
                <w:rFonts w:ascii="Arial" w:cs="Arial" w:eastAsia="Arial" w:hAnsi="Arial"/>
                <w:sz w:val="17"/>
                <w:szCs w:val="17"/>
                <w:color w:val="0000EE"/>
              </w:rPr>
            </w:pPr>
            <w:hyperlink w:anchor="page33">
              <w:r>
                <w:rPr>
                  <w:rFonts w:ascii="Arial" w:cs="Arial" w:eastAsia="Arial" w:hAnsi="Arial"/>
                  <w:sz w:val="17"/>
                  <w:szCs w:val="17"/>
                  <w:color w:val="0000EE"/>
                </w:rPr>
                <w:t>28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18"/>
          </w:tcPr>
          <w:p>
            <w:pPr>
              <w:spacing w:after="0" w:line="193"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Security Ownership of Certain Beneficial Owners</w:t>
              </w:r>
            </w:hyperlink>
          </w:p>
        </w:tc>
        <w:tc>
          <w:tcPr>
            <w:tcW w:w="420" w:type="dxa"/>
            <w:vAlign w:val="bottom"/>
            <w:gridSpan w:val="2"/>
          </w:tcPr>
          <w:p>
            <w:pPr>
              <w:jc w:val="right"/>
              <w:spacing w:after="0" w:line="193" w:lineRule="exact"/>
              <w:rPr>
                <w:rFonts w:ascii="Arial" w:cs="Arial" w:eastAsia="Arial" w:hAnsi="Arial"/>
                <w:sz w:val="17"/>
                <w:szCs w:val="17"/>
                <w:color w:val="0000EE"/>
              </w:rPr>
            </w:pPr>
            <w:hyperlink w:anchor="page33">
              <w:r>
                <w:rPr>
                  <w:rFonts w:ascii="Arial" w:cs="Arial" w:eastAsia="Arial" w:hAnsi="Arial"/>
                  <w:sz w:val="17"/>
                  <w:szCs w:val="17"/>
                  <w:color w:val="0000EE"/>
                </w:rPr>
                <w:t>28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3740" w:type="dxa"/>
            <w:vAlign w:val="bottom"/>
            <w:tcBorders>
              <w:bottom w:val="single" w:sz="8" w:color="0000EE"/>
            </w:tcBorders>
            <w:gridSpan w:val="11"/>
          </w:tcPr>
          <w:p>
            <w:pPr>
              <w:spacing w:after="0" w:line="193" w:lineRule="exact"/>
              <w:rPr>
                <w:rFonts w:ascii="Arial" w:cs="Arial" w:eastAsia="Arial" w:hAnsi="Arial"/>
                <w:sz w:val="17"/>
                <w:szCs w:val="17"/>
                <w:b w:val="1"/>
                <w:bCs w:val="1"/>
                <w:color w:val="0000EE"/>
                <w:w w:val="92"/>
              </w:rPr>
            </w:pPr>
            <w:hyperlink w:anchor="page34">
              <w:r>
                <w:rPr>
                  <w:rFonts w:ascii="Arial" w:cs="Arial" w:eastAsia="Arial" w:hAnsi="Arial"/>
                  <w:sz w:val="17"/>
                  <w:szCs w:val="17"/>
                  <w:b w:val="1"/>
                  <w:bCs w:val="1"/>
                  <w:color w:val="0000EE"/>
                  <w:w w:val="92"/>
                </w:rPr>
                <w:t>Security Ownership of Management and Directors</w:t>
              </w:r>
            </w:hyperlink>
          </w:p>
        </w:tc>
        <w:tc>
          <w:tcPr>
            <w:tcW w:w="464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4">
              <w:r>
                <w:rPr>
                  <w:rFonts w:ascii="Arial" w:cs="Arial" w:eastAsia="Arial" w:hAnsi="Arial"/>
                  <w:sz w:val="17"/>
                  <w:szCs w:val="17"/>
                  <w:color w:val="0000EE"/>
                  <w:w w:val="84"/>
                </w:rPr>
                <w:t>29</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4320" w:type="dxa"/>
            <w:vAlign w:val="bottom"/>
            <w:tcBorders>
              <w:bottom w:val="single" w:sz="8" w:color="0000EE"/>
            </w:tcBorders>
            <w:gridSpan w:val="14"/>
          </w:tcPr>
          <w:p>
            <w:pPr>
              <w:spacing w:after="0" w:line="193" w:lineRule="exact"/>
              <w:rPr>
                <w:rFonts w:ascii="Arial" w:cs="Arial" w:eastAsia="Arial" w:hAnsi="Arial"/>
                <w:sz w:val="17"/>
                <w:szCs w:val="17"/>
                <w:b w:val="1"/>
                <w:bCs w:val="1"/>
                <w:color w:val="0000EE"/>
                <w:w w:val="91"/>
              </w:rPr>
            </w:pPr>
            <w:hyperlink w:anchor="page35">
              <w:r>
                <w:rPr>
                  <w:rFonts w:ascii="Arial" w:cs="Arial" w:eastAsia="Arial" w:hAnsi="Arial"/>
                  <w:sz w:val="17"/>
                  <w:szCs w:val="17"/>
                  <w:b w:val="1"/>
                  <w:bCs w:val="1"/>
                  <w:color w:val="0000EE"/>
                  <w:w w:val="91"/>
                </w:rPr>
                <w:t>Section 16(a) Beneficial Ownership Reporting Compliance</w:t>
              </w:r>
            </w:hyperlink>
          </w:p>
        </w:tc>
        <w:tc>
          <w:tcPr>
            <w:tcW w:w="40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5">
              <w:r>
                <w:rPr>
                  <w:rFonts w:ascii="Arial" w:cs="Arial" w:eastAsia="Arial" w:hAnsi="Arial"/>
                  <w:sz w:val="17"/>
                  <w:szCs w:val="17"/>
                  <w:color w:val="0000EE"/>
                  <w:w w:val="84"/>
                </w:rPr>
                <w:t>30</w:t>
              </w:r>
            </w:hyperlink>
          </w:p>
        </w:tc>
        <w:tc>
          <w:tcPr>
            <w:tcW w:w="0" w:type="dxa"/>
            <w:vAlign w:val="bottom"/>
          </w:tcPr>
          <w:p>
            <w:pPr>
              <w:spacing w:after="0"/>
              <w:rPr>
                <w:sz w:val="1"/>
                <w:szCs w:val="1"/>
                <w:color w:val="auto"/>
              </w:rPr>
            </w:pPr>
          </w:p>
        </w:tc>
      </w:tr>
      <w:tr>
        <w:trPr>
          <w:trHeight w:val="193"/>
        </w:trPr>
        <w:tc>
          <w:tcPr>
            <w:tcW w:w="8560" w:type="dxa"/>
            <w:vAlign w:val="bottom"/>
            <w:gridSpan w:val="19"/>
          </w:tcPr>
          <w:p>
            <w:pPr>
              <w:spacing w:after="0" w:line="193"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AUDIT COMMITTEE MATTERS</w:t>
              </w:r>
            </w:hyperlink>
          </w:p>
        </w:tc>
        <w:tc>
          <w:tcPr>
            <w:tcW w:w="420" w:type="dxa"/>
            <w:vAlign w:val="bottom"/>
            <w:gridSpan w:val="2"/>
          </w:tcPr>
          <w:p>
            <w:pPr>
              <w:jc w:val="right"/>
              <w:spacing w:after="0" w:line="193" w:lineRule="exact"/>
              <w:rPr>
                <w:rFonts w:ascii="Arial" w:cs="Arial" w:eastAsia="Arial" w:hAnsi="Arial"/>
                <w:sz w:val="17"/>
                <w:szCs w:val="17"/>
                <w:color w:val="0000EE"/>
              </w:rPr>
            </w:pPr>
            <w:hyperlink w:anchor="page35">
              <w:r>
                <w:rPr>
                  <w:rFonts w:ascii="Arial" w:cs="Arial" w:eastAsia="Arial" w:hAnsi="Arial"/>
                  <w:sz w:val="17"/>
                  <w:szCs w:val="17"/>
                  <w:color w:val="0000EE"/>
                </w:rPr>
                <w:t>30</w:t>
              </w:r>
            </w:hyperlink>
          </w:p>
        </w:tc>
        <w:tc>
          <w:tcPr>
            <w:tcW w:w="0" w:type="dxa"/>
            <w:vAlign w:val="bottom"/>
          </w:tcPr>
          <w:p>
            <w:pPr>
              <w:spacing w:after="0"/>
              <w:rPr>
                <w:sz w:val="1"/>
                <w:szCs w:val="1"/>
                <w:color w:val="auto"/>
              </w:rPr>
            </w:pPr>
          </w:p>
        </w:tc>
      </w:tr>
      <w:tr>
        <w:trPr>
          <w:trHeight w:val="193"/>
        </w:trPr>
        <w:tc>
          <w:tcPr>
            <w:tcW w:w="180" w:type="dxa"/>
            <w:vAlign w:val="bottom"/>
            <w:tcBorders>
              <w:top w:val="single" w:sz="8" w:color="0000EE"/>
            </w:tcBorders>
          </w:tcPr>
          <w:p>
            <w:pPr>
              <w:spacing w:after="0"/>
              <w:rPr>
                <w:sz w:val="16"/>
                <w:szCs w:val="16"/>
                <w:color w:val="auto"/>
              </w:rPr>
            </w:pPr>
          </w:p>
        </w:tc>
        <w:tc>
          <w:tcPr>
            <w:tcW w:w="2420" w:type="dxa"/>
            <w:vAlign w:val="bottom"/>
            <w:tcBorders>
              <w:top w:val="single" w:sz="8" w:color="0000EE"/>
            </w:tcBorders>
            <w:gridSpan w:val="7"/>
          </w:tcPr>
          <w:p>
            <w:pPr>
              <w:spacing w:after="0" w:line="193" w:lineRule="exact"/>
              <w:rPr>
                <w:rFonts w:ascii="Arial" w:cs="Arial" w:eastAsia="Arial" w:hAnsi="Arial"/>
                <w:sz w:val="17"/>
                <w:szCs w:val="17"/>
                <w:b w:val="1"/>
                <w:bCs w:val="1"/>
                <w:color w:val="0000EE"/>
              </w:rPr>
            </w:pPr>
            <w:hyperlink w:anchor="page35">
              <w:r>
                <w:rPr>
                  <w:rFonts w:ascii="Arial" w:cs="Arial" w:eastAsia="Arial" w:hAnsi="Arial"/>
                  <w:sz w:val="17"/>
                  <w:szCs w:val="17"/>
                  <w:b w:val="1"/>
                  <w:bCs w:val="1"/>
                  <w:color w:val="0000EE"/>
                </w:rPr>
                <w:t>Audit Committee Report</w:t>
              </w:r>
            </w:hyperlink>
          </w:p>
        </w:tc>
        <w:tc>
          <w:tcPr>
            <w:tcW w:w="596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3" w:lineRule="exact"/>
              <w:rPr>
                <w:rFonts w:ascii="Arial" w:cs="Arial" w:eastAsia="Arial" w:hAnsi="Arial"/>
                <w:sz w:val="17"/>
                <w:szCs w:val="17"/>
                <w:color w:val="0000EE"/>
                <w:w w:val="84"/>
              </w:rPr>
            </w:pPr>
            <w:hyperlink w:anchor="page35">
              <w:r>
                <w:rPr>
                  <w:rFonts w:ascii="Arial" w:cs="Arial" w:eastAsia="Arial" w:hAnsi="Arial"/>
                  <w:sz w:val="17"/>
                  <w:szCs w:val="17"/>
                  <w:color w:val="0000EE"/>
                  <w:w w:val="84"/>
                </w:rPr>
                <w:t>30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5060" w:type="dxa"/>
            <w:vAlign w:val="bottom"/>
            <w:tcBorders>
              <w:bottom w:val="single" w:sz="8" w:color="0000EE"/>
            </w:tcBorders>
            <w:gridSpan w:val="15"/>
          </w:tcPr>
          <w:p>
            <w:pPr>
              <w:spacing w:after="0" w:line="193" w:lineRule="exact"/>
              <w:rPr>
                <w:rFonts w:ascii="Arial" w:cs="Arial" w:eastAsia="Arial" w:hAnsi="Arial"/>
                <w:sz w:val="17"/>
                <w:szCs w:val="17"/>
                <w:b w:val="1"/>
                <w:bCs w:val="1"/>
                <w:color w:val="0000EE"/>
                <w:w w:val="92"/>
              </w:rPr>
            </w:pPr>
            <w:hyperlink w:anchor="page36">
              <w:r>
                <w:rPr>
                  <w:rFonts w:ascii="Arial" w:cs="Arial" w:eastAsia="Arial" w:hAnsi="Arial"/>
                  <w:sz w:val="17"/>
                  <w:szCs w:val="17"/>
                  <w:b w:val="1"/>
                  <w:bCs w:val="1"/>
                  <w:color w:val="0000EE"/>
                  <w:w w:val="92"/>
                </w:rPr>
                <w:t>Policy For Pre-Approval of Audit and Permitted Non-Audit Services</w:t>
              </w:r>
            </w:hyperlink>
          </w:p>
        </w:tc>
        <w:tc>
          <w:tcPr>
            <w:tcW w:w="33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6">
              <w:r>
                <w:rPr>
                  <w:rFonts w:ascii="Arial" w:cs="Arial" w:eastAsia="Arial" w:hAnsi="Arial"/>
                  <w:sz w:val="17"/>
                  <w:szCs w:val="17"/>
                  <w:color w:val="0000EE"/>
                  <w:w w:val="84"/>
                </w:rPr>
                <w:t>31</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940" w:type="dxa"/>
            <w:vAlign w:val="bottom"/>
            <w:tcBorders>
              <w:bottom w:val="single" w:sz="8" w:color="0000EE"/>
            </w:tcBorders>
            <w:gridSpan w:val="5"/>
          </w:tcPr>
          <w:p>
            <w:pPr>
              <w:spacing w:after="0" w:line="193" w:lineRule="exact"/>
              <w:rPr>
                <w:rFonts w:ascii="Arial" w:cs="Arial" w:eastAsia="Arial" w:hAnsi="Arial"/>
                <w:sz w:val="17"/>
                <w:szCs w:val="17"/>
                <w:b w:val="1"/>
                <w:bCs w:val="1"/>
                <w:color w:val="0000EE"/>
                <w:w w:val="89"/>
              </w:rPr>
            </w:pPr>
            <w:hyperlink w:anchor="page36">
              <w:r>
                <w:rPr>
                  <w:rFonts w:ascii="Arial" w:cs="Arial" w:eastAsia="Arial" w:hAnsi="Arial"/>
                  <w:sz w:val="17"/>
                  <w:szCs w:val="17"/>
                  <w:b w:val="1"/>
                  <w:bCs w:val="1"/>
                  <w:color w:val="0000EE"/>
                  <w:w w:val="89"/>
                </w:rPr>
                <w:t>Auditor Fees and Services</w:t>
              </w:r>
            </w:hyperlink>
          </w:p>
        </w:tc>
        <w:tc>
          <w:tcPr>
            <w:tcW w:w="6440" w:type="dxa"/>
            <w:vAlign w:val="bottom"/>
            <w:gridSpan w:val="1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6">
              <w:r>
                <w:rPr>
                  <w:rFonts w:ascii="Arial" w:cs="Arial" w:eastAsia="Arial" w:hAnsi="Arial"/>
                  <w:sz w:val="17"/>
                  <w:szCs w:val="17"/>
                  <w:color w:val="0000EE"/>
                  <w:w w:val="84"/>
                </w:rPr>
                <w:t>31</w:t>
              </w:r>
            </w:hyperlink>
          </w:p>
        </w:tc>
        <w:tc>
          <w:tcPr>
            <w:tcW w:w="0" w:type="dxa"/>
            <w:vAlign w:val="bottom"/>
          </w:tcPr>
          <w:p>
            <w:pPr>
              <w:spacing w:after="0"/>
              <w:rPr>
                <w:sz w:val="1"/>
                <w:szCs w:val="1"/>
                <w:color w:val="auto"/>
              </w:rPr>
            </w:pPr>
          </w:p>
        </w:tc>
      </w:tr>
      <w:tr>
        <w:trPr>
          <w:trHeight w:val="193"/>
        </w:trPr>
        <w:tc>
          <w:tcPr>
            <w:tcW w:w="1520" w:type="dxa"/>
            <w:vAlign w:val="bottom"/>
            <w:tcBorders>
              <w:bottom w:val="single" w:sz="8" w:color="0000EE"/>
            </w:tcBorders>
            <w:gridSpan w:val="4"/>
          </w:tcPr>
          <w:p>
            <w:pPr>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OTHER MATTERS</w:t>
              </w:r>
            </w:hyperlink>
          </w:p>
        </w:tc>
        <w:tc>
          <w:tcPr>
            <w:tcW w:w="7040" w:type="dxa"/>
            <w:vAlign w:val="bottom"/>
            <w:gridSpan w:val="15"/>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6">
              <w:r>
                <w:rPr>
                  <w:rFonts w:ascii="Arial" w:cs="Arial" w:eastAsia="Arial" w:hAnsi="Arial"/>
                  <w:sz w:val="17"/>
                  <w:szCs w:val="17"/>
                  <w:color w:val="0000EE"/>
                  <w:w w:val="84"/>
                </w:rPr>
                <w:t>31</w:t>
              </w:r>
            </w:hyperlink>
          </w:p>
        </w:tc>
        <w:tc>
          <w:tcPr>
            <w:tcW w:w="0" w:type="dxa"/>
            <w:vAlign w:val="bottom"/>
          </w:tcPr>
          <w:p>
            <w:pPr>
              <w:spacing w:after="0"/>
              <w:rPr>
                <w:sz w:val="1"/>
                <w:szCs w:val="1"/>
                <w:color w:val="auto"/>
              </w:rPr>
            </w:pPr>
          </w:p>
        </w:tc>
      </w:tr>
      <w:tr>
        <w:trPr>
          <w:trHeight w:val="193"/>
        </w:trPr>
        <w:tc>
          <w:tcPr>
            <w:tcW w:w="5300" w:type="dxa"/>
            <w:vAlign w:val="bottom"/>
            <w:tcBorders>
              <w:bottom w:val="single" w:sz="8" w:color="0000EE"/>
            </w:tcBorders>
            <w:gridSpan w:val="17"/>
          </w:tcPr>
          <w:p>
            <w:pPr>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SHAREHOLDER PROPOSALS FOR THE 2017 ANNUAL MEETING</w:t>
              </w:r>
            </w:hyperlink>
          </w:p>
        </w:tc>
        <w:tc>
          <w:tcPr>
            <w:tcW w:w="3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3" w:lineRule="exact"/>
              <w:rPr>
                <w:rFonts w:ascii="Arial" w:cs="Arial" w:eastAsia="Arial" w:hAnsi="Arial"/>
                <w:sz w:val="17"/>
                <w:szCs w:val="17"/>
                <w:color w:val="0000EE"/>
                <w:w w:val="84"/>
              </w:rPr>
            </w:pPr>
            <w:hyperlink w:anchor="page36">
              <w:r>
                <w:rPr>
                  <w:rFonts w:ascii="Arial" w:cs="Arial" w:eastAsia="Arial" w:hAnsi="Arial"/>
                  <w:sz w:val="17"/>
                  <w:szCs w:val="17"/>
                  <w:color w:val="0000EE"/>
                  <w:w w:val="84"/>
                </w:rPr>
                <w:t>31</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8380" w:type="dxa"/>
            <w:vAlign w:val="bottom"/>
            <w:gridSpan w:val="18"/>
          </w:tcPr>
          <w:p>
            <w:pPr>
              <w:spacing w:after="0" w:line="193" w:lineRule="exact"/>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Proposals for the Company's Proxy Material</w:t>
              </w:r>
            </w:hyperlink>
          </w:p>
        </w:tc>
        <w:tc>
          <w:tcPr>
            <w:tcW w:w="420" w:type="dxa"/>
            <w:vAlign w:val="bottom"/>
            <w:gridSpan w:val="2"/>
          </w:tcPr>
          <w:p>
            <w:pPr>
              <w:jc w:val="right"/>
              <w:spacing w:after="0" w:line="193" w:lineRule="exact"/>
              <w:rPr>
                <w:rFonts w:ascii="Arial" w:cs="Arial" w:eastAsia="Arial" w:hAnsi="Arial"/>
                <w:sz w:val="17"/>
                <w:szCs w:val="17"/>
                <w:color w:val="0000EE"/>
              </w:rPr>
            </w:pPr>
            <w:hyperlink w:anchor="page36">
              <w:r>
                <w:rPr>
                  <w:rFonts w:ascii="Arial" w:cs="Arial" w:eastAsia="Arial" w:hAnsi="Arial"/>
                  <w:sz w:val="17"/>
                  <w:szCs w:val="17"/>
                  <w:color w:val="0000EE"/>
                </w:rPr>
                <w:t>31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7900" w:type="dxa"/>
            <w:vAlign w:val="bottom"/>
            <w:tcBorders>
              <w:bottom w:val="single" w:sz="8" w:color="0000EE"/>
            </w:tcBorders>
            <w:gridSpan w:val="17"/>
          </w:tcPr>
          <w:p>
            <w:pPr>
              <w:spacing w:after="0" w:line="193" w:lineRule="exact"/>
              <w:rPr>
                <w:rFonts w:ascii="Arial" w:cs="Arial" w:eastAsia="Arial" w:hAnsi="Arial"/>
                <w:sz w:val="17"/>
                <w:szCs w:val="17"/>
                <w:b w:val="1"/>
                <w:bCs w:val="1"/>
                <w:color w:val="0000EE"/>
                <w:w w:val="91"/>
              </w:rPr>
            </w:pPr>
            <w:hyperlink w:anchor="page37">
              <w:r>
                <w:rPr>
                  <w:rFonts w:ascii="Arial" w:cs="Arial" w:eastAsia="Arial" w:hAnsi="Arial"/>
                  <w:sz w:val="17"/>
                  <w:szCs w:val="17"/>
                  <w:b w:val="1"/>
                  <w:bCs w:val="1"/>
                  <w:color w:val="0000EE"/>
                  <w:w w:val="91"/>
                </w:rPr>
                <w:t>Proposals to be Introduced at the Annual Meeting but not Intended to be Included in the Company's Proxy</w:t>
              </w:r>
            </w:hyperlink>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17"/>
          </w:tcPr>
          <w:p>
            <w:pPr>
              <w:spacing w:after="0" w:line="193" w:lineRule="exact"/>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Material</w:t>
              </w:r>
            </w:hyperlink>
          </w:p>
        </w:tc>
        <w:tc>
          <w:tcPr>
            <w:tcW w:w="420" w:type="dxa"/>
            <w:vAlign w:val="bottom"/>
            <w:gridSpan w:val="2"/>
          </w:tcPr>
          <w:p>
            <w:pPr>
              <w:jc w:val="right"/>
              <w:spacing w:after="0" w:line="193" w:lineRule="exact"/>
              <w:rPr>
                <w:rFonts w:ascii="Arial" w:cs="Arial" w:eastAsia="Arial" w:hAnsi="Arial"/>
                <w:sz w:val="17"/>
                <w:szCs w:val="17"/>
                <w:color w:val="0000EE"/>
              </w:rPr>
            </w:pPr>
            <w:hyperlink w:anchor="page37">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151130</wp:posOffset>
            </wp:positionV>
            <wp:extent cx="2059305" cy="278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930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QUESTIONS AND ANSWERS ABOUT</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THE 2016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236" w:lineRule="exact"/>
        <w:rPr>
          <w:sz w:val="20"/>
          <w:szCs w:val="20"/>
          <w:color w:val="auto"/>
        </w:rPr>
      </w:pPr>
    </w:p>
    <w:p>
      <w:pPr>
        <w:ind w:right="140" w:firstLine="342"/>
        <w:spacing w:after="0" w:line="271" w:lineRule="auto"/>
        <w:rPr>
          <w:sz w:val="20"/>
          <w:szCs w:val="20"/>
          <w:color w:val="auto"/>
        </w:rPr>
      </w:pPr>
      <w:r>
        <w:rPr>
          <w:rFonts w:ascii="Arial" w:cs="Arial" w:eastAsia="Arial" w:hAnsi="Arial"/>
          <w:sz w:val="17"/>
          <w:szCs w:val="17"/>
          <w:color w:val="auto"/>
        </w:rPr>
        <w:t>The Board of Directors of Allied Motion Technologies Inc. (the "Company") is soliciting proxies to be voted at the Annual Meeting of Shareholders. The Annual Meeting will be held Wednesday, May 4, 2016, at 2:00 p.m. (Eastern Time) at the Company's offices, 495 Commerce Drive, Suite 3, Amherst, New York 14228. This proxy statement summarizes the information you need to know to vote by proxy or in person at the Annual Meeting. You do not need to attend the Annual Meeting in person in order to vote.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shareholders of record as of the close of business on Tuesday, March 15, 2016 (the "Record Date") are entitled to vote at the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Annual Meeting?</w:t>
      </w:r>
    </w:p>
    <w:p>
      <w:pPr>
        <w:spacing w:after="0" w:line="236" w:lineRule="exact"/>
        <w:rPr>
          <w:sz w:val="20"/>
          <w:szCs w:val="20"/>
          <w:color w:val="auto"/>
        </w:rPr>
      </w:pPr>
    </w:p>
    <w:p>
      <w:pPr>
        <w:ind w:right="80" w:firstLine="336"/>
        <w:spacing w:after="0" w:line="292"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9,330,310 shares of Common Stock were issued and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236" w:lineRule="exact"/>
        <w:rPr>
          <w:sz w:val="20"/>
          <w:szCs w:val="20"/>
          <w:color w:val="auto"/>
        </w:rPr>
      </w:pPr>
    </w:p>
    <w:p>
      <w:pPr>
        <w:ind w:right="140" w:firstLine="345"/>
        <w:spacing w:after="0" w:line="291"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American Stock Transfer &amp; Trust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you are considered the shareholder of record with respect to those shares.</w:t>
      </w:r>
    </w:p>
    <w:p>
      <w:pPr>
        <w:spacing w:after="0" w:line="164" w:lineRule="exact"/>
        <w:rPr>
          <w:sz w:val="20"/>
          <w:szCs w:val="20"/>
          <w:color w:val="auto"/>
        </w:rPr>
      </w:pPr>
    </w:p>
    <w:p>
      <w:pPr>
        <w:ind w:firstLine="345"/>
        <w:spacing w:after="0" w:line="328"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Common Stock, how do I vote?</w:t>
      </w:r>
    </w:p>
    <w:p>
      <w:pPr>
        <w:spacing w:after="0" w:line="236"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voted at the Annual Meeting in the manner you directed. You may also vote your shares in person at the Annual Meeting. If you are a shareholder of record, you may request a ballot at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36" w:lineRule="exact"/>
        <w:rPr>
          <w:sz w:val="20"/>
          <w:szCs w:val="20"/>
          <w:color w:val="auto"/>
        </w:rPr>
      </w:pPr>
    </w:p>
    <w:p>
      <w:pPr>
        <w:ind w:firstLine="345"/>
        <w:spacing w:after="0" w:line="271" w:lineRule="auto"/>
        <w:rPr>
          <w:sz w:val="20"/>
          <w:szCs w:val="20"/>
          <w:color w:val="auto"/>
        </w:rPr>
      </w:pPr>
      <w:r>
        <w:rPr>
          <w:rFonts w:ascii="Arial" w:cs="Arial" w:eastAsia="Arial" w:hAnsi="Arial"/>
          <w:sz w:val="17"/>
          <w:szCs w:val="17"/>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80"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Three). Please ensure that you complete the voting instruction card sent by your bank or broker.</w:t>
      </w:r>
    </w:p>
    <w:p>
      <w:pPr>
        <w:spacing w:after="0" w:line="176" w:lineRule="exact"/>
        <w:rPr>
          <w:sz w:val="20"/>
          <w:szCs w:val="20"/>
          <w:color w:val="auto"/>
        </w:rPr>
      </w:pPr>
    </w:p>
    <w:p>
      <w:pPr>
        <w:jc w:val="both"/>
        <w:ind w:right="60" w:firstLine="345"/>
        <w:spacing w:after="0" w:line="276" w:lineRule="auto"/>
        <w:rPr>
          <w:sz w:val="20"/>
          <w:szCs w:val="20"/>
          <w:color w:val="auto"/>
        </w:rPr>
      </w:pPr>
      <w:r>
        <w:rPr>
          <w:rFonts w:ascii="Arial" w:cs="Arial" w:eastAsia="Arial" w:hAnsi="Arial"/>
          <w:sz w:val="17"/>
          <w:szCs w:val="17"/>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will be voting on the following proposals:</w:t>
      </w:r>
    </w:p>
    <w:p>
      <w:pPr>
        <w:spacing w:after="0" w:line="243" w:lineRule="exact"/>
        <w:rPr>
          <w:sz w:val="20"/>
          <w:szCs w:val="20"/>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One: the election of seven Directors of the Company;</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Two: an advisory vote on the compensation of our named executive officers; and</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Three: the ratification of EKS&amp;H as the Company's independent registered public accounting firm for the 2016 fiscal year.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236" w:lineRule="exact"/>
        <w:rPr>
          <w:sz w:val="20"/>
          <w:szCs w:val="20"/>
          <w:color w:val="auto"/>
        </w:rPr>
      </w:pPr>
    </w:p>
    <w:p>
      <w:pPr>
        <w:ind w:right="280" w:firstLine="342"/>
        <w:spacing w:after="0" w:line="27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required to act on the proposals?</w:t>
      </w:r>
    </w:p>
    <w:p>
      <w:pPr>
        <w:spacing w:after="0" w:line="236" w:lineRule="exact"/>
        <w:rPr>
          <w:sz w:val="20"/>
          <w:szCs w:val="20"/>
          <w:color w:val="auto"/>
        </w:rPr>
      </w:pPr>
    </w:p>
    <w:p>
      <w:pPr>
        <w:ind w:right="40" w:firstLine="342"/>
        <w:spacing w:after="0" w:line="291" w:lineRule="auto"/>
        <w:rPr>
          <w:sz w:val="20"/>
          <w:szCs w:val="20"/>
          <w:color w:val="auto"/>
        </w:rPr>
      </w:pPr>
      <w:r>
        <w:rPr>
          <w:rFonts w:ascii="Arial" w:cs="Arial" w:eastAsia="Arial" w:hAnsi="Arial"/>
          <w:sz w:val="17"/>
          <w:szCs w:val="17"/>
          <w:color w:val="auto"/>
        </w:rPr>
        <w:t>The holder of each outstanding share of Common Stock is entitled to one vote for each share of Common Stock on each matter submitted to a vote at a meeting of shareholders.</w:t>
      </w:r>
    </w:p>
    <w:p>
      <w:pPr>
        <w:spacing w:after="0" w:line="164"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color w:val="auto"/>
        </w:rPr>
        <w:t>Pursuant to our Amended and Restated Articles of Incorporation and Bylaws, directors will be elected by the affirmative vote of the majority of the votes cast with respect to such director's election.</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Approval of Proposals Two and Three requires an affirmative vote by a majority of the votes cast on each proposal.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36" w:lineRule="exact"/>
        <w:rPr>
          <w:sz w:val="20"/>
          <w:szCs w:val="20"/>
          <w:color w:val="auto"/>
        </w:rPr>
      </w:pPr>
    </w:p>
    <w:p>
      <w:pPr>
        <w:ind w:right="440" w:firstLine="345"/>
        <w:spacing w:after="0" w:line="291" w:lineRule="auto"/>
        <w:rPr>
          <w:sz w:val="20"/>
          <w:szCs w:val="20"/>
          <w:color w:val="auto"/>
        </w:rPr>
      </w:pPr>
      <w:r>
        <w:rPr>
          <w:rFonts w:ascii="Arial" w:cs="Arial" w:eastAsia="Arial" w:hAnsi="Arial"/>
          <w:sz w:val="17"/>
          <w:szCs w:val="17"/>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return my proxy card without voting on all proposals?</w:t>
      </w:r>
    </w:p>
    <w:p>
      <w:pPr>
        <w:spacing w:after="0" w:line="236" w:lineRule="exact"/>
        <w:rPr>
          <w:sz w:val="20"/>
          <w:szCs w:val="20"/>
          <w:color w:val="auto"/>
        </w:rPr>
      </w:pPr>
    </w:p>
    <w:p>
      <w:pPr>
        <w:ind w:firstLine="342"/>
        <w:spacing w:after="0" w:line="291" w:lineRule="auto"/>
        <w:rPr>
          <w:sz w:val="20"/>
          <w:szCs w:val="20"/>
          <w:color w:val="auto"/>
        </w:rPr>
      </w:pPr>
      <w:r>
        <w:rPr>
          <w:rFonts w:ascii="Arial" w:cs="Arial" w:eastAsia="Arial" w:hAnsi="Arial"/>
          <w:sz w:val="17"/>
          <w:szCs w:val="17"/>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return my proxy card?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revoke your proxy and change your vote at any time prior to the voting thereof at the Annual Meeting. You can do this by:</w:t>
      </w:r>
    </w:p>
    <w:p>
      <w:pPr>
        <w:spacing w:after="0" w:line="243" w:lineRule="exact"/>
        <w:rPr>
          <w:sz w:val="20"/>
          <w:szCs w:val="20"/>
          <w:color w:val="auto"/>
        </w:rPr>
      </w:pPr>
    </w:p>
    <w:p>
      <w:pPr>
        <w:ind w:left="1060" w:hanging="522"/>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the Secretary of the Company a written revocation or signing and submitting another proxy with a later date, or</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attending the Annual Meeting, withdrawing the proxy and voting in person.</w:t>
      </w:r>
    </w:p>
    <w:p>
      <w:pPr>
        <w:spacing w:after="0" w:line="230" w:lineRule="exact"/>
        <w:rPr>
          <w:sz w:val="20"/>
          <w:szCs w:val="20"/>
          <w:color w:val="auto"/>
        </w:rPr>
      </w:pPr>
    </w:p>
    <w:p>
      <w:pPr>
        <w:jc w:val="both"/>
        <w:ind w:right="220" w:firstLine="345"/>
        <w:spacing w:after="0" w:line="276" w:lineRule="auto"/>
        <w:rPr>
          <w:sz w:val="20"/>
          <w:szCs w:val="20"/>
          <w:color w:val="auto"/>
        </w:rPr>
      </w:pPr>
      <w:r>
        <w:rPr>
          <w:rFonts w:ascii="Arial" w:cs="Arial" w:eastAsia="Arial" w:hAnsi="Arial"/>
          <w:sz w:val="17"/>
          <w:szCs w:val="17"/>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236" w:lineRule="exact"/>
        <w:rPr>
          <w:sz w:val="20"/>
          <w:szCs w:val="20"/>
          <w:color w:val="auto"/>
        </w:rPr>
      </w:pPr>
    </w:p>
    <w:p>
      <w:pPr>
        <w:ind w:right="80" w:firstLine="345"/>
        <w:spacing w:after="0" w:line="271"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paid the entire expense of this proxy statement and any additional materials furnished to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shareholders ask questions at the Annual Meeting?</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Yes. There will be time allotted at the end of the meeting when Company representatives will answer questions from the floor.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 copy of this year's Annual Report on Form 10-K?</w:t>
      </w:r>
    </w:p>
    <w:p>
      <w:pPr>
        <w:spacing w:after="0" w:line="236" w:lineRule="exact"/>
        <w:rPr>
          <w:sz w:val="20"/>
          <w:szCs w:val="20"/>
          <w:color w:val="auto"/>
        </w:rPr>
      </w:pPr>
    </w:p>
    <w:p>
      <w:pPr>
        <w:ind w:right="160" w:firstLine="336"/>
        <w:spacing w:after="0" w:line="289" w:lineRule="auto"/>
        <w:rPr>
          <w:sz w:val="20"/>
          <w:szCs w:val="20"/>
          <w:color w:val="auto"/>
        </w:rPr>
      </w:pPr>
      <w:r>
        <w:rPr>
          <w:rFonts w:ascii="Arial" w:cs="Arial" w:eastAsia="Arial" w:hAnsi="Arial"/>
          <w:sz w:val="16"/>
          <w:szCs w:val="16"/>
          <w:color w:val="auto"/>
        </w:rPr>
        <w:t>A copy of the Company's 2015 Annual Report to Shareholders, including financial statements for the fiscal year ended December 31, 2015,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36"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color w:val="auto"/>
        </w:rPr>
        <w:t xml:space="preserve">It means that you have multiple accounts at the transfer agent or with stockbrokers. Please complete and return </w:t>
      </w:r>
      <w:r>
        <w:rPr>
          <w:rFonts w:ascii="Arial" w:cs="Arial" w:eastAsia="Arial" w:hAnsi="Arial"/>
          <w:sz w:val="17"/>
          <w:szCs w:val="17"/>
          <w:i w:val="1"/>
          <w:iCs w:val="1"/>
          <w:color w:val="auto"/>
        </w:rPr>
        <w:t>ALL</w:t>
      </w:r>
      <w:r>
        <w:rPr>
          <w:rFonts w:ascii="Arial" w:cs="Arial" w:eastAsia="Arial" w:hAnsi="Arial"/>
          <w:sz w:val="17"/>
          <w:szCs w:val="17"/>
          <w:color w:val="auto"/>
        </w:rPr>
        <w:t xml:space="preserve"> proxy cards to ensure that all your shares are voted.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mailed?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April 4, 2016.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find additional information on the Company's website?</w:t>
      </w:r>
    </w:p>
    <w:p>
      <w:pPr>
        <w:spacing w:after="0" w:line="236" w:lineRule="exact"/>
        <w:rPr>
          <w:sz w:val="20"/>
          <w:szCs w:val="20"/>
          <w:color w:val="auto"/>
        </w:rPr>
      </w:pPr>
    </w:p>
    <w:p>
      <w:pPr>
        <w:ind w:right="180" w:firstLine="339"/>
        <w:spacing w:after="0" w:line="292"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374"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CORPORATE GOVERNANCE AND BOARD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Qualifications and Biographical Information</w:t>
      </w:r>
    </w:p>
    <w:p>
      <w:pPr>
        <w:spacing w:after="0" w:line="236" w:lineRule="exact"/>
        <w:rPr>
          <w:sz w:val="20"/>
          <w:szCs w:val="20"/>
          <w:color w:val="auto"/>
        </w:rPr>
      </w:pPr>
    </w:p>
    <w:p>
      <w:pPr>
        <w:ind w:right="20" w:firstLine="342"/>
        <w:spacing w:after="0" w:line="271" w:lineRule="auto"/>
        <w:rPr>
          <w:sz w:val="20"/>
          <w:szCs w:val="20"/>
          <w:color w:val="auto"/>
        </w:rPr>
      </w:pPr>
      <w:r>
        <w:rPr>
          <w:rFonts w:ascii="Arial" w:cs="Arial" w:eastAsia="Arial" w:hAnsi="Arial"/>
          <w:sz w:val="17"/>
          <w:szCs w:val="17"/>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74" w:lineRule="exact"/>
        <w:rPr>
          <w:sz w:val="20"/>
          <w:szCs w:val="20"/>
          <w:color w:val="auto"/>
        </w:rPr>
      </w:pPr>
    </w:p>
    <w:p>
      <w:pPr>
        <w:ind w:firstLine="345"/>
        <w:spacing w:after="0" w:line="265" w:lineRule="auto"/>
        <w:rPr>
          <w:sz w:val="20"/>
          <w:szCs w:val="20"/>
          <w:color w:val="auto"/>
        </w:rPr>
      </w:pPr>
      <w:r>
        <w:rPr>
          <w:rFonts w:ascii="Arial" w:cs="Arial" w:eastAsia="Arial" w:hAnsi="Arial"/>
          <w:sz w:val="17"/>
          <w:szCs w:val="17"/>
          <w:b w:val="1"/>
          <w:bCs w:val="1"/>
          <w:i w:val="1"/>
          <w:iCs w:val="1"/>
          <w:color w:val="auto"/>
        </w:rPr>
        <w:t>Richard D. Federico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61—Mr. Federico has over thirty-five years of operational, strategy and investment experience. He has served as a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2012 and as Lead Director for the past two years. Since March 2016 Mr. Federico has been the Chairman and CEO of Microsonic Solutions LLC, a science and technology company. In addition, from November 2012 he has been the Founder and Chairman at Cetan Partners, an investment and advisory firm. From October 2011 to November 2012 he was Managing Director at Ocean Tomo, the leading global merchant banc specializing in intellectual capital.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currently is and has been involved with numerous private and non-profit boards. His financial and investment experience, knowledge of capital markets and experience on other public and private company boards prepare him to give the Board his views on operational and financial matters.</w:t>
      </w:r>
    </w:p>
    <w:p>
      <w:pPr>
        <w:spacing w:after="0" w:line="187" w:lineRule="exact"/>
        <w:rPr>
          <w:sz w:val="20"/>
          <w:szCs w:val="20"/>
          <w:color w:val="auto"/>
        </w:rPr>
      </w:pPr>
    </w:p>
    <w:p>
      <w:pPr>
        <w:ind w:right="60" w:firstLine="345"/>
        <w:spacing w:after="0" w:line="312" w:lineRule="auto"/>
        <w:rPr>
          <w:sz w:val="20"/>
          <w:szCs w:val="20"/>
          <w:color w:val="auto"/>
        </w:rPr>
      </w:pPr>
      <w:r>
        <w:rPr>
          <w:rFonts w:ascii="Arial" w:cs="Arial" w:eastAsia="Arial" w:hAnsi="Arial"/>
          <w:sz w:val="15"/>
          <w:szCs w:val="15"/>
          <w:b w:val="1"/>
          <w:bCs w:val="1"/>
          <w:i w:val="1"/>
          <w:iCs w:val="1"/>
          <w:color w:val="auto"/>
        </w:rPr>
        <w:t>Gerald J. (Bud) Laber</w:t>
      </w:r>
      <w:r>
        <w:rPr>
          <w:rFonts w:ascii="Arial" w:cs="Arial" w:eastAsia="Arial" w:hAnsi="Arial"/>
          <w:sz w:val="15"/>
          <w:szCs w:val="15"/>
          <w:color w:val="auto"/>
        </w:rPr>
        <w:t>, age 72—Mr. Laber has served as a director of the Company since November 2010. He has been a private investor since 2000, when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retired after 33 years of service with Arthur Andersen LLP. He was an audit partner with Arthur Andersen LLP from 1980 until retiring in 2000. Mr. Laber is a Certified Public Accountant and is a member of the American Institute of Certified Public Accountants and the Colorado Society of Certified Public Accountants. Mr. Laber is currently on the board of directors and chair of the audit committee and member of the compensation and governance committees of Scott's Liquid Gold. He was on the board and chair of the audit committee and member of the compensation and governance and nominating committees for Boulder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Brands Inc. from May 2005 through January 2016 when the company was acquired. He served as President of the Catholic Foundation of Northern Colorado from January 2008 until November 2012. He previously served on the Board of Directors and as Chair of the Audit Committee of Spectralink Corporation from April 2004 to March 2007 when the company was acquired, and served on the Board of Directors and Audit Committee of Applied Films Corporation from July 2004 to July 2007 when the company was acquired.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4" w:lineRule="exact"/>
        <w:rPr>
          <w:sz w:val="20"/>
          <w:szCs w:val="20"/>
          <w:color w:val="auto"/>
        </w:rPr>
      </w:pPr>
    </w:p>
    <w:p>
      <w:pPr>
        <w:ind w:firstLine="345"/>
        <w:spacing w:after="0" w:line="283" w:lineRule="auto"/>
        <w:rPr>
          <w:sz w:val="20"/>
          <w:szCs w:val="20"/>
          <w:color w:val="auto"/>
        </w:rPr>
      </w:pPr>
      <w:r>
        <w:rPr>
          <w:rFonts w:ascii="Arial" w:cs="Arial" w:eastAsia="Arial" w:hAnsi="Arial"/>
          <w:sz w:val="16"/>
          <w:szCs w:val="16"/>
          <w:b w:val="1"/>
          <w:bCs w:val="1"/>
          <w:i w:val="1"/>
          <w:iCs w:val="1"/>
          <w:color w:val="auto"/>
        </w:rPr>
        <w:t>Alexis P. Michas</w:t>
      </w:r>
      <w:r>
        <w:rPr>
          <w:rFonts w:ascii="Arial" w:cs="Arial" w:eastAsia="Arial" w:hAnsi="Arial"/>
          <w:sz w:val="16"/>
          <w:szCs w:val="16"/>
          <w:color w:val="auto"/>
        </w:rPr>
        <w:t>, age 58—Mr. Michas is the founder and managing partner of Juniper Investment Company, LLC ("Juniper"). Juniper is also a principal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Aetolian Investors, LLC a registered commodity pool operator. He was the managing partner and a director of Stonington Partners, Inc., an investment management firm from 1994 through 2011. Mr. Michas is the non-executive chairman of the board of BorgWarner, Inc., the lead director of PerkinElmer, Inc. and a director of Theragenics Corporation, a privately held company. Mr. Michas also served as a director and member of the compensation committee of AirTran Airways, Inc. until that company's sale to Southwest Airlines, Inc. in May 2011 and as the chairman of the board of Lincoln Educational Services Corporation until 2015. Mr. Michas brings many years of private equity experience across a wide range of industries, and a successful record of managing investments in public companies. He also brings extensive transactional expertise including: mergers and acquisitions, IPOs, debt and equity offerings and bank financing. Mr. Michas has served as chairman, lead director and on the compensation, governance, audit, finance and executive committees of the boards of other public companies. His knowledge of the Company and his thorough understanding of the role of boards of directors qualify him to serve on our Board of Directors.</w:t>
      </w:r>
    </w:p>
    <w:p>
      <w:pPr>
        <w:spacing w:after="0" w:line="174" w:lineRule="exact"/>
        <w:rPr>
          <w:sz w:val="20"/>
          <w:szCs w:val="20"/>
          <w:color w:val="auto"/>
        </w:rPr>
      </w:pPr>
    </w:p>
    <w:p>
      <w:pPr>
        <w:ind w:right="40" w:firstLine="345"/>
        <w:spacing w:after="0" w:line="266"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68—Mr. Smith has served as a director of the Company since August 1996. Mr. Smith has broad executive management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Company and extensive knowledge and experience in accounting and financial matters. He served as Chief Financial Officer from June 1983 until December 1, 2012, as Chief Executive Officer from August 1998 until May 2009 and as Executive Chairman of the Board of Directors from May 2009 until his retirement in March 2013. Mr. Smith served as non-executive Chairman of the Board from March 2013 until February 2014. Pursuant to Mr. Smith's consulting agreement with the Company, the Board shall nominate him for election to the Board as long as he has not been terminated and is willing to serve on the Board of Directors. He provides valuable insight to the Board with respect to the historical and future direction of the Company based on his many years of experience on the Board together with his decades of experience in the industry.</w:t>
      </w:r>
    </w:p>
    <w:p>
      <w:pPr>
        <w:spacing w:after="0" w:line="184" w:lineRule="exact"/>
        <w:rPr>
          <w:sz w:val="20"/>
          <w:szCs w:val="20"/>
          <w:color w:val="auto"/>
        </w:rPr>
      </w:pPr>
    </w:p>
    <w:p>
      <w:pPr>
        <w:ind w:right="60" w:firstLine="345"/>
        <w:spacing w:after="0" w:line="266" w:lineRule="auto"/>
        <w:rPr>
          <w:sz w:val="20"/>
          <w:szCs w:val="20"/>
          <w:color w:val="auto"/>
        </w:rPr>
      </w:pPr>
      <w:r>
        <w:rPr>
          <w:rFonts w:ascii="Arial" w:cs="Arial" w:eastAsia="Arial" w:hAnsi="Arial"/>
          <w:sz w:val="17"/>
          <w:szCs w:val="17"/>
          <w:b w:val="1"/>
          <w:bCs w:val="1"/>
          <w:i w:val="1"/>
          <w:iCs w:val="1"/>
          <w:color w:val="auto"/>
        </w:rPr>
        <w:t>James J. Tanous</w:t>
      </w:r>
      <w:r>
        <w:rPr>
          <w:rFonts w:ascii="Arial" w:cs="Arial" w:eastAsia="Arial" w:hAnsi="Arial"/>
          <w:sz w:val="17"/>
          <w:szCs w:val="17"/>
          <w:color w:val="auto"/>
        </w:rPr>
        <w:t>, age 68—Mr. Tanous has served as a director of the Company since May 2014. He is currently the Executive Director of the Prentice Family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84" w:lineRule="exact"/>
        <w:rPr>
          <w:sz w:val="20"/>
          <w:szCs w:val="20"/>
          <w:color w:val="auto"/>
        </w:rPr>
      </w:pPr>
    </w:p>
    <w:p>
      <w:pPr>
        <w:ind w:firstLine="345"/>
        <w:spacing w:after="0" w:line="324"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62—Mr. Warzala has a strong management and technical background in the motion control industry and has served as a director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August 2006 and as Chairman of the Board since February 2014. Mr. Warzala joined Allied Motion as President and Chief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w:t>
      </w:r>
    </w:p>
    <w:p>
      <w:pPr>
        <w:spacing w:after="0" w:line="184" w:lineRule="exact"/>
        <w:rPr>
          <w:sz w:val="20"/>
          <w:szCs w:val="20"/>
          <w:color w:val="auto"/>
        </w:rPr>
      </w:pPr>
    </w:p>
    <w:p>
      <w:pPr>
        <w:ind w:firstLine="345"/>
        <w:spacing w:after="0" w:line="298" w:lineRule="auto"/>
        <w:rPr>
          <w:sz w:val="20"/>
          <w:szCs w:val="20"/>
          <w:color w:val="auto"/>
        </w:rPr>
      </w:pPr>
      <w:r>
        <w:rPr>
          <w:rFonts w:ascii="Arial" w:cs="Arial" w:eastAsia="Arial" w:hAnsi="Arial"/>
          <w:sz w:val="15"/>
          <w:szCs w:val="15"/>
          <w:b w:val="1"/>
          <w:bCs w:val="1"/>
          <w:i w:val="1"/>
          <w:iCs w:val="1"/>
          <w:color w:val="auto"/>
        </w:rPr>
        <w:t>Michael R. Winter</w:t>
      </w:r>
      <w:r>
        <w:rPr>
          <w:rFonts w:ascii="Arial" w:cs="Arial" w:eastAsia="Arial" w:hAnsi="Arial"/>
          <w:sz w:val="15"/>
          <w:szCs w:val="15"/>
          <w:color w:val="auto"/>
        </w:rPr>
        <w:t>, age 62—Mr. Winter was appointed a director of the Company in July 2014. Mr. Winter is a former partner in the Buffalo, New York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Mr. Winter is currently chairman of the board of directors, chairman of the compensation committee and a member of the governance committee of Gas Natural Inc. His accounting and business expertise, including an in-depth understanding of the preparation and analysis of financial statements, makes him highly qualified to serve as a director.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3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3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 standing experience with the Company, it is valuable to have him lead board discussions.</w:t>
      </w:r>
    </w:p>
    <w:p>
      <w:pPr>
        <w:spacing w:after="0" w:line="184" w:lineRule="exact"/>
        <w:rPr>
          <w:sz w:val="20"/>
          <w:szCs w:val="20"/>
          <w:color w:val="auto"/>
        </w:rPr>
      </w:pPr>
    </w:p>
    <w:p>
      <w:pPr>
        <w:ind w:right="360" w:firstLine="342"/>
        <w:spacing w:after="0" w:line="271"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Director's responsibilities include: presiding at meetings of the Board of Directors at which the Chairman is not present, including executive sessions of the independent directors; serving as liaison between the Chairman and the independent directors; convening meetings of the independent directors; and consulting with the Chairman on matters relating to Board of Director performance and corporate governance.</w:t>
      </w:r>
    </w:p>
    <w:p>
      <w:pPr>
        <w:spacing w:after="0" w:line="180" w:lineRule="exact"/>
        <w:rPr>
          <w:sz w:val="20"/>
          <w:szCs w:val="20"/>
          <w:color w:val="auto"/>
        </w:rPr>
      </w:pPr>
    </w:p>
    <w:p>
      <w:pPr>
        <w:ind w:right="180" w:firstLine="336"/>
        <w:spacing w:after="0" w:line="291" w:lineRule="auto"/>
        <w:rPr>
          <w:sz w:val="20"/>
          <w:szCs w:val="20"/>
          <w:color w:val="auto"/>
        </w:rPr>
      </w:pPr>
      <w:r>
        <w:rPr>
          <w:rFonts w:ascii="Arial" w:cs="Arial" w:eastAsia="Arial" w:hAnsi="Arial"/>
          <w:sz w:val="17"/>
          <w:szCs w:val="17"/>
          <w:color w:val="auto"/>
        </w:rPr>
        <w:t>Another component of our leadership structure is the active role played by our independent directors in overseeing the Company's business, both at the Board and Committee level. Five of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72" w:lineRule="exact"/>
        <w:rPr>
          <w:sz w:val="20"/>
          <w:szCs w:val="20"/>
          <w:color w:val="auto"/>
        </w:rPr>
      </w:pPr>
    </w:p>
    <w:p>
      <w:pPr>
        <w:ind w:right="20" w:firstLine="342"/>
        <w:spacing w:after="0" w:line="276" w:lineRule="auto"/>
        <w:rPr>
          <w:sz w:val="20"/>
          <w:szCs w:val="20"/>
          <w:color w:val="auto"/>
        </w:rPr>
      </w:pPr>
      <w:r>
        <w:rPr>
          <w:rFonts w:ascii="Arial" w:cs="Arial" w:eastAsia="Arial" w:hAnsi="Arial"/>
          <w:sz w:val="17"/>
          <w:szCs w:val="17"/>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 With the Board</w:t>
      </w:r>
    </w:p>
    <w:p>
      <w:pPr>
        <w:spacing w:after="0" w:line="236" w:lineRule="exact"/>
        <w:rPr>
          <w:sz w:val="20"/>
          <w:szCs w:val="20"/>
          <w:color w:val="auto"/>
        </w:rPr>
      </w:pPr>
    </w:p>
    <w:p>
      <w:pPr>
        <w:jc w:val="both"/>
        <w:ind w:firstLine="342"/>
        <w:spacing w:after="0" w:line="328" w:lineRule="auto"/>
        <w:rPr>
          <w:sz w:val="20"/>
          <w:szCs w:val="20"/>
          <w:color w:val="auto"/>
        </w:rPr>
      </w:pPr>
      <w:r>
        <w:rPr>
          <w:rFonts w:ascii="Arial" w:cs="Arial" w:eastAsia="Arial" w:hAnsi="Arial"/>
          <w:sz w:val="15"/>
          <w:szCs w:val="15"/>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and Meeting Data</w:t>
      </w:r>
    </w:p>
    <w:p>
      <w:pPr>
        <w:spacing w:after="0" w:line="236" w:lineRule="exact"/>
        <w:rPr>
          <w:sz w:val="20"/>
          <w:szCs w:val="20"/>
          <w:color w:val="auto"/>
        </w:rPr>
      </w:pPr>
    </w:p>
    <w:p>
      <w:pPr>
        <w:jc w:val="both"/>
        <w:ind w:right="340" w:firstLine="342"/>
        <w:spacing w:after="0" w:line="276" w:lineRule="auto"/>
        <w:rPr>
          <w:sz w:val="20"/>
          <w:szCs w:val="20"/>
          <w:color w:val="auto"/>
        </w:rPr>
      </w:pPr>
      <w:r>
        <w:rPr>
          <w:rFonts w:ascii="Arial" w:cs="Arial" w:eastAsia="Arial" w:hAnsi="Arial"/>
          <w:sz w:val="17"/>
          <w:szCs w:val="17"/>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76" w:lineRule="exact"/>
        <w:rPr>
          <w:sz w:val="20"/>
          <w:szCs w:val="20"/>
          <w:color w:val="auto"/>
        </w:rPr>
      </w:pPr>
    </w:p>
    <w:p>
      <w:pPr>
        <w:ind w:right="180" w:firstLine="342"/>
        <w:spacing w:after="0" w:line="286"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eight meetings during 2015 and consisted of Messrs. Winter (Chairman), Laber and Tanous. Each member of the Audit Committee meets the current independence and experience requirements of Nasdaq and the SEC. Messrs. Laber and Winter have each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73" w:lineRule="exact"/>
        <w:rPr>
          <w:sz w:val="20"/>
          <w:szCs w:val="20"/>
          <w:color w:val="auto"/>
        </w:rPr>
      </w:pPr>
    </w:p>
    <w:p>
      <w:pPr>
        <w:ind w:right="140" w:firstLine="342"/>
        <w:spacing w:after="0" w:line="268" w:lineRule="auto"/>
        <w:rPr>
          <w:sz w:val="20"/>
          <w:szCs w:val="20"/>
          <w:color w:val="auto"/>
        </w:rPr>
      </w:pPr>
      <w:r>
        <w:rPr>
          <w:rFonts w:ascii="Arial" w:cs="Arial" w:eastAsia="Arial" w:hAnsi="Arial"/>
          <w:sz w:val="17"/>
          <w:szCs w:val="17"/>
          <w:color w:val="auto"/>
        </w:rPr>
        <w:t>The Compensation Committee of our Board of Directors has the principal responsibility to make recommendations to the Board concerning the compensation of the Company's management employees including its executive officers and the Board of Directors. The Compensation Committee also reviews, approves and recommends to the Board for their approval all awards granted under the Company's stock incentive plan and performs other functions regarding compensation as the Board may delegate. Since May 2015, the Compensation Committee consisted of Messrs. Federico (Chairman), Laber and Michas. The Compensation Committee met four times during 2015.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jc w:val="both"/>
        <w:ind w:right="120" w:firstLine="342"/>
        <w:spacing w:after="0" w:line="271" w:lineRule="auto"/>
        <w:rPr>
          <w:sz w:val="20"/>
          <w:szCs w:val="20"/>
          <w:color w:val="auto"/>
        </w:rPr>
      </w:pPr>
      <w:r>
        <w:rPr>
          <w:rFonts w:ascii="Arial" w:cs="Arial" w:eastAsia="Arial" w:hAnsi="Arial"/>
          <w:sz w:val="17"/>
          <w:szCs w:val="17"/>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five times during 2015 and consisted of Messrs. Tanous (Chairman), Federico and Winter.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 Management</w:t>
      </w:r>
    </w:p>
    <w:p>
      <w:pPr>
        <w:spacing w:after="0" w:line="236" w:lineRule="exact"/>
        <w:rPr>
          <w:sz w:val="20"/>
          <w:szCs w:val="20"/>
          <w:color w:val="auto"/>
        </w:rPr>
      </w:pPr>
    </w:p>
    <w:p>
      <w:pPr>
        <w:ind w:firstLine="342"/>
        <w:spacing w:after="0" w:line="309" w:lineRule="auto"/>
        <w:rPr>
          <w:sz w:val="20"/>
          <w:szCs w:val="20"/>
          <w:color w:val="auto"/>
        </w:rPr>
      </w:pPr>
      <w:r>
        <w:rPr>
          <w:rFonts w:ascii="Arial" w:cs="Arial" w:eastAsia="Arial" w:hAnsi="Arial"/>
          <w:sz w:val="15"/>
          <w:szCs w:val="15"/>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 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Procedures</w:t>
      </w:r>
    </w:p>
    <w:p>
      <w:pPr>
        <w:spacing w:after="0" w:line="236" w:lineRule="exact"/>
        <w:rPr>
          <w:sz w:val="20"/>
          <w:szCs w:val="20"/>
          <w:color w:val="auto"/>
        </w:rPr>
      </w:pPr>
    </w:p>
    <w:p>
      <w:pPr>
        <w:ind w:right="200" w:firstLine="342"/>
        <w:spacing w:after="0" w:line="283"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74" w:lineRule="exact"/>
        <w:rPr>
          <w:sz w:val="20"/>
          <w:szCs w:val="20"/>
          <w:color w:val="auto"/>
        </w:rPr>
      </w:pPr>
    </w:p>
    <w:p>
      <w:pPr>
        <w:ind w:right="100" w:firstLine="342"/>
        <w:spacing w:after="0" w:line="268"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84" w:lineRule="exact"/>
        <w:rPr>
          <w:sz w:val="20"/>
          <w:szCs w:val="20"/>
          <w:color w:val="auto"/>
        </w:rPr>
      </w:pPr>
    </w:p>
    <w:p>
      <w:pPr>
        <w:ind w:right="140" w:firstLine="342"/>
        <w:spacing w:after="0" w:line="276" w:lineRule="auto"/>
        <w:rPr>
          <w:sz w:val="20"/>
          <w:szCs w:val="20"/>
          <w:color w:val="auto"/>
        </w:rPr>
      </w:pPr>
      <w:r>
        <w:rPr>
          <w:rFonts w:ascii="Arial" w:cs="Arial" w:eastAsia="Arial" w:hAnsi="Arial"/>
          <w:sz w:val="17"/>
          <w:szCs w:val="17"/>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2017 Annual Meeting."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Meetings</w:t>
      </w:r>
    </w:p>
    <w:p>
      <w:pPr>
        <w:spacing w:after="0" w:line="236"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Board of Directors held four regular meetings in 2015. Our Independent Directors meet in executive session without management directors or management present. These sessions generally take place prior to or following regularly scheduled board meetings. The directors met in such sessions four times during 2015. Our Corporate Governance Principles provide that all directors are expected to regularly attend all meetings of the Board and the Board committees on which he serves. In 2015, each director attended 100% of the total number of meetings of the Board of Directors and meetings held by all committees of the Board of Directors on which he served. In addition, each director is expected to attend the Annual Meeting of Shareholders. In 2015, the Annual Meeting of Shareholders was attended by all of the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w:t>
      </w:r>
    </w:p>
    <w:p>
      <w:pPr>
        <w:spacing w:after="0" w:line="236" w:lineRule="exact"/>
        <w:rPr>
          <w:sz w:val="20"/>
          <w:szCs w:val="20"/>
          <w:color w:val="auto"/>
        </w:rPr>
      </w:pPr>
    </w:p>
    <w:p>
      <w:pPr>
        <w:ind w:right="180" w:firstLine="336"/>
        <w:spacing w:after="0" w:line="271" w:lineRule="auto"/>
        <w:rPr>
          <w:sz w:val="20"/>
          <w:szCs w:val="20"/>
          <w:color w:val="auto"/>
        </w:rPr>
      </w:pPr>
      <w:r>
        <w:rPr>
          <w:rFonts w:ascii="Arial" w:cs="Arial" w:eastAsia="Arial" w:hAnsi="Arial"/>
          <w:sz w:val="17"/>
          <w:szCs w:val="17"/>
          <w:color w:val="auto"/>
        </w:rPr>
        <w:t>As noted above, the Compensation Committee is comprised of three independent Directors: Messrs. Federico, Laber and Michas.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36" w:lineRule="exact"/>
        <w:rPr>
          <w:sz w:val="20"/>
          <w:szCs w:val="20"/>
          <w:color w:val="auto"/>
        </w:rPr>
      </w:pPr>
    </w:p>
    <w:p>
      <w:pPr>
        <w:ind w:right="80" w:firstLine="345"/>
        <w:spacing w:after="0" w:line="286" w:lineRule="auto"/>
        <w:rPr>
          <w:sz w:val="20"/>
          <w:szCs w:val="20"/>
          <w:color w:val="auto"/>
        </w:rPr>
      </w:pPr>
      <w:r>
        <w:rPr>
          <w:rFonts w:ascii="Arial" w:cs="Arial" w:eastAsia="Arial" w:hAnsi="Arial"/>
          <w:sz w:val="16"/>
          <w:szCs w:val="16"/>
          <w:color w:val="auto"/>
        </w:rPr>
        <w:t>Under the Company's director compensation program, each non-employee director is paid an annual cash retainer of $35,000. The chairperson of the Audit Committee receives an additional $12,000 annual cash retainer and other members of the Audit Committee receive an additional annual cash retainer in the amount of $7,500. The chairperson of the Compensation Committee and the Corporate Governance and Nominating Committee each receive an additional $8,000 annual cash retainer and other members of those committees will receive an additional annual cash retainer in the amount of $5,000. The Lead Director receives an additional $10,000 annual cash retainer. All cash retainers are payable ratably on a quarterly basis. The Company no longer pays a separate fee for each meeting attended; however each non-employee director is reimbursed for his or her expenses in connection with attendance at each meeting.</w:t>
      </w:r>
    </w:p>
    <w:p>
      <w:pPr>
        <w:spacing w:after="0" w:line="173" w:lineRule="exact"/>
        <w:rPr>
          <w:sz w:val="20"/>
          <w:szCs w:val="20"/>
          <w:color w:val="auto"/>
        </w:rPr>
      </w:pPr>
    </w:p>
    <w:p>
      <w:pPr>
        <w:ind w:right="20" w:firstLine="345"/>
        <w:spacing w:after="0" w:line="292" w:lineRule="auto"/>
        <w:rPr>
          <w:sz w:val="20"/>
          <w:szCs w:val="20"/>
          <w:color w:val="auto"/>
        </w:rPr>
      </w:pPr>
      <w:r>
        <w:rPr>
          <w:rFonts w:ascii="Arial" w:cs="Arial" w:eastAsia="Arial" w:hAnsi="Arial"/>
          <w:sz w:val="16"/>
          <w:szCs w:val="16"/>
          <w:color w:val="auto"/>
        </w:rPr>
        <w:t>Non-employee directors also receive an annual award of restricted stock under the 2007 Stock Incentive Plan, as amended. The annual award consists of shares of the Company's common stock with a value of $50,000 as of the date of grant. The Lead Director receives an additional award of restricted stock with a value of $10,000 as of the date of grant. Directors who are appointed to the Board outside of the annual meeting of shareholders receive a pro rata amount of the annual award. These restricted shares will vest over a three-year period upon the performance of future service as a director, subject to certain exceptions.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compensation paid by the Company to each non-employee director for 2015.</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Fees Earned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5"/>
              </w:rPr>
              <w:t>or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0"/>
              <w:spacing w:after="0" w:line="146" w:lineRule="exact"/>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6" w:lineRule="exact"/>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3"/>
              </w:rPr>
              <w:t>in 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0"/>
              <w:spacing w:after="0" w:line="146"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2"/>
                <w:szCs w:val="12"/>
                <w:color w:val="auto"/>
              </w:rPr>
            </w:pPr>
          </w:p>
        </w:tc>
        <w:tc>
          <w:tcPr>
            <w:tcW w:w="9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22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9"/>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1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224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58,000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118,004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Gerald J. (Bud) Laber</w:t>
            </w:r>
          </w:p>
        </w:tc>
        <w:tc>
          <w:tcPr>
            <w:tcW w:w="224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r>
              <w:rPr>
                <w:rFonts w:ascii="Arial" w:cs="Arial" w:eastAsia="Arial" w:hAnsi="Arial"/>
                <w:sz w:val="17"/>
                <w:szCs w:val="17"/>
                <w:color w:val="auto"/>
                <w:w w:val="88"/>
              </w:rPr>
              <w:t>50,000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100,003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Alexis P. Michas</w:t>
            </w:r>
          </w:p>
        </w:tc>
        <w:tc>
          <w:tcPr>
            <w:tcW w:w="224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20,000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Richard D. Smith</w:t>
            </w:r>
          </w:p>
        </w:tc>
        <w:tc>
          <w:tcPr>
            <w:tcW w:w="224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r>
              <w:rPr>
                <w:rFonts w:ascii="Arial" w:cs="Arial" w:eastAsia="Arial" w:hAnsi="Arial"/>
                <w:sz w:val="17"/>
                <w:szCs w:val="17"/>
                <w:color w:val="auto"/>
                <w:w w:val="88"/>
              </w:rPr>
              <w:t>35,000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50,003</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7"/>
                <w:szCs w:val="17"/>
                <w:color w:val="auto"/>
              </w:rPr>
              <w:t>139,937(3) $</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224,940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224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w w:val="88"/>
              </w:rPr>
              <w:t>50,500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100,503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auto"/>
              </w:rPr>
              <w:t>Michael R. Winter</w:t>
            </w:r>
          </w:p>
        </w:tc>
        <w:tc>
          <w:tcPr>
            <w:tcW w:w="224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r>
              <w:rPr>
                <w:rFonts w:ascii="Arial" w:cs="Arial" w:eastAsia="Arial" w:hAnsi="Arial"/>
                <w:sz w:val="17"/>
                <w:szCs w:val="17"/>
                <w:color w:val="auto"/>
                <w:w w:val="88"/>
              </w:rPr>
              <w:t>47,500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97,503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60" w:right="520" w:hanging="541"/>
        <w:spacing w:after="0" w:line="291" w:lineRule="auto"/>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amounts that were used to purchase stock pursuant to the Company's Non-Employee Director Stock in Lieu of Cash Retainer Plan.</w:t>
      </w:r>
    </w:p>
    <w:p>
      <w:pPr>
        <w:spacing w:after="0" w:line="190" w:lineRule="exact"/>
        <w:rPr>
          <w:rFonts w:ascii="Arial" w:cs="Arial" w:eastAsia="Arial" w:hAnsi="Arial"/>
          <w:sz w:val="17"/>
          <w:szCs w:val="17"/>
          <w:color w:val="auto"/>
        </w:rPr>
      </w:pPr>
    </w:p>
    <w:p>
      <w:pPr>
        <w:ind w:left="2260" w:right="20" w:hanging="541"/>
        <w:spacing w:after="0" w:line="361" w:lineRule="auto"/>
        <w:tabs>
          <w:tab w:leader="none" w:pos="226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32" w:lineRule="exact"/>
        <w:rPr>
          <w:rFonts w:ascii="Arial" w:cs="Arial" w:eastAsia="Arial" w:hAnsi="Arial"/>
          <w:sz w:val="15"/>
          <w:szCs w:val="15"/>
          <w:color w:val="auto"/>
        </w:rPr>
      </w:pPr>
    </w:p>
    <w:p>
      <w:pPr>
        <w:ind w:left="2260" w:right="180" w:hanging="541"/>
        <w:spacing w:after="0" w:line="271" w:lineRule="auto"/>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Mr. Smith served as Executive Chairman of the Board and Chief Financial Officer until his retirement in March 2013. The Company entered into a five-year consulting agreement with Mr. Smith effective upon his retirement pursuant to which Mr. Smith will receive an annual consulting fee, paid monthly, and will be available to work part time as an independent contractor on assignments as requested by the Chief Executive Officer and agreed upon by Mr. Smith.</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2015 is shown below:</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Unvested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10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0"/>
              </w:rPr>
              <w:t>Stock Awards</w:t>
            </w:r>
          </w:p>
        </w:tc>
        <w:tc>
          <w:tcPr>
            <w:tcW w:w="0" w:type="dxa"/>
            <w:vAlign w:val="bottom"/>
          </w:tcPr>
          <w:p>
            <w:pPr>
              <w:spacing w:after="0"/>
              <w:rPr>
                <w:sz w:val="1"/>
                <w:szCs w:val="1"/>
                <w:color w:val="auto"/>
              </w:rPr>
            </w:pPr>
          </w:p>
        </w:tc>
      </w:tr>
      <w:tr>
        <w:trPr>
          <w:trHeight w:val="159"/>
        </w:trPr>
        <w:tc>
          <w:tcPr>
            <w:tcW w:w="68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Gerald J. (Bud) Laber</w:t>
            </w:r>
          </w:p>
        </w:tc>
        <w:tc>
          <w:tcPr>
            <w:tcW w:w="940" w:type="dxa"/>
            <w:vAlign w:val="bottom"/>
          </w:tcPr>
          <w:p>
            <w:pPr>
              <w:jc w:val="right"/>
              <w:spacing w:after="0"/>
              <w:rPr>
                <w:sz w:val="20"/>
                <w:szCs w:val="20"/>
                <w:color w:val="auto"/>
              </w:rPr>
            </w:pPr>
            <w:r>
              <w:rPr>
                <w:rFonts w:ascii="Arial" w:cs="Arial" w:eastAsia="Arial" w:hAnsi="Arial"/>
                <w:sz w:val="17"/>
                <w:szCs w:val="17"/>
                <w:color w:val="auto"/>
              </w:rPr>
              <w:t>6,130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Alexis P. Michas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Richard D. Smith</w:t>
            </w:r>
          </w:p>
        </w:tc>
        <w:tc>
          <w:tcPr>
            <w:tcW w:w="940" w:type="dxa"/>
            <w:vAlign w:val="bottom"/>
          </w:tcPr>
          <w:p>
            <w:pPr>
              <w:jc w:val="right"/>
              <w:spacing w:after="0"/>
              <w:rPr>
                <w:sz w:val="20"/>
                <w:szCs w:val="20"/>
                <w:color w:val="auto"/>
              </w:rPr>
            </w:pPr>
            <w:r>
              <w:rPr>
                <w:rFonts w:ascii="Arial" w:cs="Arial" w:eastAsia="Arial" w:hAnsi="Arial"/>
                <w:sz w:val="17"/>
                <w:szCs w:val="17"/>
                <w:color w:val="auto"/>
              </w:rPr>
              <w:t>8,130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Michael R. Winter</w:t>
            </w:r>
          </w:p>
        </w:tc>
        <w:tc>
          <w:tcPr>
            <w:tcW w:w="940" w:type="dxa"/>
            <w:vAlign w:val="bottom"/>
          </w:tcPr>
          <w:p>
            <w:pPr>
              <w:jc w:val="right"/>
              <w:spacing w:after="0"/>
              <w:rPr>
                <w:sz w:val="20"/>
                <w:szCs w:val="20"/>
                <w:color w:val="auto"/>
              </w:rPr>
            </w:pPr>
            <w:r>
              <w:rPr>
                <w:rFonts w:ascii="Arial" w:cs="Arial" w:eastAsia="Arial" w:hAnsi="Arial"/>
                <w:sz w:val="17"/>
                <w:szCs w:val="17"/>
                <w:color w:val="auto"/>
              </w:rPr>
              <w:t>3,767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Stock Ownership Policy</w:t>
      </w:r>
    </w:p>
    <w:p>
      <w:pPr>
        <w:spacing w:after="0" w:line="236" w:lineRule="exact"/>
        <w:rPr>
          <w:sz w:val="20"/>
          <w:szCs w:val="20"/>
          <w:color w:val="auto"/>
        </w:rPr>
      </w:pPr>
    </w:p>
    <w:p>
      <w:pPr>
        <w:ind w:firstLine="342"/>
        <w:spacing w:after="0" w:line="266" w:lineRule="auto"/>
        <w:rPr>
          <w:sz w:val="20"/>
          <w:szCs w:val="20"/>
          <w:color w:val="auto"/>
        </w:rPr>
      </w:pPr>
      <w:r>
        <w:rPr>
          <w:rFonts w:ascii="Arial" w:cs="Arial" w:eastAsia="Arial" w:hAnsi="Arial"/>
          <w:sz w:val="17"/>
          <w:szCs w:val="17"/>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and revised in 2014, non-employee directors are required to make a minimum investment in Company stock equal to three times the annual cash and stock retainer (the "Guideline Investment"). Each non-employee director is allowed a grace period to meet the Guideline Investment in full, from the date of initial election or appointment to the Board through the fifth anniversary of such election or appointment. The Company has a Non-Employee Director Stock in Lieu of Cash Retainer Plan. Pursuant to the Plan, each non-employee director may elect to forego receipt of all or a portion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cash retainer in exchange for newly issued common stock, however, until the Guideline Investment is achieved, directors must utilize 50% of the cash retainer to purchase Company stock and such stock, along with stock grants received from the Company, will be used to reach the Guideline Investment.</w:t>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PROPOSALS TO BE VOTED 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1—Election of Directors</w:t>
      </w:r>
    </w:p>
    <w:p>
      <w:pPr>
        <w:spacing w:after="0" w:line="236" w:lineRule="exact"/>
        <w:rPr>
          <w:sz w:val="20"/>
          <w:szCs w:val="20"/>
          <w:color w:val="auto"/>
        </w:rPr>
      </w:pPr>
    </w:p>
    <w:p>
      <w:pPr>
        <w:ind w:right="220" w:firstLine="345"/>
        <w:spacing w:after="0" w:line="276" w:lineRule="auto"/>
        <w:rPr>
          <w:sz w:val="20"/>
          <w:szCs w:val="20"/>
          <w:color w:val="auto"/>
        </w:rPr>
      </w:pPr>
      <w:r>
        <w:rPr>
          <w:rFonts w:ascii="Arial" w:cs="Arial" w:eastAsia="Arial" w:hAnsi="Arial"/>
          <w:sz w:val="17"/>
          <w:szCs w:val="17"/>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76" w:lineRule="exact"/>
        <w:rPr>
          <w:sz w:val="20"/>
          <w:szCs w:val="20"/>
          <w:color w:val="auto"/>
        </w:rPr>
      </w:pPr>
    </w:p>
    <w:p>
      <w:pPr>
        <w:ind w:firstLine="345"/>
        <w:spacing w:after="0" w:line="267" w:lineRule="auto"/>
        <w:rPr>
          <w:sz w:val="20"/>
          <w:szCs w:val="20"/>
          <w:color w:val="auto"/>
        </w:rPr>
      </w:pPr>
      <w:r>
        <w:rPr>
          <w:rFonts w:ascii="Arial" w:cs="Arial" w:eastAsia="Arial" w:hAnsi="Arial"/>
          <w:sz w:val="17"/>
          <w:szCs w:val="17"/>
          <w:color w:val="auto"/>
        </w:rPr>
        <w:t>Our Board of Directors currently consists of Richard D. Federico, Gerald J. (Bud) Laber, Alexis P. Michas, Richard D. Smith, James J. Tanous, Richard S. Warzala and Michael R. Winter. In accordance with the Bylaws of the Company, the Board of Directors has fixed the number of directors to be elected at the Annual Meeting to seven directors. The affirmative vote of a majority of the votes cast is required for the election of directors. Unless instructed otherwise, it is intended that the shares represented by proxy at the Annual Meeting will be voted in favor of the seven nominees named below, each of whom was nominated by the Board based on the recommendation of our Governance and Nominating Committee. Each nominee is an incumbent director standing for re-election and all nominees have agreed to serve if elected.</w:t>
      </w:r>
    </w:p>
    <w:p>
      <w:pPr>
        <w:spacing w:after="0" w:line="184" w:lineRule="exact"/>
        <w:rPr>
          <w:sz w:val="20"/>
          <w:szCs w:val="20"/>
          <w:color w:val="auto"/>
        </w:rPr>
      </w:pPr>
    </w:p>
    <w:p>
      <w:pPr>
        <w:ind w:right="60" w:firstLine="345"/>
        <w:spacing w:after="0" w:line="324"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41" w:lineRule="exact"/>
        <w:rPr>
          <w:sz w:val="20"/>
          <w:szCs w:val="20"/>
          <w:color w:val="auto"/>
        </w:rPr>
      </w:pPr>
    </w:p>
    <w:p>
      <w:pPr>
        <w:ind w:right="620" w:firstLine="345"/>
        <w:spacing w:after="0" w:line="291" w:lineRule="auto"/>
        <w:rPr>
          <w:sz w:val="20"/>
          <w:szCs w:val="20"/>
          <w:color w:val="auto"/>
        </w:rPr>
      </w:pPr>
      <w:r>
        <w:rPr>
          <w:rFonts w:ascii="Arial" w:cs="Arial" w:eastAsia="Arial" w:hAnsi="Arial"/>
          <w:sz w:val="17"/>
          <w:szCs w:val="17"/>
          <w:color w:val="auto"/>
        </w:rPr>
        <w:t>Information regarding the director nominees can be found under "Corporate Governance and Board Matters—Director Qualifications and Biographical Information."</w:t>
      </w:r>
    </w:p>
    <w:p>
      <w:pPr>
        <w:spacing w:after="0" w:line="158" w:lineRule="exact"/>
        <w:rPr>
          <w:sz w:val="20"/>
          <w:szCs w:val="20"/>
          <w:color w:val="auto"/>
        </w:rPr>
      </w:pPr>
    </w:p>
    <w:p>
      <w:pPr>
        <w:ind w:right="400" w:firstLine="345"/>
        <w:spacing w:after="0" w:line="298" w:lineRule="auto"/>
        <w:rPr>
          <w:sz w:val="20"/>
          <w:szCs w:val="20"/>
          <w:color w:val="auto"/>
        </w:rPr>
      </w:pPr>
      <w:r>
        <w:rPr>
          <w:rFonts w:ascii="Arial" w:cs="Arial" w:eastAsia="Arial" w:hAnsi="Arial"/>
          <w:sz w:val="17"/>
          <w:szCs w:val="17"/>
          <w:b w:val="1"/>
          <w:bCs w:val="1"/>
          <w:color w:val="auto"/>
        </w:rPr>
        <w:t>THE BOARD OF DIRECTORS UNANIMOUSLY RECOMMENDS THAT SHAREHOLDERS VOTE "FOR" THE ELECTION OF EACH OF THE NOMINEES.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2—Advisory Vote on Executive Compensation</w:t>
      </w:r>
    </w:p>
    <w:p>
      <w:pPr>
        <w:spacing w:after="0" w:line="236" w:lineRule="exact"/>
        <w:rPr>
          <w:sz w:val="20"/>
          <w:szCs w:val="20"/>
          <w:color w:val="auto"/>
        </w:rPr>
      </w:pPr>
    </w:p>
    <w:p>
      <w:pPr>
        <w:ind w:right="80" w:firstLine="345"/>
        <w:spacing w:after="0" w:line="292"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68" w:lineRule="exact"/>
        <w:rPr>
          <w:sz w:val="20"/>
          <w:szCs w:val="20"/>
          <w:color w:val="auto"/>
        </w:rPr>
      </w:pPr>
    </w:p>
    <w:p>
      <w:pPr>
        <w:ind w:right="60" w:firstLine="336"/>
        <w:spacing w:after="0" w:line="271"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80" w:lineRule="exact"/>
        <w:rPr>
          <w:sz w:val="20"/>
          <w:szCs w:val="20"/>
          <w:color w:val="auto"/>
        </w:rPr>
      </w:pPr>
    </w:p>
    <w:p>
      <w:pPr>
        <w:ind w:right="80" w:firstLine="339"/>
        <w:spacing w:after="0" w:line="291" w:lineRule="auto"/>
        <w:rPr>
          <w:sz w:val="20"/>
          <w:szCs w:val="20"/>
          <w:color w:val="auto"/>
        </w:rPr>
      </w:pPr>
      <w:r>
        <w:rPr>
          <w:rFonts w:ascii="Arial" w:cs="Arial" w:eastAsia="Arial" w:hAnsi="Arial"/>
          <w:sz w:val="17"/>
          <w:szCs w:val="17"/>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is asking shareholders to vote on the following resolution at the Meeting:</w:t>
      </w:r>
    </w:p>
    <w:p>
      <w:pPr>
        <w:spacing w:after="0" w:line="230" w:lineRule="exact"/>
        <w:rPr>
          <w:sz w:val="20"/>
          <w:szCs w:val="20"/>
          <w:color w:val="auto"/>
        </w:rPr>
      </w:pPr>
    </w:p>
    <w:p>
      <w:pPr>
        <w:ind w:left="540" w:right="60"/>
        <w:spacing w:after="0" w:line="276" w:lineRule="auto"/>
        <w:rPr>
          <w:sz w:val="20"/>
          <w:szCs w:val="20"/>
          <w:color w:val="auto"/>
        </w:rPr>
      </w:pPr>
      <w:r>
        <w:rPr>
          <w:rFonts w:ascii="Arial" w:cs="Arial" w:eastAsia="Arial" w:hAnsi="Arial"/>
          <w:sz w:val="17"/>
          <w:szCs w:val="17"/>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76" w:lineRule="exact"/>
        <w:rPr>
          <w:sz w:val="20"/>
          <w:szCs w:val="20"/>
          <w:color w:val="auto"/>
        </w:rPr>
      </w:pPr>
    </w:p>
    <w:p>
      <w:pPr>
        <w:ind w:right="380" w:firstLine="342"/>
        <w:spacing w:after="0" w:line="300"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BOARD OF DIRECTORS UNANIMOUSLY RECOMMENDS A VOTE "FOR" THE APPROVAL OF THE FOREGOING RESOLUTION.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UNLESS OTHERWISE INSTRUCTED, PROXIES WILL BE VOTED "FOR" THE APPROVAL.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3—Advisory Vote on the Ratification of Independent Registered Public Accounting Firm</w:t>
      </w:r>
    </w:p>
    <w:p>
      <w:pPr>
        <w:spacing w:after="0" w:line="236" w:lineRule="exact"/>
        <w:rPr>
          <w:sz w:val="20"/>
          <w:szCs w:val="20"/>
          <w:color w:val="auto"/>
        </w:rPr>
      </w:pPr>
    </w:p>
    <w:p>
      <w:pPr>
        <w:ind w:right="60" w:firstLine="342"/>
        <w:spacing w:after="0" w:line="324" w:lineRule="auto"/>
        <w:rPr>
          <w:sz w:val="20"/>
          <w:szCs w:val="20"/>
          <w:color w:val="auto"/>
        </w:rPr>
      </w:pPr>
      <w:r>
        <w:rPr>
          <w:rFonts w:ascii="Arial" w:cs="Arial" w:eastAsia="Arial" w:hAnsi="Arial"/>
          <w:sz w:val="16"/>
          <w:szCs w:val="16"/>
          <w:color w:val="auto"/>
        </w:rPr>
        <w:t>The Audit Committee has appointed EKS&amp;H to act as auditors for the fiscal year ending December 31, 2016. EKS&amp;H has served as the independent registered public accounting firm for the Company since 2006. Representatives of EKS&amp;H are expected to be present at the Annual Meeting.</w:t>
      </w:r>
    </w:p>
    <w:p>
      <w:pPr>
        <w:spacing w:after="0" w:line="141" w:lineRule="exact"/>
        <w:rPr>
          <w:sz w:val="20"/>
          <w:szCs w:val="20"/>
          <w:color w:val="auto"/>
        </w:rPr>
      </w:pPr>
    </w:p>
    <w:p>
      <w:pPr>
        <w:ind w:right="120" w:firstLine="342"/>
        <w:spacing w:after="0" w:line="291" w:lineRule="auto"/>
        <w:rPr>
          <w:sz w:val="20"/>
          <w:szCs w:val="20"/>
          <w:color w:val="auto"/>
        </w:rPr>
      </w:pPr>
      <w:r>
        <w:rPr>
          <w:rFonts w:ascii="Arial" w:cs="Arial" w:eastAsia="Arial" w:hAnsi="Arial"/>
          <w:sz w:val="17"/>
          <w:szCs w:val="17"/>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64" w:lineRule="exact"/>
        <w:rPr>
          <w:sz w:val="20"/>
          <w:szCs w:val="20"/>
          <w:color w:val="auto"/>
        </w:rPr>
      </w:pPr>
    </w:p>
    <w:p>
      <w:pPr>
        <w:ind w:firstLine="336"/>
        <w:spacing w:after="0" w:line="268" w:lineRule="auto"/>
        <w:rPr>
          <w:sz w:val="20"/>
          <w:szCs w:val="20"/>
          <w:color w:val="auto"/>
        </w:rPr>
      </w:pPr>
      <w:r>
        <w:rPr>
          <w:rFonts w:ascii="Arial" w:cs="Arial" w:eastAsia="Arial" w:hAnsi="Arial"/>
          <w:sz w:val="17"/>
          <w:szCs w:val="17"/>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4" w:lineRule="exact"/>
        <w:rPr>
          <w:sz w:val="20"/>
          <w:szCs w:val="20"/>
          <w:color w:val="auto"/>
        </w:rPr>
      </w:pPr>
    </w:p>
    <w:p>
      <w:pPr>
        <w:ind w:right="500" w:firstLine="342"/>
        <w:spacing w:after="0" w:line="291"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ratify the appointment of EKS&amp;H LLLP as the Company's independent public accounting firm for 2016.</w:t>
      </w:r>
    </w:p>
    <w:p>
      <w:pPr>
        <w:spacing w:after="0" w:line="158" w:lineRule="exact"/>
        <w:rPr>
          <w:sz w:val="20"/>
          <w:szCs w:val="20"/>
          <w:color w:val="auto"/>
        </w:rPr>
      </w:pPr>
    </w:p>
    <w:p>
      <w:pPr>
        <w:ind w:right="1120" w:firstLine="345"/>
        <w:spacing w:after="0" w:line="298" w:lineRule="auto"/>
        <w:rPr>
          <w:sz w:val="20"/>
          <w:szCs w:val="20"/>
          <w:color w:val="auto"/>
        </w:rPr>
      </w:pPr>
      <w:r>
        <w:rPr>
          <w:rFonts w:ascii="Arial" w:cs="Arial" w:eastAsia="Arial" w:hAnsi="Arial"/>
          <w:sz w:val="17"/>
          <w:szCs w:val="17"/>
          <w:b w:val="1"/>
          <w:bCs w:val="1"/>
          <w:color w:val="auto"/>
        </w:rPr>
        <w:t>THE BOARD OF DIRECTORS UNANIMOUSLY RECOMMENDS A VOTE "FOR" THE RATIFICATION. UNLESS OTHERWISE INSTRUCTED, PROXIES WILL BE VOTED "FOR" THE RATIFICATION.</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OFFICERS</w:t>
      </w:r>
    </w:p>
    <w:p>
      <w:pPr>
        <w:spacing w:after="0" w:line="236" w:lineRule="exact"/>
        <w:rPr>
          <w:sz w:val="20"/>
          <w:szCs w:val="20"/>
          <w:color w:val="auto"/>
        </w:rPr>
      </w:pPr>
    </w:p>
    <w:p>
      <w:pPr>
        <w:jc w:val="both"/>
        <w:ind w:right="120" w:firstLine="342"/>
        <w:spacing w:after="0" w:line="276" w:lineRule="auto"/>
        <w:rPr>
          <w:sz w:val="20"/>
          <w:szCs w:val="20"/>
          <w:color w:val="auto"/>
        </w:rPr>
      </w:pPr>
      <w:r>
        <w:rPr>
          <w:rFonts w:ascii="Arial" w:cs="Arial" w:eastAsia="Arial" w:hAnsi="Arial"/>
          <w:sz w:val="17"/>
          <w:szCs w:val="17"/>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76" w:lineRule="exact"/>
        <w:rPr>
          <w:sz w:val="20"/>
          <w:szCs w:val="20"/>
          <w:color w:val="auto"/>
        </w:rPr>
      </w:pPr>
    </w:p>
    <w:p>
      <w:pPr>
        <w:ind w:right="300" w:firstLine="345"/>
        <w:spacing w:after="0" w:line="27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62—Mr. Warzala has served as director of the Company since August 2006 and as Chairman of the Board since February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Michael R. Leach</w:t>
      </w:r>
      <w:r>
        <w:rPr>
          <w:rFonts w:ascii="Arial" w:cs="Arial" w:eastAsia="Arial" w:hAnsi="Arial"/>
          <w:sz w:val="17"/>
          <w:szCs w:val="17"/>
          <w:color w:val="auto"/>
        </w:rPr>
        <w:t>, age 47—Mr. Leach was named Chief Financial Officer of the Company effective August 10, 2015. Prior to joining Allied Motion,</w:t>
      </w:r>
    </w:p>
    <w:p>
      <w:pPr>
        <w:spacing w:after="0" w:line="24"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81" w:lineRule="exact"/>
        <w:rPr>
          <w:sz w:val="20"/>
          <w:szCs w:val="20"/>
          <w:color w:val="auto"/>
        </w:rPr>
      </w:pPr>
    </w:p>
    <w:p>
      <w:pPr>
        <w:ind w:right="80" w:firstLine="345"/>
        <w:spacing w:after="0" w:line="268" w:lineRule="auto"/>
        <w:rPr>
          <w:sz w:val="20"/>
          <w:szCs w:val="20"/>
          <w:color w:val="auto"/>
        </w:rPr>
      </w:pPr>
      <w:r>
        <w:rPr>
          <w:rFonts w:ascii="Arial" w:cs="Arial" w:eastAsia="Arial" w:hAnsi="Arial"/>
          <w:sz w:val="17"/>
          <w:szCs w:val="17"/>
          <w:b w:val="1"/>
          <w:bCs w:val="1"/>
          <w:i w:val="1"/>
          <w:iCs w:val="1"/>
          <w:color w:val="auto"/>
        </w:rPr>
        <w:t xml:space="preserve">Robert P. Maida, </w:t>
      </w:r>
      <w:r>
        <w:rPr>
          <w:rFonts w:ascii="Arial" w:cs="Arial" w:eastAsia="Arial" w:hAnsi="Arial"/>
          <w:sz w:val="17"/>
          <w:szCs w:val="17"/>
          <w:color w:val="auto"/>
        </w:rPr>
        <w:t>age 51—Mr. Maida was named Vice President of Operational Excellence effective August 10, 2015. Mr. Maida joined Allied Motion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in December 2012.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84" w:lineRule="exact"/>
        <w:rPr>
          <w:sz w:val="20"/>
          <w:szCs w:val="20"/>
          <w:color w:val="auto"/>
        </w:rPr>
      </w:pPr>
    </w:p>
    <w:p>
      <w:pPr>
        <w:ind w:right="60" w:firstLine="345"/>
        <w:spacing w:after="0" w:line="276"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73—Mr. Wyman was named Vice President of Marketing of the Company in February 2003. He was designated as an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COMPENSATION OF EXECUTIVE OFFICERS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Compensation Program</w:t>
      </w:r>
    </w:p>
    <w:p>
      <w:pPr>
        <w:spacing w:after="0" w:line="230"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Chief Executive Officer based upon a mix of the achievement of corporate goals and individual performance and makes recommendations to the Board concerning compensation and benefits for executive officers and other key management. All compensation for these individuals is approved by the Board.</w:t>
      </w:r>
    </w:p>
    <w:p>
      <w:pPr>
        <w:spacing w:after="0" w:line="184" w:lineRule="exact"/>
        <w:rPr>
          <w:sz w:val="20"/>
          <w:szCs w:val="20"/>
          <w:color w:val="auto"/>
        </w:rPr>
      </w:pPr>
    </w:p>
    <w:p>
      <w:pPr>
        <w:ind w:firstLine="342"/>
        <w:spacing w:after="0" w:line="328" w:lineRule="auto"/>
        <w:rPr>
          <w:sz w:val="20"/>
          <w:szCs w:val="20"/>
          <w:color w:val="auto"/>
        </w:rPr>
      </w:pPr>
      <w:r>
        <w:rPr>
          <w:rFonts w:ascii="Arial" w:cs="Arial" w:eastAsia="Arial" w:hAnsi="Arial"/>
          <w:sz w:val="15"/>
          <w:szCs w:val="15"/>
          <w:color w:val="auto"/>
        </w:rPr>
        <w:t>The Committee meets with Mr. Warzala, the Company's Chief Executive Officer and President, to obtain his recommendations with respect to key management compensation programs and practices, base salaries, incentive plan targets and equity awards. The Committee considers, but is not bound to accept management's recommendations. The Committee discusses Mr. Warzala's compensation with him, but makes decisions and Board recommendations without him present.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 has authorized Mr. Warzala to make salary adjustments for all employees other than executive officers and other key management.</w:t>
      </w:r>
    </w:p>
    <w:p>
      <w:pPr>
        <w:spacing w:after="0" w:line="241" w:lineRule="exact"/>
        <w:rPr>
          <w:sz w:val="20"/>
          <w:szCs w:val="20"/>
          <w:color w:val="auto"/>
        </w:rPr>
      </w:pPr>
    </w:p>
    <w:p>
      <w:pPr>
        <w:ind w:right="140" w:firstLine="342"/>
        <w:spacing w:after="0" w:line="300" w:lineRule="auto"/>
        <w:rPr>
          <w:sz w:val="20"/>
          <w:szCs w:val="20"/>
          <w:color w:val="auto"/>
        </w:rPr>
      </w:pPr>
      <w:r>
        <w:rPr>
          <w:rFonts w:ascii="Arial" w:cs="Arial" w:eastAsia="Arial" w:hAnsi="Arial"/>
          <w:sz w:val="16"/>
          <w:szCs w:val="16"/>
          <w:color w:val="auto"/>
        </w:rPr>
        <w:t>The Committee makes recommendations to the Board for equity based awards and these awards are approved by the Board. However, the Committee has delegated to Mr. Warzala the authority to make restricted stock awards to employees other than executive officers or key management, not to exceed 10,000 shares in the aggregate. Such awards made by Mr. Warzala are generally intended to be used for recruiting and employee promotion purposes.</w:t>
      </w:r>
    </w:p>
    <w:p>
      <w:pPr>
        <w:spacing w:after="0" w:line="161" w:lineRule="exact"/>
        <w:rPr>
          <w:sz w:val="20"/>
          <w:szCs w:val="20"/>
          <w:color w:val="auto"/>
        </w:rPr>
      </w:pPr>
    </w:p>
    <w:p>
      <w:pPr>
        <w:ind w:right="20" w:firstLine="342"/>
        <w:spacing w:after="0" w:line="291" w:lineRule="auto"/>
        <w:rPr>
          <w:sz w:val="20"/>
          <w:szCs w:val="20"/>
          <w:color w:val="auto"/>
        </w:rPr>
      </w:pPr>
      <w:r>
        <w:rPr>
          <w:rFonts w:ascii="Arial" w:cs="Arial" w:eastAsia="Arial" w:hAnsi="Arial"/>
          <w:sz w:val="17"/>
          <w:szCs w:val="17"/>
          <w:color w:val="auto"/>
        </w:rPr>
        <w:t>The Committee has the authority to engage its own independent advisors to assist in carrying out its responsibilities. During 2015, the Company did not engage any outside advisors.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Philosophy</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primary goals of the Company's compensation policies for the executive officers and other key management are as follows:</w:t>
      </w:r>
    </w:p>
    <w:p>
      <w:pPr>
        <w:spacing w:after="0" w:line="243" w:lineRule="exact"/>
        <w:rPr>
          <w:sz w:val="20"/>
          <w:szCs w:val="20"/>
          <w:color w:val="auto"/>
        </w:rPr>
      </w:pPr>
    </w:p>
    <w:p>
      <w:pPr>
        <w:ind w:left="1060" w:right="240" w:hanging="522"/>
        <w:spacing w:after="0" w:line="291"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190" w:lineRule="exact"/>
        <w:rPr>
          <w:rFonts w:ascii="Arial" w:cs="Arial" w:eastAsia="Arial" w:hAnsi="Arial"/>
          <w:sz w:val="17"/>
          <w:szCs w:val="17"/>
          <w:color w:val="auto"/>
        </w:rPr>
      </w:pPr>
    </w:p>
    <w:p>
      <w:pPr>
        <w:ind w:left="1060" w:right="360" w:hanging="522"/>
        <w:spacing w:after="0" w:line="291"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align the interests of management with shareholders through the use of incentive compensation directly related to corporate performance and through the use of stock-based incentives that result in increased Common Stock ownership by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Consideration of Most Recent Say on Pay Vote</w:t>
      </w:r>
    </w:p>
    <w:p>
      <w:pPr>
        <w:spacing w:after="0" w:line="230" w:lineRule="exact"/>
        <w:rPr>
          <w:sz w:val="20"/>
          <w:szCs w:val="20"/>
          <w:color w:val="auto"/>
        </w:rPr>
      </w:pPr>
    </w:p>
    <w:p>
      <w:pPr>
        <w:jc w:val="both"/>
        <w:ind w:firstLine="336"/>
        <w:spacing w:after="0" w:line="328" w:lineRule="auto"/>
        <w:rPr>
          <w:sz w:val="20"/>
          <w:szCs w:val="20"/>
          <w:color w:val="auto"/>
        </w:rPr>
      </w:pPr>
      <w:r>
        <w:rPr>
          <w:rFonts w:ascii="Arial" w:cs="Arial" w:eastAsia="Arial" w:hAnsi="Arial"/>
          <w:sz w:val="15"/>
          <w:szCs w:val="15"/>
          <w:color w:val="auto"/>
        </w:rPr>
        <w:t>At the annual meeting of shareholders on May 6, 2015, 95% of the shares voted were voted in support of the compensation of our Named Officers, as discussed and disclosed in the 2015 proxy statement. In considering the results of this most recent advisory vote on executive compensation, the Committee concluded that the compensation paid to our executive officers and the Company's overall pay practices have strong shareholder support and no significant changes were made.</w:t>
      </w:r>
    </w:p>
    <w:p>
      <w:pPr>
        <w:spacing w:after="0" w:line="143" w:lineRule="exact"/>
        <w:rPr>
          <w:sz w:val="20"/>
          <w:szCs w:val="20"/>
          <w:color w:val="auto"/>
        </w:rPr>
      </w:pPr>
    </w:p>
    <w:p>
      <w:pPr>
        <w:jc w:val="both"/>
        <w:ind w:right="20" w:firstLine="342"/>
        <w:spacing w:after="0" w:line="291" w:lineRule="auto"/>
        <w:rPr>
          <w:sz w:val="20"/>
          <w:szCs w:val="20"/>
          <w:color w:val="auto"/>
        </w:rPr>
      </w:pPr>
      <w:r>
        <w:rPr>
          <w:rFonts w:ascii="Arial" w:cs="Arial" w:eastAsia="Arial" w:hAnsi="Arial"/>
          <w:sz w:val="17"/>
          <w:szCs w:val="17"/>
          <w:color w:val="auto"/>
        </w:rPr>
        <w:t>The Committee recognizes that executive pay practices and notions of sound governance principles continue to evolve. Consequently, the Committee continues to consider whether to engage a consultant to advise it with respect to compensation (base and total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Elements of Compensation</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elements of executive compensation are</w:t>
      </w:r>
    </w:p>
    <w:p>
      <w:pPr>
        <w:spacing w:after="0" w:line="243" w:lineRule="exact"/>
        <w:rPr>
          <w:sz w:val="20"/>
          <w:szCs w:val="20"/>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 Compensation</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Annual Cash Incentive Compensation</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 Incentive Compensation</w:t>
      </w:r>
    </w:p>
    <w:p>
      <w:pPr>
        <w:spacing w:after="0" w:line="243" w:lineRule="exact"/>
        <w:rPr>
          <w:rFonts w:ascii="Arial" w:cs="Arial" w:eastAsia="Arial" w:hAnsi="Arial"/>
          <w:sz w:val="17"/>
          <w:szCs w:val="17"/>
          <w:color w:val="auto"/>
        </w:rPr>
      </w:pPr>
    </w:p>
    <w:p>
      <w:pPr>
        <w:ind w:left="1060" w:hanging="52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Deferred Compensation Plan benefits</w:t>
      </w:r>
    </w:p>
    <w:p>
      <w:pPr>
        <w:spacing w:after="0" w:line="230"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Base compensation is comprised of the annual salary and is set at levels sufficient to attract and retain executives. In determining</w:t>
      </w:r>
    </w:p>
    <w:p>
      <w:pPr>
        <w:spacing w:after="0" w:line="2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Mr. Warzala's base compensation, the Committee reviews market data and performance during the previous year as well as goals and objectives for the current year. In determining other base compensation levels, the Committee relies primarily on the evaluation and recommendation by Mr. Warzala of each key manager's performance during the prior year and responsibilities for the current year. During the review of base compensation, the Committee also considers the executive's or manager's qualifications and experience, scope of responsibilities and future potential, the goals and objective established for the individual, his or her past performance and competitive compensation practices both internally and externally.</w:t>
      </w:r>
    </w:p>
    <w:p>
      <w:pPr>
        <w:spacing w:after="0" w:line="185" w:lineRule="exact"/>
        <w:rPr>
          <w:sz w:val="20"/>
          <w:szCs w:val="20"/>
          <w:color w:val="auto"/>
        </w:rPr>
      </w:pPr>
    </w:p>
    <w:p>
      <w:pPr>
        <w:ind w:firstLine="345"/>
        <w:spacing w:after="0" w:line="266" w:lineRule="auto"/>
        <w:rPr>
          <w:sz w:val="20"/>
          <w:szCs w:val="20"/>
          <w:color w:val="auto"/>
        </w:rPr>
      </w:pPr>
      <w:r>
        <w:rPr>
          <w:rFonts w:ascii="Arial" w:cs="Arial" w:eastAsia="Arial" w:hAnsi="Arial"/>
          <w:sz w:val="17"/>
          <w:szCs w:val="17"/>
          <w:u w:val="single" w:color="auto"/>
          <w:color w:val="auto"/>
        </w:rPr>
        <w:t>Annual Cash Incentive Plan</w:t>
      </w:r>
      <w:r>
        <w:rPr>
          <w:rFonts w:ascii="Arial" w:cs="Arial" w:eastAsia="Arial" w:hAnsi="Arial"/>
          <w:sz w:val="17"/>
          <w:szCs w:val="17"/>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and reducing costs. Awards under the plan are based on the actual Economic Value Added (EVA) achieved as compared against a threshold and target EVA performance goals established for each year by the Board of Directors. EVA is net operating profit after taxes, as defined,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color w:val="auto"/>
        </w:rPr>
        <w:t>achieved (0% to 100% of the target bonus amount). If the actual EVA achieved is greater than the target EVA performance goal, then the annual cash incentive plan award will be greater than 100% of the target amount with the total award being a certain prorata percent of the incremental EVA achieved above the target EVA.</w:t>
      </w:r>
    </w:p>
    <w:p>
      <w:pPr>
        <w:spacing w:after="0" w:line="119" w:lineRule="exact"/>
        <w:rPr>
          <w:sz w:val="20"/>
          <w:szCs w:val="20"/>
          <w:color w:val="auto"/>
        </w:rPr>
      </w:pPr>
    </w:p>
    <w:p>
      <w:pPr>
        <w:ind w:right="340" w:firstLine="345"/>
        <w:spacing w:after="0" w:line="276" w:lineRule="auto"/>
        <w:rPr>
          <w:sz w:val="20"/>
          <w:szCs w:val="20"/>
          <w:color w:val="auto"/>
        </w:rPr>
      </w:pPr>
      <w:r>
        <w:rPr>
          <w:rFonts w:ascii="Arial" w:cs="Arial" w:eastAsia="Arial" w:hAnsi="Arial"/>
          <w:sz w:val="17"/>
          <w:szCs w:val="17"/>
          <w:u w:val="single" w:color="auto"/>
          <w:color w:val="auto"/>
        </w:rPr>
        <w:t>Equity Incentive Compensation</w:t>
      </w:r>
      <w:r>
        <w:rPr>
          <w:rFonts w:ascii="Arial" w:cs="Arial" w:eastAsia="Arial" w:hAnsi="Arial"/>
          <w:sz w:val="17"/>
          <w:szCs w:val="17"/>
          <w:color w:val="auto"/>
        </w:rPr>
        <w:t>. The equity incentive compensation program is comprised of restricted stock awards that are (i) time-based and will vest, assuming continued employment, over a three-year period from the date of grant, (ii) earned upon achievement of certain short-term, annually determined performance criteria (STIP) and (iii) earned upon achievement of longer-term performance goals (LTIP).</w:t>
      </w:r>
    </w:p>
    <w:p>
      <w:pPr>
        <w:spacing w:after="0" w:line="176" w:lineRule="exact"/>
        <w:rPr>
          <w:sz w:val="20"/>
          <w:szCs w:val="20"/>
          <w:color w:val="auto"/>
        </w:rPr>
      </w:pPr>
    </w:p>
    <w:p>
      <w:pPr>
        <w:ind w:left="540" w:right="100" w:firstLine="430"/>
        <w:spacing w:after="0" w:line="286" w:lineRule="auto"/>
        <w:tabs>
          <w:tab w:leader="none" w:pos="1218"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Time-Based Awards. The annual time-based restricted stock awards for the Chief Executive Officer, Chief Financial Officer and Vice President of Operational Excellence are equal to a percentage of the officer's then annual salary divided by the share price (average of bid and ask) on the day of the first meeting of the Board of Directors that year ("First BOD meeting"). In March 2015, the Board granted Mr. Warzala 5,747 shares of time-based restricted stock (33.3% of annual salary) and Mr. Maida 1,191 shares of time-based restricted stock (16.0% of annual salary). The Board also made an award of time-based restricted stock to Mr. Wyman (240 shares). The time-based shares will vest 1/3 on each of March 31, 2016, 2017, and 2018. In August 2015, 2000 shares were granted to Mr. Leach when he joined the Company, which will vest 1/3 on each of September 30, 2016, 2017 and 2018.</w:t>
      </w:r>
    </w:p>
    <w:p>
      <w:pPr>
        <w:spacing w:after="0" w:line="172" w:lineRule="exact"/>
        <w:rPr>
          <w:rFonts w:ascii="Arial" w:cs="Arial" w:eastAsia="Arial" w:hAnsi="Arial"/>
          <w:sz w:val="16"/>
          <w:szCs w:val="16"/>
          <w:color w:val="auto"/>
        </w:rPr>
      </w:pPr>
    </w:p>
    <w:p>
      <w:pPr>
        <w:ind w:left="540" w:right="20" w:firstLine="387"/>
        <w:spacing w:after="0" w:line="282" w:lineRule="auto"/>
        <w:tabs>
          <w:tab w:leader="none" w:pos="1226" w:val="left"/>
        </w:tabs>
        <w:numPr>
          <w:ilvl w:val="0"/>
          <w:numId w:val="9"/>
        </w:numPr>
        <w:rPr>
          <w:rFonts w:ascii="Arial" w:cs="Arial" w:eastAsia="Arial" w:hAnsi="Arial"/>
          <w:sz w:val="16"/>
          <w:szCs w:val="16"/>
          <w:color w:val="auto"/>
        </w:rPr>
      </w:pPr>
      <w:r>
        <w:rPr>
          <w:rFonts w:ascii="Arial" w:cs="Arial" w:eastAsia="Arial" w:hAnsi="Arial"/>
          <w:sz w:val="16"/>
          <w:szCs w:val="16"/>
          <w:color w:val="auto"/>
        </w:rPr>
        <w:t>Short-Term Equity Incentive Program (STIP). The STIP is a pay-for-performance incentive program under which restricted stock is awarded annually and earned upon the achievement of certain annually determined performance criteria. The Compensation Committee uses adjusted EBITDA as the performance criteria under the STIP and measures the Company's results against threshold, target and high performance measures. The STIP target is equal to the weighted average of the EBITDA of the Company, adjusted to account for business development costs relating to acquisitions, for the immediately preceding three year period. The STIP threshold is 95% of target and the STIP high performance measure is 105% of target. If the STIP high performance measure is achieved or exceeded, then all of the STIP shares will be earned. If the Company's actual results are less than the STIP high performance measure but greater than the STIP threshold, then the STIP shares will be earned on a prorata basis. If the Company's actual results are less than the STIP threshold, then no STIP shares will be earned. Any unearned STIP shares will be forfeited and returned to the Stock Incentive Plan and be available for future awards. Once earned, the STIP shares will vest 1/3 on the date of the first BOD meeting following the year the shares are earned, and the remainder will vest annually over the following two years. The Board of Directors may change the terms of the STIP at any time taking into consideration the relationship of the incentive pay earned to the increase in profitability achieved for any period.</w:t>
      </w:r>
    </w:p>
    <w:p>
      <w:pPr>
        <w:spacing w:after="0" w:line="174" w:lineRule="exact"/>
        <w:rPr>
          <w:sz w:val="20"/>
          <w:szCs w:val="20"/>
          <w:color w:val="auto"/>
        </w:rPr>
      </w:pPr>
    </w:p>
    <w:p>
      <w:pPr>
        <w:ind w:left="540" w:firstLine="342"/>
        <w:spacing w:after="0" w:line="267" w:lineRule="auto"/>
        <w:rPr>
          <w:sz w:val="20"/>
          <w:szCs w:val="20"/>
          <w:color w:val="auto"/>
        </w:rPr>
      </w:pPr>
      <w:r>
        <w:rPr>
          <w:rFonts w:ascii="Arial" w:cs="Arial" w:eastAsia="Arial" w:hAnsi="Arial"/>
          <w:sz w:val="17"/>
          <w:szCs w:val="17"/>
          <w:color w:val="auto"/>
        </w:rPr>
        <w:t>The annual STIP awards for the Chief Executive Officer, Chief Financial Officer and Vice President of Operational Excellence are equal to a percentage of the officer's then annual salary divided by the share price (average of bid and ask) on the day of the First BOD meeting. In March 2015, the Compensation Committee approved the award of 11,494 STIP shares for Mr. Warzala (100% of annual salary), and 595 shares for Mr. Maida (24% of annual salary) and in March 2016 approved an award of 1,430 shares for 2015 for Mr. Leach (25% of annual salary). The Compensation Committee also made an award of 360 shares for Mr. Wyman. The STIP awards are each in the form of restricted stock. The performance targets established for the STIP were met during 2015 and 100% of each officers' STIP shares were earned.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540" w:right="120" w:firstLine="343"/>
        <w:spacing w:after="0" w:line="286" w:lineRule="auto"/>
        <w:tabs>
          <w:tab w:leader="none" w:pos="12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Long-Term Equity Incentive Program (LTIP). The LTIP is a five year pay-for-performance incentive program under which the CEO, CFO and Vice President of Operational Excellence will earn shares based upon the achievement of an increase in sales over a specified period. The sales target to be achieved over the initial five year period implemented in 2013 and ending December 31, 2017 was $250 million ("Sales Target"). In 2015, the Sales Target was increased by $30 million and the LTIP was extended for an additional year through December 31, 2018. The Sales Target can be achieved in two ways —organic sales growth and acquired sales (defined as the actual sales achieved by any company or business unit acquired by Allied Motion for the trailing twelve months immediately preceding the closing date of such acquisition).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target incentive compensation to be paid upon the achievement of the Sales Target was originally set as the award of the number of shares that equals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$2,050,000 for the CEO (500% of annual salary at the beginning of the performance period) and $205,000 for the then current CFO, now Vice President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Operational Excellence (120% of annual salary at the beginning of the performance period), paid on a prorata basis as all or a portion of the Sales Target is achieved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during the performance period. As of the end of 2014, almost the entire Sales Target had been achieved so the LTIP was amended to increase the Sales Target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$30 million and the incentive compensation that could be earned was increased by 100% of annual salary at the time the LTIP was amended ($475,000 for the CEO,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$205,000 for the then current CFO, now Vice President of Operational Excellence, and $260,000 for the new CFO who joined the Company in August 2015).</w:t>
      </w:r>
    </w:p>
    <w:p>
      <w:pPr>
        <w:spacing w:after="0" w:line="234" w:lineRule="exact"/>
        <w:rPr>
          <w:sz w:val="20"/>
          <w:szCs w:val="20"/>
          <w:color w:val="auto"/>
        </w:rPr>
      </w:pPr>
    </w:p>
    <w:p>
      <w:pPr>
        <w:ind w:firstLine="342"/>
        <w:spacing w:after="0" w:line="283" w:lineRule="auto"/>
        <w:rPr>
          <w:sz w:val="20"/>
          <w:szCs w:val="20"/>
          <w:color w:val="auto"/>
        </w:rPr>
      </w:pPr>
      <w:r>
        <w:rPr>
          <w:rFonts w:ascii="Arial" w:cs="Arial" w:eastAsia="Arial" w:hAnsi="Arial"/>
          <w:sz w:val="16"/>
          <w:szCs w:val="16"/>
          <w:color w:val="auto"/>
        </w:rPr>
        <w:t>The LTIP performance criteria for organic sales growth is measured after the end of each year of the performance period at the First BOD Meeting and the number of shares earned will be calculated based on the stock price (average of bid and ask) as measured at the beginning of the previous year (or for 2013, the date the LTIP was adopted). The LTIP shares that are earned based on actual organic sales growth will vest 1/3 on the date of the first BOD meeting following the year the shares are earned and the remainder will vest annually over the following two years. The LTIP performance criteria for acquired sales is measured as of the closing date for an acquisition during the performance period and the number of shares earned will be calculated based on the stock price (average of bid and ask) as measured at the beginning of the year (or for 2013, the date the LTIP was adopted). The LTIP shares that are earned based on acquired sales will vest annually (1/5 each year) over the following five years. When calculating the increase in sales, the Company will make appropriate adjustments to account for any acquired sales for which a LTIP payment has been paid. If the recipient's employment with the Company is terminated due to cause or voluntary resignation, any unvested LTIP shares will be forfeited.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2015, no shares were earned under the Long-Term Incentive Program.</w:t>
      </w:r>
    </w:p>
    <w:p>
      <w:pPr>
        <w:spacing w:after="0" w:line="230" w:lineRule="exact"/>
        <w:rPr>
          <w:sz w:val="20"/>
          <w:szCs w:val="20"/>
          <w:color w:val="auto"/>
        </w:rPr>
      </w:pPr>
    </w:p>
    <w:p>
      <w:pPr>
        <w:jc w:val="both"/>
        <w:ind w:right="20" w:firstLine="345"/>
        <w:spacing w:after="0" w:line="328" w:lineRule="auto"/>
        <w:rPr>
          <w:sz w:val="20"/>
          <w:szCs w:val="20"/>
          <w:color w:val="auto"/>
        </w:rPr>
      </w:pPr>
      <w:r>
        <w:rPr>
          <w:rFonts w:ascii="Arial" w:cs="Arial" w:eastAsia="Arial" w:hAnsi="Arial"/>
          <w:sz w:val="15"/>
          <w:szCs w:val="15"/>
          <w:u w:val="single" w:color="auto"/>
          <w:color w:val="auto"/>
        </w:rPr>
        <w:t>Deferred Compensation (DCP)</w:t>
      </w:r>
      <w:r>
        <w:rPr>
          <w:rFonts w:ascii="Arial" w:cs="Arial" w:eastAsia="Arial" w:hAnsi="Arial"/>
          <w:sz w:val="15"/>
          <w:szCs w:val="15"/>
          <w:color w:val="auto"/>
        </w:rPr>
        <w:t>. The Company maintains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During 2015, no participants elected to defer any compensation under the Plan.</w:t>
      </w:r>
    </w:p>
    <w:p>
      <w:pPr>
        <w:spacing w:after="0" w:line="143"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color w:val="auto"/>
        </w:rPr>
        <w:t>In accordance with Mr. Warzala's employment agreement, the Company will make a supplemental retirement contribution, under the discretionary contribution provisions of the DCP, of $153,856 each May beginning in 2011 and ending in 2017. The terms of the contribution are further discussed below under the heading Chief Executive Officer Employment Agreement—Nonqualified Deferred Compensation.</w:t>
      </w:r>
    </w:p>
    <w:p>
      <w:pPr>
        <w:spacing w:after="0" w:line="176" w:lineRule="exact"/>
        <w:rPr>
          <w:sz w:val="20"/>
          <w:szCs w:val="20"/>
          <w:color w:val="auto"/>
        </w:rPr>
      </w:pPr>
    </w:p>
    <w:p>
      <w:pPr>
        <w:ind w:right="160" w:firstLine="345"/>
        <w:spacing w:after="0" w:line="276" w:lineRule="auto"/>
        <w:rPr>
          <w:sz w:val="20"/>
          <w:szCs w:val="20"/>
          <w:color w:val="auto"/>
        </w:rPr>
      </w:pPr>
      <w:r>
        <w:rPr>
          <w:rFonts w:ascii="Arial" w:cs="Arial" w:eastAsia="Arial" w:hAnsi="Arial"/>
          <w:sz w:val="17"/>
          <w:szCs w:val="17"/>
          <w:color w:val="auto"/>
        </w:rPr>
        <w:t>Under the DCP, Mr. Warzala will also receive an annual performance based contribution to his deferred compensation account based on the achievement of a minimum return on equity (the "DCP Performance Target") determined each year by the Board of Directors within 90 days of the beginning of the performance period. If the DCP Performance Target is achieved, an amount equal to 12.5% 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the excess over the DCP Performance Target is contributed to Mr. Warzala's deferred compensation account, provided that performance contribution will be capped at an amount that is equal to one times Mr. Warzala's base compensation in any given year. The DCP performance target was set at 12.0% return on equity for 2015 and such performance target was achieved. Accordingly, a performance contribution of $468,000 was contributed to the Plan for Mr. Warzala.</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30" w:lineRule="exact"/>
        <w:rPr>
          <w:sz w:val="20"/>
          <w:szCs w:val="20"/>
          <w:color w:val="auto"/>
        </w:rPr>
      </w:pPr>
    </w:p>
    <w:p>
      <w:pPr>
        <w:ind w:firstLine="342"/>
        <w:spacing w:after="0" w:line="292" w:lineRule="auto"/>
        <w:rPr>
          <w:sz w:val="20"/>
          <w:szCs w:val="20"/>
          <w:color w:val="auto"/>
        </w:rPr>
      </w:pPr>
      <w:r>
        <w:rPr>
          <w:rFonts w:ascii="Arial" w:cs="Arial" w:eastAsia="Arial" w:hAnsi="Arial"/>
          <w:sz w:val="16"/>
          <w:szCs w:val="16"/>
          <w:color w:val="auto"/>
        </w:rPr>
        <w:t>The Company provides executive officers with perquisites and other benefits that the Company and the Committee believe are reasonable and consistent with its overall compensation program. The Committee periodically reviews the levels of perquisites and other benefits provided to executive officers. Mr. Warzala is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68" w:lineRule="exact"/>
        <w:rPr>
          <w:sz w:val="20"/>
          <w:szCs w:val="20"/>
          <w:color w:val="auto"/>
        </w:rPr>
      </w:pPr>
    </w:p>
    <w:p>
      <w:pPr>
        <w:ind w:right="20" w:firstLine="342"/>
        <w:spacing w:after="0" w:line="266" w:lineRule="auto"/>
        <w:rPr>
          <w:sz w:val="20"/>
          <w:szCs w:val="20"/>
          <w:color w:val="auto"/>
        </w:rPr>
      </w:pPr>
      <w:r>
        <w:rPr>
          <w:rFonts w:ascii="Arial" w:cs="Arial" w:eastAsia="Arial" w:hAnsi="Arial"/>
          <w:sz w:val="17"/>
          <w:szCs w:val="17"/>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Deductibility of Compensation</w:t>
      </w:r>
    </w:p>
    <w:p>
      <w:pPr>
        <w:spacing w:after="0" w:line="230" w:lineRule="exact"/>
        <w:rPr>
          <w:sz w:val="20"/>
          <w:szCs w:val="20"/>
          <w:color w:val="auto"/>
        </w:rPr>
      </w:pPr>
    </w:p>
    <w:p>
      <w:pPr>
        <w:jc w:val="both"/>
        <w:ind w:right="40" w:firstLine="345"/>
        <w:spacing w:after="0" w:line="271" w:lineRule="auto"/>
        <w:rPr>
          <w:sz w:val="20"/>
          <w:szCs w:val="20"/>
          <w:color w:val="auto"/>
        </w:rPr>
      </w:pPr>
      <w:r>
        <w:rPr>
          <w:rFonts w:ascii="Arial" w:cs="Arial" w:eastAsia="Arial" w:hAnsi="Arial"/>
          <w:sz w:val="17"/>
          <w:szCs w:val="17"/>
          <w:color w:val="auto"/>
        </w:rPr>
        <w:t>Section 162(m) of the Internal Revenue Code limits the deductibility of compensation in excess of $1 million paid to certain Named Executive Officers, unless the compensation is performance based and satisfies other conditions. The Company's policy is to maximize the deductibility of compensation but does not preclude awards or payments that are not fully deductible if, in our judgment, such awards and payments are necessary to achieve our compensation objectives and to protect shareholder interests.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 Employment Agreement</w:t>
      </w:r>
    </w:p>
    <w:p>
      <w:pPr>
        <w:spacing w:after="0" w:line="236" w:lineRule="exact"/>
        <w:rPr>
          <w:sz w:val="20"/>
          <w:szCs w:val="20"/>
          <w:color w:val="auto"/>
        </w:rPr>
      </w:pPr>
    </w:p>
    <w:p>
      <w:pPr>
        <w:ind w:right="60" w:firstLine="342"/>
        <w:spacing w:after="0" w:line="276" w:lineRule="auto"/>
        <w:rPr>
          <w:sz w:val="20"/>
          <w:szCs w:val="20"/>
          <w:color w:val="auto"/>
        </w:rPr>
      </w:pPr>
      <w:r>
        <w:rPr>
          <w:rFonts w:ascii="Arial" w:cs="Arial" w:eastAsia="Arial" w:hAnsi="Arial"/>
          <w:sz w:val="17"/>
          <w:szCs w:val="17"/>
          <w:color w:val="auto"/>
        </w:rPr>
        <w:t>The Company has an employment agreement with Richard S. Warzala, President, Chief Executive Officer and Chairman of the Board. The Agreement continues on a year-to-year basis unless the Company or the officer gives termination notice at least 60 days prior to expiration of the term. The Agreement contains the provisions outlined below.</w:t>
      </w:r>
    </w:p>
    <w:p>
      <w:pPr>
        <w:spacing w:after="0" w:line="176"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 provides an annual base salary that may be reviewed annually for increase on a merit basis. Mr. Warzala's salary was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to $489,000 effective March 1, 2016.</w:t>
      </w:r>
    </w:p>
    <w:p>
      <w:pPr>
        <w:spacing w:after="0" w:line="164" w:lineRule="exact"/>
        <w:rPr>
          <w:sz w:val="20"/>
          <w:szCs w:val="20"/>
          <w:color w:val="auto"/>
        </w:rPr>
      </w:pPr>
    </w:p>
    <w:p>
      <w:pPr>
        <w:ind w:right="40" w:firstLine="342"/>
        <w:spacing w:after="0" w:line="292"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approved by the Board of Directors within ninety days of the beginning of the performance period. 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6"/>
          <w:szCs w:val="16"/>
          <w:i w:val="1"/>
          <w:iCs w:val="1"/>
          <w:color w:val="auto"/>
        </w:rPr>
        <w:t>Compensation Discussion and Analysis—Elements of Compensation—Annual Cash Incentive Plan.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firstLine="345"/>
        <w:spacing w:after="0" w:line="297" w:lineRule="auto"/>
        <w:rPr>
          <w:sz w:val="20"/>
          <w:szCs w:val="20"/>
          <w:color w:val="auto"/>
        </w:rPr>
      </w:pPr>
      <w:r>
        <w:rPr>
          <w:rFonts w:ascii="Arial" w:cs="Arial" w:eastAsia="Arial" w:hAnsi="Arial"/>
          <w:sz w:val="15"/>
          <w:szCs w:val="15"/>
          <w:i w:val="1"/>
          <w:iCs w:val="1"/>
          <w:color w:val="auto"/>
        </w:rPr>
        <w:t xml:space="preserve">Equity Incentive Compensation. </w:t>
      </w:r>
      <w:r>
        <w:rPr>
          <w:rFonts w:ascii="Arial" w:cs="Arial" w:eastAsia="Arial" w:hAnsi="Arial"/>
          <w:sz w:val="15"/>
          <w:szCs w:val="15"/>
          <w:color w:val="auto"/>
        </w:rPr>
        <w:t>The Company utilizes stock based awards for short- and long-term incentives. In making its determination regarding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w:t>
      </w:r>
    </w:p>
    <w:p>
      <w:pPr>
        <w:spacing w:after="0" w:line="3" w:lineRule="exact"/>
        <w:rPr>
          <w:sz w:val="20"/>
          <w:szCs w:val="20"/>
          <w:color w:val="auto"/>
        </w:rPr>
      </w:pPr>
    </w:p>
    <w:p>
      <w:pPr>
        <w:ind w:right="740"/>
        <w:spacing w:after="0" w:line="282" w:lineRule="auto"/>
        <w:rPr>
          <w:sz w:val="20"/>
          <w:szCs w:val="20"/>
          <w:color w:val="auto"/>
        </w:rPr>
      </w:pPr>
      <w:r>
        <w:rPr>
          <w:rFonts w:ascii="Arial" w:cs="Arial" w:eastAsia="Arial" w:hAnsi="Arial"/>
          <w:sz w:val="17"/>
          <w:szCs w:val="17"/>
          <w:color w:val="auto"/>
        </w:rPr>
        <w:t xml:space="preserve">Mr. Warzala's short-term and long-term equity incentive awards is set forth above under the heading </w:t>
      </w:r>
      <w:r>
        <w:rPr>
          <w:rFonts w:ascii="Arial" w:cs="Arial" w:eastAsia="Arial" w:hAnsi="Arial"/>
          <w:sz w:val="17"/>
          <w:szCs w:val="17"/>
          <w:i w:val="1"/>
          <w:iCs w:val="1"/>
          <w:color w:val="auto"/>
        </w:rPr>
        <w:t>Compensation Discussion and Analysis—Elements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Compensation—Equity Incentive Compensation</w:t>
      </w:r>
      <w:r>
        <w:rPr>
          <w:rFonts w:ascii="Arial" w:cs="Arial" w:eastAsia="Arial" w:hAnsi="Arial"/>
          <w:sz w:val="17"/>
          <w:szCs w:val="17"/>
          <w:color w:val="auto"/>
        </w:rPr>
        <w:t>.</w:t>
      </w:r>
    </w:p>
    <w:p>
      <w:pPr>
        <w:spacing w:after="0" w:line="171" w:lineRule="exact"/>
        <w:rPr>
          <w:sz w:val="20"/>
          <w:szCs w:val="20"/>
          <w:color w:val="auto"/>
        </w:rPr>
      </w:pPr>
    </w:p>
    <w:p>
      <w:pPr>
        <w:ind w:right="500" w:firstLine="345"/>
        <w:spacing w:after="0" w:line="268" w:lineRule="auto"/>
        <w:rPr>
          <w:sz w:val="20"/>
          <w:szCs w:val="20"/>
          <w:color w:val="auto"/>
        </w:rPr>
      </w:pPr>
      <w:r>
        <w:rPr>
          <w:rFonts w:ascii="Arial" w:cs="Arial" w:eastAsia="Arial" w:hAnsi="Arial"/>
          <w:sz w:val="17"/>
          <w:szCs w:val="17"/>
          <w:i w:val="1"/>
          <w:iCs w:val="1"/>
          <w:color w:val="auto"/>
        </w:rPr>
        <w:t xml:space="preserve">Nonqualified Deferred Compensation. </w:t>
      </w:r>
      <w:r>
        <w:rPr>
          <w:rFonts w:ascii="Arial" w:cs="Arial" w:eastAsia="Arial" w:hAnsi="Arial"/>
          <w:sz w:val="17"/>
          <w:szCs w:val="17"/>
          <w:color w:val="auto"/>
        </w:rPr>
        <w:t>Effective May 31, 2011 Mr. Warzala's employment agreement was amended to add supplemental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Under this amendment, the Company will make an annual contribution of $153,856 each May beginning in 2011 and ending in 2017. These contributions are guaranteed provided Mr. Warzala does not voluntarily terminate his employment and will be payable if his employment is terminated due to Employee's death, Disability, involuntary termination by the Company without Cause, or at any time and for good reason after a Change in Control. The contributions will be treated as Discretionary Contributions under the Deferred Compensation Plan.</w:t>
      </w:r>
    </w:p>
    <w:p>
      <w:pPr>
        <w:spacing w:after="0" w:line="184" w:lineRule="exact"/>
        <w:rPr>
          <w:sz w:val="20"/>
          <w:szCs w:val="20"/>
          <w:color w:val="auto"/>
        </w:rPr>
      </w:pPr>
    </w:p>
    <w:p>
      <w:pPr>
        <w:ind w:right="280" w:firstLine="345"/>
        <w:spacing w:after="0" w:line="276"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Mr. Warzala participates in other benefits and perquisites as are generally provided by the Company to its employees.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provides Mr. Warzala with an automobile, personal financial planning, an annual physical examination and with life insurance for which the executive may designate the beneficiaries.</w:t>
      </w:r>
    </w:p>
    <w:p>
      <w:pPr>
        <w:spacing w:after="0" w:line="176" w:lineRule="exact"/>
        <w:rPr>
          <w:sz w:val="20"/>
          <w:szCs w:val="20"/>
          <w:color w:val="auto"/>
        </w:rPr>
      </w:pPr>
    </w:p>
    <w:p>
      <w:pPr>
        <w:ind w:right="80" w:firstLine="345"/>
        <w:spacing w:after="0" w:line="291" w:lineRule="auto"/>
        <w:rPr>
          <w:sz w:val="20"/>
          <w:szCs w:val="20"/>
          <w:color w:val="auto"/>
        </w:rPr>
      </w:pPr>
      <w:r>
        <w:rPr>
          <w:rFonts w:ascii="Arial" w:cs="Arial" w:eastAsia="Arial" w:hAnsi="Arial"/>
          <w:sz w:val="17"/>
          <w:szCs w:val="17"/>
          <w:color w:val="auto"/>
        </w:rPr>
        <w:t>In the event of termination pursuant to a change in control, the Agreements provide for continuation of salary, insurance benefits and other bonus prorations or settlements as outlined below.</w:t>
      </w:r>
    </w:p>
    <w:p>
      <w:pPr>
        <w:spacing w:after="0" w:line="164" w:lineRule="exact"/>
        <w:rPr>
          <w:sz w:val="20"/>
          <w:szCs w:val="20"/>
          <w:color w:val="auto"/>
        </w:rPr>
      </w:pPr>
    </w:p>
    <w:p>
      <w:pPr>
        <w:ind w:right="160" w:firstLine="345"/>
        <w:spacing w:after="0" w:line="291"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Payments upon retirement will be made pursuant to a retirement arrangement established with the Named Officer's consent, which may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settlement of the Annual Incentive Bonus for the current year.</w:t>
      </w:r>
    </w:p>
    <w:p>
      <w:pPr>
        <w:spacing w:after="0" w:line="164" w:lineRule="exact"/>
        <w:rPr>
          <w:sz w:val="20"/>
          <w:szCs w:val="20"/>
          <w:color w:val="auto"/>
        </w:rPr>
      </w:pPr>
    </w:p>
    <w:p>
      <w:pPr>
        <w:ind w:right="140" w:firstLine="345"/>
        <w:spacing w:after="0" w:line="291" w:lineRule="auto"/>
        <w:rPr>
          <w:sz w:val="20"/>
          <w:szCs w:val="20"/>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Termination for cause payments include salary continuation through the date of termination and benefit continuation until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termination month.</w:t>
      </w:r>
    </w:p>
    <w:p>
      <w:pPr>
        <w:spacing w:after="0" w:line="164" w:lineRule="exact"/>
        <w:rPr>
          <w:sz w:val="20"/>
          <w:szCs w:val="20"/>
          <w:color w:val="auto"/>
        </w:rPr>
      </w:pPr>
    </w:p>
    <w:p>
      <w:pPr>
        <w:ind w:right="540" w:firstLine="345"/>
        <w:spacing w:after="0" w:line="291"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Any proration of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Bonus is at the Board of Directors' discretion.</w:t>
      </w:r>
    </w:p>
    <w:p>
      <w:pPr>
        <w:spacing w:after="0" w:line="164" w:lineRule="exact"/>
        <w:rPr>
          <w:sz w:val="20"/>
          <w:szCs w:val="20"/>
          <w:color w:val="auto"/>
        </w:rPr>
      </w:pPr>
    </w:p>
    <w:p>
      <w:pPr>
        <w:ind w:right="100" w:firstLine="345"/>
        <w:spacing w:after="0" w:line="300"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right="20" w:firstLine="345"/>
        <w:spacing w:after="0" w:line="268" w:lineRule="auto"/>
        <w:rPr>
          <w:sz w:val="20"/>
          <w:szCs w:val="20"/>
          <w:color w:val="auto"/>
        </w:rPr>
      </w:pPr>
      <w:r>
        <w:rPr>
          <w:rFonts w:ascii="Arial" w:cs="Arial" w:eastAsia="Arial" w:hAnsi="Arial"/>
          <w:sz w:val="17"/>
          <w:szCs w:val="17"/>
          <w:i w:val="1"/>
          <w:iCs w:val="1"/>
          <w:color w:val="auto"/>
        </w:rPr>
        <w:t xml:space="preserve">Involuntary Termination for other than Cause, Retirement, Death or Disability. </w:t>
      </w:r>
      <w:r>
        <w:rPr>
          <w:rFonts w:ascii="Arial" w:cs="Arial" w:eastAsia="Arial" w:hAnsi="Arial"/>
          <w:sz w:val="17"/>
          <w:szCs w:val="17"/>
          <w:color w:val="auto"/>
        </w:rPr>
        <w:t>Involuntary termination payments include salary continuation through the end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36" w:lineRule="exact"/>
        <w:rPr>
          <w:sz w:val="20"/>
          <w:szCs w:val="20"/>
          <w:color w:val="auto"/>
        </w:rPr>
      </w:pPr>
    </w:p>
    <w:p>
      <w:pPr>
        <w:jc w:val="both"/>
        <w:ind w:right="40" w:firstLine="345"/>
        <w:spacing w:after="0" w:line="276" w:lineRule="auto"/>
        <w:rPr>
          <w:sz w:val="20"/>
          <w:szCs w:val="20"/>
          <w:color w:val="auto"/>
        </w:rPr>
      </w:pPr>
      <w:r>
        <w:rPr>
          <w:rFonts w:ascii="Arial" w:cs="Arial" w:eastAsia="Arial" w:hAnsi="Arial"/>
          <w:sz w:val="17"/>
          <w:szCs w:val="17"/>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76" w:lineRule="exact"/>
        <w:rPr>
          <w:sz w:val="20"/>
          <w:szCs w:val="20"/>
          <w:color w:val="auto"/>
        </w:rPr>
      </w:pPr>
    </w:p>
    <w:p>
      <w:pPr>
        <w:ind w:right="360" w:firstLine="342"/>
        <w:spacing w:after="0" w:line="276" w:lineRule="auto"/>
        <w:rPr>
          <w:sz w:val="20"/>
          <w:szCs w:val="20"/>
          <w:color w:val="auto"/>
        </w:rPr>
      </w:pPr>
      <w:r>
        <w:rPr>
          <w:rFonts w:ascii="Arial" w:cs="Arial" w:eastAsia="Arial" w:hAnsi="Arial"/>
          <w:sz w:val="17"/>
          <w:szCs w:val="17"/>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Submitted by:</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COMPENSATION COMMITTEE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Richard D. Federico, Chairman</w:t>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Gerald J. Laber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Alexis P. Michas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6" w:lineRule="exact"/>
        <w:rPr>
          <w:sz w:val="20"/>
          <w:szCs w:val="20"/>
          <w:color w:val="auto"/>
        </w:rPr>
      </w:pPr>
    </w:p>
    <w:p>
      <w:pPr>
        <w:ind w:right="280" w:firstLine="342"/>
        <w:spacing w:after="0" w:line="291" w:lineRule="auto"/>
        <w:rPr>
          <w:sz w:val="20"/>
          <w:szCs w:val="20"/>
          <w:color w:val="auto"/>
        </w:rPr>
      </w:pPr>
      <w:r>
        <w:rPr>
          <w:rFonts w:ascii="Arial" w:cs="Arial" w:eastAsia="Arial" w:hAnsi="Arial"/>
          <w:sz w:val="17"/>
          <w:szCs w:val="17"/>
          <w:color w:val="auto"/>
        </w:rPr>
        <w:t>The following table presents information relating to total compensation of the Executive Officers of the Company (the "Named Executive Officers") for the fiscal years ended December 31, 2015,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Non-Equity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97"/>
              <w:spacing w:after="0" w:line="146"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80"/>
              <w:spacing w:after="0" w:line="146" w:lineRule="exact"/>
              <w:rPr>
                <w:sz w:val="20"/>
                <w:szCs w:val="20"/>
                <w:color w:val="auto"/>
              </w:rPr>
            </w:pPr>
            <w:r>
              <w:rPr>
                <w:rFonts w:ascii="Arial" w:cs="Arial" w:eastAsia="Arial" w:hAnsi="Arial"/>
                <w:sz w:val="13"/>
                <w:szCs w:val="13"/>
                <w:b w:val="1"/>
                <w:bCs w:val="1"/>
                <w:color w:val="auto"/>
              </w:rPr>
              <w:t>All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0" w:type="dxa"/>
            <w:vAlign w:val="bottom"/>
            <w:gridSpan w:val="4"/>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w w:val="95"/>
              </w:rPr>
              <w:t>Awards(1)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Compensation(2)</w:t>
            </w:r>
          </w:p>
        </w:tc>
        <w:tc>
          <w:tcPr>
            <w:tcW w:w="60" w:type="dxa"/>
            <w:vAlign w:val="bottom"/>
          </w:tcPr>
          <w:p>
            <w:pPr>
              <w:spacing w:after="0"/>
              <w:rPr>
                <w:sz w:val="13"/>
                <w:szCs w:val="13"/>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7"/>
              </w:rPr>
              <w:t>Compensation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468,333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1,046,184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1,010,084(3)</w:t>
            </w: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210,194(4)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2,734,795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President and Chief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430,833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936,224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1,083,570</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217,065</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2,667,693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406,000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2,263,951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240,329</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203,137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3,113,417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600" w:type="dxa"/>
            <w:vAlign w:val="bottom"/>
            <w:gridSpan w:val="4"/>
          </w:tcPr>
          <w:p>
            <w:pPr>
              <w:spacing w:after="0"/>
              <w:rPr>
                <w:sz w:val="20"/>
                <w:szCs w:val="20"/>
                <w:color w:val="auto"/>
              </w:rPr>
            </w:pPr>
            <w:r>
              <w:rPr>
                <w:rFonts w:ascii="Arial" w:cs="Arial" w:eastAsia="Arial" w:hAnsi="Arial"/>
                <w:sz w:val="17"/>
                <w:szCs w:val="17"/>
                <w:color w:val="auto"/>
              </w:rPr>
              <w:t>Michael R. Leach</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113,333</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39,100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51,589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204,022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202,500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133,936</w:t>
            </w:r>
          </w:p>
        </w:tc>
        <w:tc>
          <w:tcPr>
            <w:tcW w:w="2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17,940(5)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462,758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Vice President of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187,500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162,328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Operational Excellence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175,000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63,748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522,570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600" w:type="dxa"/>
            <w:vAlign w:val="bottom"/>
            <w:gridSpan w:val="4"/>
          </w:tcPr>
          <w:p>
            <w:pPr>
              <w:spacing w:after="0"/>
              <w:rPr>
                <w:sz w:val="20"/>
                <w:szCs w:val="20"/>
                <w:color w:val="auto"/>
              </w:rPr>
            </w:pPr>
            <w:r>
              <w:rPr>
                <w:rFonts w:ascii="Arial" w:cs="Arial" w:eastAsia="Arial" w:hAnsi="Arial"/>
                <w:sz w:val="17"/>
                <w:szCs w:val="17"/>
                <w:color w:val="auto"/>
              </w:rPr>
              <w:t>Kenneth R. Wyman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159,333</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16,530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52,693</w:t>
            </w:r>
          </w:p>
        </w:tc>
        <w:tc>
          <w:tcPr>
            <w:tcW w:w="240" w:type="dxa"/>
            <w:vAlign w:val="bottom"/>
          </w:tcPr>
          <w:p>
            <w:pPr>
              <w:spacing w:after="0"/>
              <w:rPr>
                <w:sz w:val="24"/>
                <w:szCs w:val="24"/>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14,558(6)</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243,114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gridSpan w:val="3"/>
          </w:tcPr>
          <w:p>
            <w:pPr>
              <w:ind w:left="160"/>
              <w:spacing w:after="0"/>
              <w:rPr>
                <w:sz w:val="20"/>
                <w:szCs w:val="20"/>
                <w:color w:val="auto"/>
              </w:rPr>
            </w:pPr>
            <w:r>
              <w:rPr>
                <w:rFonts w:ascii="Arial" w:cs="Arial" w:eastAsia="Arial" w:hAnsi="Arial"/>
                <w:sz w:val="17"/>
                <w:szCs w:val="17"/>
                <w:color w:val="auto"/>
              </w:rPr>
              <w:t>Vice President of</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2014</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155,500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26,832</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60,365</w:t>
            </w:r>
          </w:p>
        </w:tc>
        <w:tc>
          <w:tcPr>
            <w:tcW w:w="240" w:type="dxa"/>
            <w:vAlign w:val="bottom"/>
          </w:tcPr>
          <w:p>
            <w:pPr>
              <w:spacing w:after="0"/>
              <w:rPr>
                <w:sz w:val="18"/>
                <w:szCs w:val="18"/>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17,942</w:t>
            </w:r>
          </w:p>
        </w:tc>
        <w:tc>
          <w:tcPr>
            <w:tcW w:w="2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260,638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80" w:type="dxa"/>
            <w:vAlign w:val="bottom"/>
            <w:gridSpan w:val="3"/>
          </w:tcPr>
          <w:p>
            <w:pPr>
              <w:ind w:left="160"/>
              <w:spacing w:after="0"/>
              <w:rPr>
                <w:sz w:val="20"/>
                <w:szCs w:val="20"/>
                <w:color w:val="auto"/>
              </w:rPr>
            </w:pPr>
            <w:r>
              <w:rPr>
                <w:rFonts w:ascii="Arial" w:cs="Arial" w:eastAsia="Arial" w:hAnsi="Arial"/>
                <w:sz w:val="17"/>
                <w:szCs w:val="17"/>
                <w:color w:val="auto"/>
              </w:rPr>
              <w:t>Marketing</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152,500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35,150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34,720</w:t>
            </w:r>
          </w:p>
        </w:tc>
        <w:tc>
          <w:tcPr>
            <w:tcW w:w="24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10,997</w:t>
            </w:r>
          </w:p>
        </w:tc>
        <w:tc>
          <w:tcPr>
            <w:tcW w:w="26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233,367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right="40" w:hanging="532"/>
        <w:spacing w:after="0" w:line="276"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total grant date fair value of stock awards on the date of the award. The awards consist of restricted shares with performance and/or service based vesting conditions. The fair values of these awards were based on the average closing bid and ask price of the Company's common stock as reported on the Nasdaq Global Market on the date of grant.</w:t>
      </w:r>
    </w:p>
    <w:p>
      <w:pPr>
        <w:spacing w:after="0" w:line="202"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Non-Equity Incentive Plan Compensation for 2015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89" w:lineRule="exact"/>
        <w:rPr>
          <w:rFonts w:ascii="Arial" w:cs="Arial" w:eastAsia="Arial" w:hAnsi="Arial"/>
          <w:sz w:val="17"/>
          <w:szCs w:val="17"/>
          <w:color w:val="auto"/>
        </w:rPr>
      </w:pPr>
    </w:p>
    <w:p>
      <w:pPr>
        <w:ind w:left="1680" w:right="740" w:hanging="532"/>
        <w:spacing w:after="0" w:line="291"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Non-Equity Incentive Plan Compensation for Mr. Warzala for 2015 includes a performance incentive contribution to the Deferred Compensation Plan of $468,000.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All Other Compensation for Mr. Warzala for 2015 includes (a) the Company's contribution of $17,940 to the Company's 401(k) Plan and Employee Stock Ownership Plan, (b) Company paid life insurance premiums of $24,999, (c) contribution under the Deferred Compensation Plan of $153,856 to provide Mr. Warzala supplemental retirement benefit, and (d) financial planning and physical examination services of $6,000 and (e) fair value of personal use of Company provided automobile of $7,399, as determined with reference to IRS regulations.</w:t>
      </w:r>
    </w:p>
    <w:p>
      <w:pPr>
        <w:spacing w:after="0" w:line="178" w:lineRule="exact"/>
        <w:rPr>
          <w:sz w:val="20"/>
          <w:szCs w:val="20"/>
          <w:color w:val="auto"/>
        </w:rPr>
      </w:pPr>
    </w:p>
    <w:p>
      <w:pPr>
        <w:sectPr>
          <w:pgSz w:w="11900" w:h="16838" w:orient="portrait"/>
          <w:cols w:equalWidth="0" w:num="2">
            <w:col w:w="1340" w:space="340"/>
            <w:col w:w="9700"/>
          </w:cols>
          <w:pgMar w:left="240" w:top="131" w:right="279" w:bottom="1440" w:gutter="0" w:footer="0" w:header="0"/>
        </w:sectPr>
      </w:pPr>
    </w:p>
    <w:p>
      <w:pPr>
        <w:ind w:left="1680" w:right="600" w:hanging="532"/>
        <w:spacing w:after="0" w:line="291"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Other Compensation for Mr. Maida for 2015 includes the Company's contribution of $17,940 to the Company's 401(k) Plan and Employee Stock Ownership Plan.</w:t>
      </w:r>
    </w:p>
    <w:p>
      <w:pPr>
        <w:spacing w:after="0" w:line="177" w:lineRule="exact"/>
        <w:rPr>
          <w:rFonts w:ascii="Arial" w:cs="Arial" w:eastAsia="Arial" w:hAnsi="Arial"/>
          <w:sz w:val="17"/>
          <w:szCs w:val="17"/>
          <w:color w:val="auto"/>
        </w:rPr>
      </w:pPr>
    </w:p>
    <w:p>
      <w:pPr>
        <w:ind w:left="1680" w:right="500" w:hanging="532"/>
        <w:spacing w:after="0" w:line="291" w:lineRule="auto"/>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Other Compensation for Mr. Wyman for 2015 includes the Company's contribution of $14,558 to the Company's 401(k) Plan and Employee Stock Ownership Plan.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2015</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grants of plan-based awards to each of the Named Executive Officers during fiscal year 2015.</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Estimated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6" w:lineRule="exact"/>
              <w:rPr>
                <w:sz w:val="20"/>
                <w:szCs w:val="20"/>
                <w:color w:val="auto"/>
              </w:rPr>
            </w:pPr>
            <w:r>
              <w:rPr>
                <w:rFonts w:ascii="Arial" w:cs="Arial" w:eastAsia="Arial" w:hAnsi="Arial"/>
                <w:sz w:val="13"/>
                <w:szCs w:val="13"/>
                <w:b w:val="1"/>
                <w:bCs w:val="1"/>
                <w:color w:val="auto"/>
                <w:w w:val="85"/>
              </w:rPr>
              <w:t>Possible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6" w:lineRule="exact"/>
              <w:rPr>
                <w:sz w:val="20"/>
                <w:szCs w:val="20"/>
                <w:color w:val="auto"/>
              </w:rPr>
            </w:pPr>
            <w:r>
              <w:rPr>
                <w:rFonts w:ascii="Arial" w:cs="Arial" w:eastAsia="Arial" w:hAnsi="Arial"/>
                <w:sz w:val="13"/>
                <w:szCs w:val="13"/>
                <w:b w:val="1"/>
                <w:bCs w:val="1"/>
                <w:color w:val="auto"/>
                <w:w w:val="90"/>
              </w:rPr>
              <w:t>Payouts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1"/>
              <w:spacing w:after="0" w:line="146" w:lineRule="exact"/>
              <w:rPr>
                <w:sz w:val="20"/>
                <w:szCs w:val="20"/>
                <w:color w:val="auto"/>
              </w:rPr>
            </w:pPr>
            <w:r>
              <w:rPr>
                <w:rFonts w:ascii="Arial" w:cs="Arial" w:eastAsia="Arial" w:hAnsi="Arial"/>
                <w:sz w:val="13"/>
                <w:szCs w:val="13"/>
                <w:b w:val="1"/>
                <w:bCs w:val="1"/>
                <w:color w:val="auto"/>
                <w:w w:val="95"/>
              </w:rPr>
              <w:t>Under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6" w:lineRule="exact"/>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2"/>
                <w:szCs w:val="12"/>
                <w:color w:val="auto"/>
              </w:rPr>
            </w:pPr>
          </w:p>
        </w:tc>
        <w:tc>
          <w:tcPr>
            <w:tcW w:w="18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88"/>
              </w:rPr>
              <w:t>Estimated Possible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160" w:type="dxa"/>
            <w:vAlign w:val="bottom"/>
          </w:tcPr>
          <w:p>
            <w:pPr>
              <w:spacing w:after="0"/>
              <w:rPr>
                <w:sz w:val="12"/>
                <w:szCs w:val="12"/>
                <w:color w:val="auto"/>
              </w:rPr>
            </w:pPr>
          </w:p>
        </w:tc>
        <w:tc>
          <w:tcPr>
            <w:tcW w:w="182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3"/>
              </w:rPr>
              <w:t>Payouts Under Equity</w:t>
            </w:r>
          </w:p>
        </w:tc>
        <w:tc>
          <w:tcPr>
            <w:tcW w:w="1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All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2"/>
              </w:rPr>
              <w:t>Awards(1)</w:t>
            </w:r>
          </w:p>
        </w:tc>
        <w:tc>
          <w:tcPr>
            <w:tcW w:w="160" w:type="dxa"/>
            <w:vAlign w:val="bottom"/>
          </w:tcPr>
          <w:p>
            <w:pPr>
              <w:spacing w:after="0"/>
              <w:rPr>
                <w:sz w:val="13"/>
                <w:szCs w:val="13"/>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Incentive Plan Awards</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Fair Value of</w:t>
            </w:r>
          </w:p>
        </w:tc>
        <w:tc>
          <w:tcPr>
            <w:tcW w:w="0" w:type="dxa"/>
            <w:vAlign w:val="bottom"/>
          </w:tcPr>
          <w:p>
            <w:pPr>
              <w:spacing w:after="0"/>
              <w:rPr>
                <w:sz w:val="1"/>
                <w:szCs w:val="1"/>
                <w:color w:val="auto"/>
              </w:rPr>
            </w:pPr>
          </w:p>
        </w:tc>
      </w:tr>
      <w:tr>
        <w:trPr>
          <w:trHeight w:val="139"/>
        </w:trPr>
        <w:tc>
          <w:tcPr>
            <w:tcW w:w="280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1"/>
              <w:spacing w:after="0" w:line="139" w:lineRule="exact"/>
              <w:rPr>
                <w:sz w:val="20"/>
                <w:szCs w:val="20"/>
                <w:color w:val="auto"/>
              </w:rPr>
            </w:pPr>
            <w:r>
              <w:rPr>
                <w:rFonts w:ascii="Arial" w:cs="Arial" w:eastAsia="Arial" w:hAnsi="Arial"/>
                <w:sz w:val="13"/>
                <w:szCs w:val="13"/>
                <w:b w:val="1"/>
                <w:bCs w:val="1"/>
                <w:color w:val="auto"/>
                <w:w w:val="93"/>
              </w:rPr>
              <w:t>Target($)</w:t>
            </w:r>
          </w:p>
        </w:tc>
        <w:tc>
          <w:tcPr>
            <w:tcW w:w="160" w:type="dxa"/>
            <w:vAlign w:val="bottom"/>
          </w:tcPr>
          <w:p>
            <w:pPr>
              <w:spacing w:after="0"/>
              <w:rPr>
                <w:sz w:val="12"/>
                <w:szCs w:val="12"/>
                <w:color w:val="auto"/>
              </w:rPr>
            </w:pPr>
          </w:p>
        </w:tc>
        <w:tc>
          <w:tcPr>
            <w:tcW w:w="720" w:type="dxa"/>
            <w:vAlign w:val="bottom"/>
          </w:tcPr>
          <w:p>
            <w:pPr>
              <w:jc w:val="right"/>
              <w:ind w:right="19"/>
              <w:spacing w:after="0" w:line="139" w:lineRule="exact"/>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2"/>
                <w:szCs w:val="12"/>
                <w:color w:val="auto"/>
              </w:rPr>
            </w:pPr>
          </w:p>
        </w:tc>
        <w:tc>
          <w:tcPr>
            <w:tcW w:w="940" w:type="dxa"/>
            <w:vAlign w:val="bottom"/>
          </w:tcPr>
          <w:p>
            <w:pPr>
              <w:jc w:val="right"/>
              <w:ind w:right="16"/>
              <w:spacing w:after="0" w:line="139"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Awards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Stock Awards(5)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Incentive Plan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327,833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STIP(2)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LTIP(3)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20,733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Time Based Awards(4)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auto"/>
              </w:rPr>
              <w:t>Michael R. Leach</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Arial" w:cs="Arial" w:eastAsia="Arial" w:hAnsi="Arial"/>
                <w:sz w:val="17"/>
                <w:szCs w:val="17"/>
                <w:color w:val="auto"/>
              </w:rPr>
              <w:t>Cash Incentive Plan</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8/10/2015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45,333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gridSpan w:val="3"/>
          </w:tcPr>
          <w:p>
            <w:pPr>
              <w:ind w:left="160"/>
              <w:spacing w:after="0"/>
              <w:rPr>
                <w:sz w:val="20"/>
                <w:szCs w:val="20"/>
                <w:color w:val="auto"/>
              </w:rPr>
            </w:pPr>
            <w:r>
              <w:rPr>
                <w:rFonts w:ascii="Arial" w:cs="Arial" w:eastAsia="Arial" w:hAnsi="Arial"/>
                <w:sz w:val="17"/>
                <w:szCs w:val="17"/>
                <w:color w:val="auto"/>
              </w:rPr>
              <w:t>Time Based Awards(4)</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8/10/2015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2,000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39,100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Incentive Plan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STIP(2)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LTIP(3)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Time Based Awards(4)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3/4/2015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Arial" w:cs="Arial" w:eastAsia="Arial" w:hAnsi="Arial"/>
                <w:sz w:val="17"/>
                <w:szCs w:val="17"/>
                <w:color w:val="auto"/>
              </w:rPr>
              <w:t>Cash Incentive Plan</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3"/>
              </w:rPr>
              <w:t>3/4/2015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31,867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Arial" w:cs="Arial" w:eastAsia="Arial" w:hAnsi="Arial"/>
                <w:sz w:val="17"/>
                <w:szCs w:val="17"/>
                <w:color w:val="auto"/>
              </w:rPr>
              <w:t>STIP(2)</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3"/>
              </w:rPr>
              <w:t>3/4/2015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180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360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gridSpan w:val="3"/>
          </w:tcPr>
          <w:p>
            <w:pPr>
              <w:ind w:left="160"/>
              <w:spacing w:after="0"/>
              <w:rPr>
                <w:sz w:val="20"/>
                <w:szCs w:val="20"/>
                <w:color w:val="auto"/>
              </w:rPr>
            </w:pPr>
            <w:r>
              <w:rPr>
                <w:rFonts w:ascii="Arial" w:cs="Arial" w:eastAsia="Arial" w:hAnsi="Arial"/>
                <w:sz w:val="17"/>
                <w:szCs w:val="17"/>
                <w:color w:val="auto"/>
              </w:rPr>
              <w:t>Time Based Awards(4)</w:t>
            </w:r>
          </w:p>
        </w:tc>
        <w:tc>
          <w:tcPr>
            <w:tcW w:w="900" w:type="dxa"/>
            <w:vAlign w:val="bottom"/>
            <w:gridSpan w:val="2"/>
          </w:tcPr>
          <w:p>
            <w:pPr>
              <w:jc w:val="center"/>
              <w:ind w:left="74"/>
              <w:spacing w:after="0"/>
              <w:rPr>
                <w:sz w:val="20"/>
                <w:szCs w:val="20"/>
                <w:color w:val="auto"/>
              </w:rPr>
            </w:pPr>
            <w:r>
              <w:rPr>
                <w:rFonts w:ascii="Arial" w:cs="Arial" w:eastAsia="Arial" w:hAnsi="Arial"/>
                <w:sz w:val="17"/>
                <w:szCs w:val="17"/>
                <w:color w:val="auto"/>
                <w:w w:val="93"/>
              </w:rPr>
              <w:t>3/4/2015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240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6,612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hanging="532"/>
        <w:spacing w:after="0" w:line="28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further explained in Compensation Discussion and Analysis—Elements of Compensation—Annual Cash Incentive Plan, the executive officers were eligible for a possible cash incentive award for 2015 pursuant to the Annual Cash Incentive Plan based on corporate performance. The table reflects the possible target incentive awards based on corporate performance. The target incentive is a percentage of the actual salary earned for the year and was set as follows: Mr. Warzala (70%), Mr. Leach (40%), Mr. Maida (40%) and Mr. Wyman (30%). There is no threshold or maximum amount under the Plan. The actual amount earned by each Named Executive Officer in 2015 is reported under the Non-Equity Incentive Plan Compensation column in the Summary Compensation Table.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As further explained in Compensation Discussion and Analysis—Elements of Compensation—Equity Incentive Compensation—Short-Term Equity Incentive Program above, the executive officers were eligible for restricted stock incentive performance based equity awards based on achievement of annual performance goals for 2015. If the threshold performance goals are not met, then 0% of the shares will be earned. If the target performance goals are met, approximately 50% of the STIP shares will be earned. If the maximum performance goals are met, 100% of the shares will be earned. For 2015, the maximum performance goal was met and the share award amount earned vested 1/3 on March 2, 2016 and the remainder will vest 1/3 on each of March 31, 2017 and 2018, subject to continued employment. Mr. Leach, who joined the Company as CFO in August 2015, participated prorata in the Short-term Equity Incentive Program during 2015, however the shares earned by Mr. Leach were granted at the First BOD meeting in 2016.</w:t>
      </w:r>
    </w:p>
    <w:p>
      <w:pPr>
        <w:spacing w:after="0" w:line="198" w:lineRule="exact"/>
        <w:rPr>
          <w:sz w:val="20"/>
          <w:szCs w:val="20"/>
          <w:color w:val="auto"/>
        </w:rPr>
      </w:pPr>
    </w:p>
    <w:p>
      <w:pPr>
        <w:sectPr>
          <w:pgSz w:w="11900" w:h="16838" w:orient="portrait"/>
          <w:cols w:equalWidth="0" w:num="2">
            <w:col w:w="1340" w:space="340"/>
            <w:col w:w="9740"/>
          </w:cols>
          <w:pgMar w:left="240" w:top="131" w:right="239" w:bottom="1440" w:gutter="0" w:footer="0" w:header="0"/>
        </w:sectPr>
      </w:pPr>
    </w:p>
    <w:p>
      <w:pPr>
        <w:ind w:left="1680" w:hanging="532"/>
        <w:spacing w:after="0" w:line="286"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further explained in Compensation Discussion and Analysis—Elements of Compensation—Equity Incentive Compensation—Long-Term Equity Incentive Program above, the executive officers are eligible for restricted stock incentive performance based equity awards based on achievement of longer term performance goals for 2013 through 2018. All or a portion of the performance shares will be earned if the performance goal is met for any year during the period ending December 31, 2018. Mr. Leach, who joined the Company as CFO in August 2015, participates in the Long-Term Equity Incentive Program, however shares were granted to Mr. Leach at the First BOD meeting in 2016. For 2015, no shares were earned under the Long-Term Incentive Program.</w:t>
      </w:r>
    </w:p>
    <w:p>
      <w:pPr>
        <w:spacing w:after="0" w:line="186" w:lineRule="exact"/>
        <w:rPr>
          <w:rFonts w:ascii="Arial" w:cs="Arial" w:eastAsia="Arial" w:hAnsi="Arial"/>
          <w:sz w:val="16"/>
          <w:szCs w:val="16"/>
          <w:color w:val="auto"/>
        </w:rPr>
      </w:pPr>
    </w:p>
    <w:p>
      <w:pPr>
        <w:ind w:left="1680" w:hanging="532"/>
        <w:spacing w:after="0"/>
        <w:tabs>
          <w:tab w:leader="none" w:pos="1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Time Based stock awards that will vest in three equal annual installments beginning in March 2016.</w:t>
      </w:r>
    </w:p>
    <w:p>
      <w:pPr>
        <w:spacing w:after="0" w:line="243" w:lineRule="exact"/>
        <w:rPr>
          <w:rFonts w:ascii="Arial" w:cs="Arial" w:eastAsia="Arial" w:hAnsi="Arial"/>
          <w:sz w:val="17"/>
          <w:szCs w:val="17"/>
          <w:color w:val="auto"/>
        </w:rPr>
      </w:pPr>
    </w:p>
    <w:p>
      <w:pPr>
        <w:ind w:left="1680" w:right="140" w:hanging="532"/>
        <w:spacing w:after="0" w:line="324"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The fair values of these awards are based on the average closing bid and ask price of the Company's common stock as reported on the Nasdaq Global Market on the date of grant.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2015 Fiscal Year End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the Named Executive Officers as of December 31, 2015.</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4"/>
              </w:rPr>
              <w:t>Equity Incentive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7"/>
              <w:spacing w:after="0" w:line="127" w:lineRule="exact"/>
              <w:rPr>
                <w:sz w:val="20"/>
                <w:szCs w:val="20"/>
                <w:color w:val="auto"/>
              </w:rPr>
            </w:pPr>
            <w:r>
              <w:rPr>
                <w:rFonts w:ascii="Arial" w:cs="Arial" w:eastAsia="Arial" w:hAnsi="Arial"/>
                <w:sz w:val="13"/>
                <w:szCs w:val="13"/>
                <w:b w:val="1"/>
                <w:bCs w:val="1"/>
                <w:color w:val="auto"/>
                <w:w w:val="91"/>
              </w:rPr>
              <w:t>Incentive Plan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Plan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4"/>
              </w:rPr>
              <w:t>Awards: market</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value or Payout</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2"/>
              </w:rPr>
              <w:t>Number of 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6"/>
              <w:spacing w:after="0" w:line="146" w:lineRule="exact"/>
              <w:rPr>
                <w:sz w:val="20"/>
                <w:szCs w:val="20"/>
                <w:color w:val="auto"/>
              </w:rPr>
            </w:pPr>
            <w:r>
              <w:rPr>
                <w:rFonts w:ascii="Arial" w:cs="Arial" w:eastAsia="Arial" w:hAnsi="Arial"/>
                <w:sz w:val="13"/>
                <w:szCs w:val="13"/>
                <w:b w:val="1"/>
                <w:bCs w:val="1"/>
                <w:color w:val="auto"/>
                <w:w w:val="97"/>
              </w:rPr>
              <w:t>Market Value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Unearned 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1"/>
              </w:rPr>
              <w:t>Value of Unearned</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2"/>
              </w:rPr>
              <w:t>or Units of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6"/>
              <w:spacing w:after="0" w:line="146" w:lineRule="exact"/>
              <w:rPr>
                <w:sz w:val="20"/>
                <w:szCs w:val="20"/>
                <w:color w:val="auto"/>
              </w:rPr>
            </w:pPr>
            <w:r>
              <w:rPr>
                <w:rFonts w:ascii="Arial" w:cs="Arial" w:eastAsia="Arial" w:hAnsi="Arial"/>
                <w:sz w:val="13"/>
                <w:szCs w:val="13"/>
                <w:b w:val="1"/>
                <w:bCs w:val="1"/>
                <w:color w:val="auto"/>
                <w:w w:val="91"/>
              </w:rPr>
              <w:t>Shares or Units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Units or 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Shares, Units or</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6"/>
              </w:rPr>
              <w:t>That Have 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6"/>
              <w:spacing w:after="0" w:line="146" w:lineRule="exact"/>
              <w:rPr>
                <w:sz w:val="20"/>
                <w:szCs w:val="20"/>
                <w:color w:val="auto"/>
              </w:rPr>
            </w:pPr>
            <w:r>
              <w:rPr>
                <w:rFonts w:ascii="Arial" w:cs="Arial" w:eastAsia="Arial" w:hAnsi="Arial"/>
                <w:sz w:val="13"/>
                <w:szCs w:val="13"/>
                <w:b w:val="1"/>
                <w:bCs w:val="1"/>
                <w:color w:val="auto"/>
                <w:w w:val="92"/>
              </w:rPr>
              <w:t>Stock That Have</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Rights That Have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4"/>
              </w:rPr>
              <w:t>Other Rights That</w:t>
            </w: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89"/>
              </w:rPr>
              <w:t>Vested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6"/>
              <w:spacing w:after="0" w:line="146" w:lineRule="exact"/>
              <w:rPr>
                <w:sz w:val="20"/>
                <w:szCs w:val="20"/>
                <w:color w:val="auto"/>
              </w:rPr>
            </w:pPr>
            <w:r>
              <w:rPr>
                <w:rFonts w:ascii="Arial" w:cs="Arial" w:eastAsia="Arial" w:hAnsi="Arial"/>
                <w:sz w:val="13"/>
                <w:szCs w:val="13"/>
                <w:b w:val="1"/>
                <w:bCs w:val="1"/>
                <w:color w:val="auto"/>
                <w:w w:val="91"/>
              </w:rPr>
              <w:t>Not Vested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Note 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have Not Vested</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860" w:type="dxa"/>
            <w:vAlign w:val="bottom"/>
            <w:gridSpan w:val="2"/>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4"/>
              </w:rPr>
              <w:t>($)(1)</w:t>
            </w: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214,115(3)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5,605,531</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25,169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658,924</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40" w:type="dxa"/>
            <w:vAlign w:val="bottom"/>
            <w:gridSpan w:val="3"/>
            <w:shd w:val="clear" w:color="auto" w:fill="CCEEFF"/>
          </w:tcPr>
          <w:p>
            <w:pPr>
              <w:spacing w:after="0" w:line="186" w:lineRule="exact"/>
              <w:rPr>
                <w:sz w:val="20"/>
                <w:szCs w:val="20"/>
                <w:color w:val="auto"/>
              </w:rPr>
            </w:pPr>
            <w:r>
              <w:rPr>
                <w:rFonts w:ascii="Arial" w:cs="Arial" w:eastAsia="Arial" w:hAnsi="Arial"/>
                <w:sz w:val="17"/>
                <w:szCs w:val="17"/>
                <w:color w:val="auto"/>
              </w:rPr>
              <w:t>Richard S. Warzala</w:t>
            </w:r>
          </w:p>
        </w:tc>
        <w:tc>
          <w:tcPr>
            <w:tcW w:w="158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gridSpan w:val="3"/>
          </w:tcPr>
          <w:p>
            <w:pPr>
              <w:spacing w:after="0"/>
              <w:rPr>
                <w:sz w:val="20"/>
                <w:szCs w:val="20"/>
                <w:color w:val="auto"/>
              </w:rPr>
            </w:pPr>
            <w:r>
              <w:rPr>
                <w:rFonts w:ascii="Arial" w:cs="Arial" w:eastAsia="Arial" w:hAnsi="Arial"/>
                <w:sz w:val="17"/>
                <w:szCs w:val="17"/>
                <w:color w:val="auto"/>
              </w:rPr>
              <w:t>Michael R. Leach</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2,000(4)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52,360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639,394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3,866(6)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101,212</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1680" w:right="320" w:hanging="532"/>
        <w:spacing w:after="0" w:line="291" w:lineRule="auto"/>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Value is based on the closing price of the Company's common stock of $26.18 on December 31, 2015, as reported on the Nasdaq Global Market.</w:t>
      </w:r>
    </w:p>
    <w:p>
      <w:pPr>
        <w:spacing w:after="0" w:line="177" w:lineRule="exact"/>
        <w:rPr>
          <w:rFonts w:ascii="Arial" w:cs="Arial" w:eastAsia="Arial" w:hAnsi="Arial"/>
          <w:sz w:val="17"/>
          <w:szCs w:val="17"/>
          <w:color w:val="auto"/>
        </w:rPr>
      </w:pPr>
    </w:p>
    <w:p>
      <w:pPr>
        <w:ind w:left="1680" w:hanging="532"/>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Comprised of shares of restricted stock that are subject to future performance goals under the Company's Long-Term Incentive Plan.</w:t>
      </w:r>
    </w:p>
    <w:p>
      <w:pPr>
        <w:spacing w:after="0" w:line="254" w:lineRule="exact"/>
        <w:rPr>
          <w:rFonts w:ascii="Arial" w:cs="Arial" w:eastAsia="Arial" w:hAnsi="Arial"/>
          <w:sz w:val="16"/>
          <w:szCs w:val="16"/>
          <w:color w:val="auto"/>
        </w:rPr>
      </w:pPr>
    </w:p>
    <w:p>
      <w:pPr>
        <w:ind w:left="1680" w:right="200" w:hanging="532"/>
        <w:spacing w:after="0" w:line="276" w:lineRule="auto"/>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11,494 shares of restricted stock that were earned based on achievement of performance goals for 2015, of which 3,832 shares vested on March 2, 2016. With respect to time based awards, including performance based awards that were previously earned but remain subject to time based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left="1680" w:right="240"/>
        <w:spacing w:after="0" w:line="276" w:lineRule="auto"/>
        <w:rPr>
          <w:sz w:val="20"/>
          <w:szCs w:val="20"/>
          <w:color w:val="auto"/>
        </w:rPr>
      </w:pPr>
      <w:r>
        <w:rPr>
          <w:rFonts w:ascii="Arial" w:cs="Arial" w:eastAsia="Arial" w:hAnsi="Arial"/>
          <w:sz w:val="17"/>
          <w:szCs w:val="17"/>
          <w:color w:val="auto"/>
        </w:rPr>
        <w:t>vesting, 39,877 shares vested on March 31, 2016; 45,046 vest on October 18, 2016; 29,524 shares vest on March 31, 2017; 45,046 shares vest on October 18, 2017; 5,746 shares vest on March 31, 2018; and 45,046 shares vest on October 18, 2018, in each case subject to continued employment.</w:t>
      </w:r>
    </w:p>
    <w:p>
      <w:pPr>
        <w:spacing w:after="0" w:line="189" w:lineRule="exact"/>
        <w:rPr>
          <w:sz w:val="20"/>
          <w:szCs w:val="20"/>
          <w:color w:val="auto"/>
        </w:rPr>
      </w:pPr>
    </w:p>
    <w:p>
      <w:pPr>
        <w:ind w:left="1680" w:right="940" w:hanging="532"/>
        <w:spacing w:after="0" w:line="291"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Comprised of 2,000 shares of time based awards that will vest 1/3 on September 30, 2016, 2017 and 2018, subject to continued employment.</w:t>
      </w:r>
    </w:p>
    <w:p>
      <w:pPr>
        <w:spacing w:after="0" w:line="190" w:lineRule="exact"/>
        <w:rPr>
          <w:rFonts w:ascii="Arial" w:cs="Arial" w:eastAsia="Arial" w:hAnsi="Arial"/>
          <w:sz w:val="17"/>
          <w:szCs w:val="17"/>
          <w:color w:val="auto"/>
        </w:rPr>
      </w:pPr>
    </w:p>
    <w:p>
      <w:pPr>
        <w:ind w:left="1680" w:right="20" w:hanging="532"/>
        <w:spacing w:after="0" w:line="268"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595 shares of restricted stock that were earned based on achievement of performance goals for 2015, of which 199 shares vested on March 2, 2016. With respect to time based awards, including performance based awards that were previously earned but remain subject to time based vesting, 6,726 shares vested on March 31, 2016; 4,615 vest on October 18, 2016; 3,060 shares vest on March 31, 2017; 4,614 shares vest on October 18, 2017; 595 shares vest on March 31, 2018; and 4,614 shares vest on each of October 18, 2018, in each case subject to continued employment.</w:t>
      </w:r>
    </w:p>
    <w:p>
      <w:pPr>
        <w:spacing w:after="0" w:line="197" w:lineRule="exact"/>
        <w:rPr>
          <w:rFonts w:ascii="Arial" w:cs="Arial" w:eastAsia="Arial" w:hAnsi="Arial"/>
          <w:sz w:val="17"/>
          <w:szCs w:val="17"/>
          <w:color w:val="auto"/>
        </w:rPr>
      </w:pPr>
    </w:p>
    <w:p>
      <w:pPr>
        <w:ind w:left="1680" w:hanging="532"/>
        <w:spacing w:after="0" w:line="271"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360 shares of restricted stock that were earned based on achievement of performance goals for 2015, of which 120 shares vested on March 2, 2016. With respect to time based awards, including performance based awards that were previously earned but remain subject to time based vesting, 2,546 shares vested on March 31, 2016; 1,000 shares vest on March 31, 2017; and 200 shares vest on March 31, 2018, in each case subject to continued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 in 2015</w:t>
      </w:r>
    </w:p>
    <w:p>
      <w:pPr>
        <w:spacing w:after="0" w:line="236" w:lineRule="exact"/>
        <w:rPr>
          <w:sz w:val="20"/>
          <w:szCs w:val="20"/>
          <w:color w:val="auto"/>
        </w:rPr>
      </w:pPr>
    </w:p>
    <w:p>
      <w:pPr>
        <w:ind w:right="100" w:firstLine="342"/>
        <w:spacing w:after="0" w:line="291" w:lineRule="auto"/>
        <w:rPr>
          <w:sz w:val="20"/>
          <w:szCs w:val="20"/>
          <w:color w:val="auto"/>
        </w:rPr>
      </w:pPr>
      <w:r>
        <w:rPr>
          <w:rFonts w:ascii="Arial" w:cs="Arial" w:eastAsia="Arial" w:hAnsi="Arial"/>
          <w:sz w:val="17"/>
          <w:szCs w:val="17"/>
          <w:color w:val="auto"/>
        </w:rPr>
        <w:t>The following table provides information regarding restricted stock awards that vested during 2015 for each of the Named Officers. No options were owned or exercised by the Named Officers in 2015.</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840" w:type="dxa"/>
            <w:vAlign w:val="bottom"/>
            <w:gridSpan w:val="5"/>
          </w:tcPr>
          <w:p>
            <w:pPr>
              <w:ind w:left="9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1"/>
              </w:rPr>
              <w:t>Number of Shares</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
              <w:spacing w:after="0" w:line="127" w:lineRule="exact"/>
              <w:rPr>
                <w:sz w:val="20"/>
                <w:szCs w:val="20"/>
                <w:color w:val="auto"/>
              </w:rPr>
            </w:pPr>
            <w:r>
              <w:rPr>
                <w:rFonts w:ascii="Arial" w:cs="Arial" w:eastAsia="Arial" w:hAnsi="Arial"/>
                <w:sz w:val="13"/>
                <w:szCs w:val="13"/>
                <w:b w:val="1"/>
                <w:bCs w:val="1"/>
                <w:color w:val="auto"/>
                <w:w w:val="92"/>
              </w:rPr>
              <w:t>Value Realized 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Acquired on Vesting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Vesting</w:t>
            </w:r>
          </w:p>
        </w:tc>
        <w:tc>
          <w:tcPr>
            <w:tcW w:w="0" w:type="dxa"/>
            <w:vAlign w:val="bottom"/>
          </w:tcPr>
          <w:p>
            <w:pPr>
              <w:spacing w:after="0"/>
              <w:rPr>
                <w:sz w:val="1"/>
                <w:szCs w:val="1"/>
                <w:color w:val="auto"/>
              </w:rPr>
            </w:pPr>
          </w:p>
        </w:tc>
      </w:tr>
      <w:tr>
        <w:trPr>
          <w:trHeight w:val="159"/>
        </w:trPr>
        <w:tc>
          <w:tcPr>
            <w:tcW w:w="51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2,444,765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Michael R. Leach</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Kenneth R. Wyman</w:t>
            </w:r>
          </w:p>
        </w:tc>
        <w:tc>
          <w:tcPr>
            <w:tcW w:w="1340" w:type="dxa"/>
            <w:vAlign w:val="bottom"/>
          </w:tcPr>
          <w:p>
            <w:pPr>
              <w:jc w:val="right"/>
              <w:spacing w:after="0"/>
              <w:rPr>
                <w:sz w:val="20"/>
                <w:szCs w:val="20"/>
                <w:color w:val="auto"/>
              </w:rPr>
            </w:pPr>
            <w:r>
              <w:rPr>
                <w:rFonts w:ascii="Arial" w:cs="Arial" w:eastAsia="Arial" w:hAnsi="Arial"/>
                <w:sz w:val="17"/>
                <w:szCs w:val="17"/>
                <w:color w:val="auto"/>
              </w:rPr>
              <w:t>2,467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79,079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w:t>
      </w:r>
    </w:p>
    <w:p>
      <w:pPr>
        <w:spacing w:after="0" w:line="230" w:lineRule="exact"/>
        <w:rPr>
          <w:sz w:val="20"/>
          <w:szCs w:val="20"/>
          <w:color w:val="auto"/>
        </w:rPr>
      </w:pPr>
    </w:p>
    <w:p>
      <w:pPr>
        <w:ind w:right="560" w:firstLine="342"/>
        <w:spacing w:after="0" w:line="291" w:lineRule="auto"/>
        <w:rPr>
          <w:sz w:val="20"/>
          <w:szCs w:val="20"/>
          <w:color w:val="auto"/>
        </w:rPr>
      </w:pPr>
      <w:r>
        <w:rPr>
          <w:rFonts w:ascii="Arial" w:cs="Arial" w:eastAsia="Arial" w:hAnsi="Arial"/>
          <w:sz w:val="17"/>
          <w:szCs w:val="17"/>
          <w:color w:val="auto"/>
        </w:rPr>
        <w:t>The Company has an employment agreement with Richard S. Warzala, President, Chief Executive Officer and Chairman of the Board. The terms of this agreement are described in detail beginning on page 4 under the caption "Chief Executive Officer Employment Agreement".</w:t>
      </w:r>
    </w:p>
    <w:p>
      <w:pPr>
        <w:spacing w:after="0" w:line="164" w:lineRule="exact"/>
        <w:rPr>
          <w:sz w:val="20"/>
          <w:szCs w:val="20"/>
          <w:color w:val="auto"/>
        </w:rPr>
      </w:pPr>
    </w:p>
    <w:p>
      <w:pPr>
        <w:ind w:right="40" w:firstLine="342"/>
        <w:spacing w:after="0" w:line="268" w:lineRule="auto"/>
        <w:rPr>
          <w:sz w:val="20"/>
          <w:szCs w:val="20"/>
          <w:color w:val="auto"/>
        </w:rPr>
      </w:pPr>
      <w:r>
        <w:rPr>
          <w:rFonts w:ascii="Arial" w:cs="Arial" w:eastAsia="Arial" w:hAnsi="Arial"/>
          <w:sz w:val="17"/>
          <w:szCs w:val="17"/>
          <w:color w:val="auto"/>
        </w:rPr>
        <w:t>The following table shows potential payouts under the Mr. Warzala's Employment Agreement assuming that employment was terminated in each situation listed in the table and that termination occurred on the last business day of 2015. The Agreement provides that upon termination of employment due to the executive's retirement, payments would be made in accordance with any retirement arrangement established with the executive's consent including the settlement of any annual bonus amounts for the year the retirement becomes effective. Upon a change in control of the Company, the executive would be entitled to payments and benefits under the change in control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agreement discussed below and such payments are not to be duplicated by any requirements of the Employment Agreement.</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Involuntary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6" w:lineRule="exact"/>
              <w:rPr>
                <w:sz w:val="20"/>
                <w:szCs w:val="20"/>
                <w:color w:val="auto"/>
              </w:rPr>
            </w:pPr>
            <w:r>
              <w:rPr>
                <w:rFonts w:ascii="Arial" w:cs="Arial" w:eastAsia="Arial" w:hAnsi="Arial"/>
                <w:sz w:val="13"/>
                <w:szCs w:val="13"/>
                <w:b w:val="1"/>
                <w:bCs w:val="1"/>
                <w:color w:val="auto"/>
                <w:w w:val="96"/>
              </w:rPr>
              <w:t>Involuntary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120"/>
              <w:spacing w:after="0" w:line="146" w:lineRule="exact"/>
              <w:rPr>
                <w:sz w:val="20"/>
                <w:szCs w:val="20"/>
                <w:color w:val="auto"/>
              </w:rPr>
            </w:pPr>
            <w:r>
              <w:rPr>
                <w:rFonts w:ascii="Arial" w:cs="Arial" w:eastAsia="Arial" w:hAnsi="Arial"/>
                <w:sz w:val="13"/>
                <w:szCs w:val="13"/>
                <w:b w:val="1"/>
                <w:bCs w:val="1"/>
                <w:color w:val="auto"/>
              </w:rPr>
              <w:t>Voluntary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0"/>
              </w:rPr>
              <w:t>without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500"/>
              <w:spacing w:after="0" w:line="146" w:lineRule="exact"/>
              <w:rPr>
                <w:sz w:val="20"/>
                <w:szCs w:val="20"/>
                <w:color w:val="auto"/>
              </w:rPr>
            </w:pPr>
            <w:r>
              <w:rPr>
                <w:rFonts w:ascii="Arial" w:cs="Arial" w:eastAsia="Arial" w:hAnsi="Arial"/>
                <w:sz w:val="13"/>
                <w:szCs w:val="13"/>
                <w:b w:val="1"/>
                <w:bCs w:val="1"/>
                <w:color w:val="auto"/>
              </w:rPr>
              <w:t>Death or</w:t>
            </w:r>
          </w:p>
        </w:tc>
      </w:tr>
      <w:tr>
        <w:trPr>
          <w:trHeight w:val="159"/>
        </w:trPr>
        <w:tc>
          <w:tcPr>
            <w:tcW w:w="4400" w:type="dxa"/>
            <w:vAlign w:val="bottom"/>
            <w:gridSpan w:val="4"/>
          </w:tcPr>
          <w:p>
            <w:pPr>
              <w:spacing w:after="0"/>
              <w:rPr>
                <w:sz w:val="20"/>
                <w:szCs w:val="20"/>
                <w:color w:val="auto"/>
              </w:rPr>
            </w:pPr>
            <w:r>
              <w:rPr>
                <w:rFonts w:ascii="Arial" w:cs="Arial" w:eastAsia="Arial" w:hAnsi="Arial"/>
                <w:sz w:val="13"/>
                <w:szCs w:val="13"/>
                <w:b w:val="1"/>
                <w:bCs w:val="1"/>
                <w:color w:val="auto"/>
              </w:rPr>
              <w:t>Benefits and Payments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3"/>
                <w:szCs w:val="13"/>
                <w:b w:val="1"/>
                <w:bCs w:val="1"/>
                <w:color w:val="auto"/>
                <w:w w:val="99"/>
              </w:rPr>
              <w:t>Resignation(1)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with Cause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Cause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6"/>
              </w:rPr>
              <w:t>Disability</w:t>
            </w:r>
          </w:p>
        </w:tc>
      </w:tr>
      <w:tr>
        <w:trPr>
          <w:trHeight w:val="20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Compensation:</w:t>
            </w:r>
          </w:p>
        </w:tc>
        <w:tc>
          <w:tcPr>
            <w:tcW w:w="29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ind w:left="160"/>
              <w:spacing w:after="0"/>
              <w:rPr>
                <w:sz w:val="20"/>
                <w:szCs w:val="20"/>
                <w:color w:val="auto"/>
              </w:rPr>
            </w:pPr>
            <w:r>
              <w:rPr>
                <w:rFonts w:ascii="Arial" w:cs="Arial" w:eastAsia="Arial" w:hAnsi="Arial"/>
                <w:sz w:val="17"/>
                <w:szCs w:val="17"/>
                <w:color w:val="auto"/>
              </w:rPr>
              <w:t>Severance Pay</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475,000(2)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118,750(3)</w:t>
            </w: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Annual Bonus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524,084(4)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427,500(5)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542,084(4)</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160"/>
              <w:spacing w:after="0"/>
              <w:rPr>
                <w:sz w:val="20"/>
                <w:szCs w:val="20"/>
                <w:color w:val="auto"/>
              </w:rPr>
            </w:pPr>
            <w:r>
              <w:rPr>
                <w:rFonts w:ascii="Arial" w:cs="Arial" w:eastAsia="Arial" w:hAnsi="Arial"/>
                <w:sz w:val="17"/>
                <w:szCs w:val="17"/>
                <w:color w:val="auto"/>
                <w:w w:val="95"/>
              </w:rPr>
              <w:t>Deferred Compensation Plan Performance Contribution(6)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468,000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468,000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468,000</w:t>
            </w:r>
          </w:p>
        </w:tc>
        <w:tc>
          <w:tcPr>
            <w:tcW w:w="3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Compensation Plan Discretionary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43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Contribution(7)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307,712</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307,712</w:t>
            </w:r>
          </w:p>
        </w:tc>
        <w:tc>
          <w:tcPr>
            <w:tcW w:w="3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ind w:left="160"/>
              <w:spacing w:after="0"/>
              <w:rPr>
                <w:sz w:val="20"/>
                <w:szCs w:val="20"/>
                <w:color w:val="auto"/>
              </w:rPr>
            </w:pPr>
            <w:r>
              <w:rPr>
                <w:rFonts w:ascii="Arial" w:cs="Arial" w:eastAsia="Arial" w:hAnsi="Arial"/>
                <w:sz w:val="17"/>
                <w:szCs w:val="17"/>
                <w:color w:val="auto"/>
              </w:rPr>
              <w:t>Long Term Incentive Payout(8)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Accelerated Vesting of Time-Based Equity Awards(9)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5,652,536</w:t>
            </w:r>
          </w:p>
        </w:tc>
        <w:tc>
          <w:tcPr>
            <w:tcW w:w="3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7"/>
                <w:szCs w:val="17"/>
                <w:color w:val="auto"/>
              </w:rPr>
              <w:t>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3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Healthcare and other Insurance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42,014(10)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r>
      <w:tr>
        <w:trPr>
          <w:trHeight w:val="206"/>
        </w:trPr>
        <w:tc>
          <w:tcPr>
            <w:tcW w:w="4400" w:type="dxa"/>
            <w:vAlign w:val="bottom"/>
            <w:gridSpan w:val="4"/>
          </w:tcPr>
          <w:p>
            <w:pPr>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1,010,084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1,720,226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7,089,082</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217" w:lineRule="exact"/>
        <w:rPr>
          <w:sz w:val="20"/>
          <w:szCs w:val="20"/>
          <w:color w:val="auto"/>
        </w:rPr>
      </w:pPr>
    </w:p>
    <w:p>
      <w:pPr>
        <w:ind w:left="1680" w:right="440" w:hanging="532"/>
        <w:spacing w:after="0" w:line="291"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Termination due to resignation does not affect the Company's obligation to make all payments to the executive which were fixed and determined prior to the effective date of termination.</w:t>
      </w:r>
    </w:p>
    <w:p>
      <w:pPr>
        <w:spacing w:after="0" w:line="190"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12 months Base Salary continuation after the month of termination.</w:t>
      </w:r>
    </w:p>
    <w:p>
      <w:pPr>
        <w:spacing w:after="0" w:line="243"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3 months Base Salary continuation after the month of termination. For Disability, the Company shall continue the executive's salary (adjusted for any compensation payable to him under any Company paid disability plan during such period) for the greater of (x) the remaining term of the Agreement or (y) until long term disability insurance coverage becomes effective.</w:t>
      </w:r>
    </w:p>
    <w:p>
      <w:pPr>
        <w:spacing w:after="0" w:line="189"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0.9 times Base Salary for the year in which the termination date occurs.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lump-sum payment of the current year Deferred Compensation Plan performance based award.</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acceleration of discretionary supplemental retirement contributions to the Deferred Compensation Plan.</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Long Term Incentive Payouts earned in the year in which the termination date occurs.</w:t>
      </w:r>
    </w:p>
    <w:p>
      <w:pPr>
        <w:spacing w:after="0" w:line="243"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$26.18 per share as of December 31, 2015, plus accrued dividends.</w:t>
      </w:r>
    </w:p>
    <w:p>
      <w:pPr>
        <w:spacing w:after="0" w:line="189" w:lineRule="exact"/>
        <w:rPr>
          <w:rFonts w:ascii="Arial" w:cs="Arial" w:eastAsia="Arial" w:hAnsi="Arial"/>
          <w:sz w:val="17"/>
          <w:szCs w:val="17"/>
          <w:color w:val="auto"/>
        </w:rPr>
      </w:pPr>
    </w:p>
    <w:p>
      <w:pPr>
        <w:ind w:left="1680" w:right="80" w:hanging="532"/>
        <w:spacing w:after="0" w:line="291"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estimated incremental cost to the Company for one year of health, dental, long-term disability and life insurance coverages based on the coverage that existed at the date of termination.</w:t>
      </w:r>
    </w:p>
    <w:p>
      <w:pPr>
        <w:spacing w:after="0" w:line="190" w:lineRule="exact"/>
        <w:rPr>
          <w:rFonts w:ascii="Arial" w:cs="Arial" w:eastAsia="Arial" w:hAnsi="Arial"/>
          <w:sz w:val="17"/>
          <w:szCs w:val="17"/>
          <w:color w:val="auto"/>
        </w:rPr>
      </w:pPr>
    </w:p>
    <w:p>
      <w:pPr>
        <w:ind w:left="1680" w:right="40" w:hanging="532"/>
        <w:spacing w:after="0" w:line="291" w:lineRule="auto"/>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Agreements</w:t>
      </w:r>
    </w:p>
    <w:p>
      <w:pPr>
        <w:spacing w:after="0" w:line="230" w:lineRule="exact"/>
        <w:rPr>
          <w:sz w:val="20"/>
          <w:szCs w:val="20"/>
          <w:color w:val="auto"/>
        </w:rPr>
      </w:pPr>
    </w:p>
    <w:p>
      <w:pPr>
        <w:ind w:right="20" w:firstLine="342"/>
        <w:spacing w:after="0" w:line="285" w:lineRule="auto"/>
        <w:rPr>
          <w:sz w:val="20"/>
          <w:szCs w:val="20"/>
          <w:color w:val="auto"/>
        </w:rPr>
      </w:pPr>
      <w:r>
        <w:rPr>
          <w:rFonts w:ascii="Arial" w:cs="Arial" w:eastAsia="Arial" w:hAnsi="Arial"/>
          <w:sz w:val="16"/>
          <w:szCs w:val="16"/>
          <w:color w:val="auto"/>
        </w:rPr>
        <w:t>The Company has also entered into separate agreements with Messrs. Warzala, Leach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in a lump sum in cash. The most significant components of those benefits are as follows:</w:t>
      </w:r>
    </w:p>
    <w:p>
      <w:pPr>
        <w:spacing w:after="0" w:line="185" w:lineRule="exact"/>
        <w:rPr>
          <w:sz w:val="20"/>
          <w:szCs w:val="20"/>
          <w:color w:val="auto"/>
        </w:rPr>
      </w:pPr>
    </w:p>
    <w:p>
      <w:pPr>
        <w:ind w:left="1060" w:hanging="522"/>
        <w:spacing w:after="0" w:line="324"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severance payment equal to a multiple (2.5 times for Mr. Warzala and 1.0 times for Messrs. Leach and Maida) of the executive's annual base salary plus the highest amount paid or payable pursuant to the annual incentive plan applicable to the executive for any of the 3 prior fiscal years;</w:t>
      </w:r>
    </w:p>
    <w:p>
      <w:pPr>
        <w:spacing w:after="0" w:line="167" w:lineRule="exact"/>
        <w:rPr>
          <w:rFonts w:ascii="Arial" w:cs="Arial" w:eastAsia="Arial" w:hAnsi="Arial"/>
          <w:sz w:val="16"/>
          <w:szCs w:val="16"/>
          <w:color w:val="auto"/>
        </w:rPr>
      </w:pPr>
    </w:p>
    <w:p>
      <w:pPr>
        <w:ind w:left="1060" w:hanging="522"/>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benefit payment equal to 25% of annual salary for 24 months to purchase healthcare and other insurance benefits;</w:t>
      </w:r>
    </w:p>
    <w:p>
      <w:pPr>
        <w:spacing w:after="0" w:line="243" w:lineRule="exact"/>
        <w:rPr>
          <w:rFonts w:ascii="Arial" w:cs="Arial" w:eastAsia="Arial" w:hAnsi="Arial"/>
          <w:sz w:val="17"/>
          <w:szCs w:val="17"/>
          <w:color w:val="auto"/>
        </w:rPr>
      </w:pPr>
    </w:p>
    <w:p>
      <w:pPr>
        <w:ind w:left="1060" w:right="120" w:hanging="522"/>
        <w:spacing w:after="0" w:line="291"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prorata payment for the current year benefit pursuant to any annual or long-term incentive plan applicable to the executive for the year that includes the Date of Termination.</w:t>
      </w:r>
    </w:p>
    <w:p>
      <w:pPr>
        <w:spacing w:after="0" w:line="177" w:lineRule="exact"/>
        <w:rPr>
          <w:rFonts w:ascii="Arial" w:cs="Arial" w:eastAsia="Arial" w:hAnsi="Arial"/>
          <w:sz w:val="17"/>
          <w:szCs w:val="17"/>
          <w:color w:val="auto"/>
        </w:rPr>
      </w:pPr>
    </w:p>
    <w:p>
      <w:pPr>
        <w:ind w:left="1060" w:hanging="522"/>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payment of all legal fees and expenses incurred as a result of termination; and</w:t>
      </w:r>
    </w:p>
    <w:p>
      <w:pPr>
        <w:spacing w:after="0" w:line="256" w:lineRule="exact"/>
        <w:rPr>
          <w:rFonts w:ascii="Arial" w:cs="Arial" w:eastAsia="Arial" w:hAnsi="Arial"/>
          <w:sz w:val="17"/>
          <w:szCs w:val="17"/>
          <w:color w:val="auto"/>
        </w:rPr>
      </w:pPr>
    </w:p>
    <w:p>
      <w:pPr>
        <w:ind w:left="1060" w:hanging="522"/>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gross-up payment for all excise taxes and related federal and state taxes so that the net payment equals the severance payment for Mr. Warzala.</w:t>
      </w:r>
    </w:p>
    <w:p>
      <w:pPr>
        <w:spacing w:after="0" w:line="241" w:lineRule="exact"/>
        <w:rPr>
          <w:sz w:val="20"/>
          <w:szCs w:val="20"/>
          <w:color w:val="auto"/>
        </w:rPr>
      </w:pPr>
    </w:p>
    <w:p>
      <w:pPr>
        <w:ind w:right="280" w:firstLine="342"/>
        <w:spacing w:after="0" w:line="291" w:lineRule="auto"/>
        <w:rPr>
          <w:sz w:val="20"/>
          <w:szCs w:val="20"/>
          <w:color w:val="auto"/>
        </w:rPr>
      </w:pPr>
      <w:r>
        <w:rPr>
          <w:rFonts w:ascii="Arial" w:cs="Arial" w:eastAsia="Arial" w:hAnsi="Arial"/>
          <w:sz w:val="17"/>
          <w:szCs w:val="17"/>
          <w:color w:val="auto"/>
        </w:rPr>
        <w:t>The following tables show potential payouts under the change of control agreements assuming that the employment of the executive was terminated in each situation listed in the table and that termination occurred on the last business day of 2015.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Richard S. Warzala</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2"/>
              <w:spacing w:after="0"/>
              <w:rPr>
                <w:sz w:val="20"/>
                <w:szCs w:val="20"/>
                <w:color w:val="auto"/>
              </w:rPr>
            </w:pPr>
            <w:r>
              <w:rPr>
                <w:rFonts w:ascii="Arial" w:cs="Arial" w:eastAsia="Arial" w:hAnsi="Arial"/>
                <w:sz w:val="13"/>
                <w:szCs w:val="13"/>
                <w:b w:val="1"/>
                <w:bCs w:val="1"/>
                <w:color w:val="auto"/>
                <w:w w:val="93"/>
              </w:rPr>
              <w:t>Voluntary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6" w:lineRule="exact"/>
              <w:rPr>
                <w:sz w:val="20"/>
                <w:szCs w:val="20"/>
                <w:color w:val="auto"/>
              </w:rPr>
            </w:pPr>
            <w:r>
              <w:rPr>
                <w:rFonts w:ascii="Arial" w:cs="Arial" w:eastAsia="Arial" w:hAnsi="Arial"/>
                <w:sz w:val="13"/>
                <w:szCs w:val="13"/>
                <w:b w:val="1"/>
                <w:bCs w:val="1"/>
                <w:color w:val="auto"/>
                <w:w w:val="91"/>
              </w:rPr>
              <w:t>Resignation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6"/>
              </w:rPr>
              <w:t>Voluntary</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3"/>
              </w:rPr>
              <w:t>without Good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Resignation with</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6" w:lineRule="exact"/>
              <w:rPr>
                <w:sz w:val="20"/>
                <w:szCs w:val="20"/>
                <w:color w:val="auto"/>
              </w:rPr>
            </w:pPr>
            <w:r>
              <w:rPr>
                <w:rFonts w:ascii="Arial" w:cs="Arial" w:eastAsia="Arial" w:hAnsi="Arial"/>
                <w:sz w:val="13"/>
                <w:szCs w:val="13"/>
                <w:b w:val="1"/>
                <w:bCs w:val="1"/>
                <w:color w:val="auto"/>
                <w:w w:val="88"/>
              </w:rPr>
              <w:t>Reason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Good Reason or</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6" w:lineRule="exact"/>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Involuntary</w:t>
            </w:r>
          </w:p>
        </w:tc>
      </w:tr>
      <w:tr>
        <w:trPr>
          <w:trHeight w:val="146"/>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6" w:lineRule="exact"/>
              <w:rPr>
                <w:sz w:val="20"/>
                <w:szCs w:val="20"/>
                <w:color w:val="auto"/>
              </w:rPr>
            </w:pPr>
            <w:r>
              <w:rPr>
                <w:rFonts w:ascii="Arial" w:cs="Arial" w:eastAsia="Arial" w:hAnsi="Arial"/>
                <w:sz w:val="13"/>
                <w:szCs w:val="13"/>
                <w:b w:val="1"/>
                <w:bCs w:val="1"/>
                <w:color w:val="auto"/>
                <w:w w:val="96"/>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4"/>
              </w:rPr>
              <w:t>Termination</w:t>
            </w:r>
          </w:p>
        </w:tc>
      </w:tr>
      <w:tr>
        <w:trPr>
          <w:trHeight w:val="159"/>
        </w:trPr>
        <w:tc>
          <w:tcPr>
            <w:tcW w:w="5520" w:type="dxa"/>
            <w:vAlign w:val="bottom"/>
            <w:gridSpan w:val="4"/>
          </w:tcPr>
          <w:p>
            <w:pPr>
              <w:spacing w:after="0"/>
              <w:rPr>
                <w:sz w:val="20"/>
                <w:szCs w:val="20"/>
                <w:color w:val="auto"/>
              </w:rPr>
            </w:pPr>
            <w:r>
              <w:rPr>
                <w:rFonts w:ascii="Arial" w:cs="Arial" w:eastAsia="Arial" w:hAnsi="Arial"/>
                <w:sz w:val="13"/>
                <w:szCs w:val="13"/>
                <w:b w:val="1"/>
                <w:bCs w:val="1"/>
                <w:color w:val="auto"/>
              </w:rPr>
              <w:t>Benefits and Payments</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2"/>
              <w:spacing w:after="0"/>
              <w:rPr>
                <w:sz w:val="20"/>
                <w:szCs w:val="20"/>
                <w:color w:val="auto"/>
              </w:rPr>
            </w:pPr>
            <w:r>
              <w:rPr>
                <w:rFonts w:ascii="Arial" w:cs="Arial" w:eastAsia="Arial" w:hAnsi="Arial"/>
                <w:sz w:val="13"/>
                <w:szCs w:val="13"/>
                <w:b w:val="1"/>
                <w:bCs w:val="1"/>
                <w:color w:val="auto"/>
                <w:w w:val="93"/>
              </w:rPr>
              <w:t>with Cause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Without Cause</w:t>
            </w:r>
          </w:p>
        </w:tc>
      </w:tr>
      <w:tr>
        <w:trPr>
          <w:trHeight w:val="206"/>
        </w:trPr>
        <w:tc>
          <w:tcPr>
            <w:tcW w:w="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Compensation:</w:t>
            </w:r>
          </w:p>
        </w:tc>
        <w:tc>
          <w:tcPr>
            <w:tcW w:w="4080" w:type="dxa"/>
            <w:vAlign w:val="bottom"/>
            <w:gridSpan w:val="2"/>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7"/>
                <w:szCs w:val="17"/>
                <w:color w:val="auto"/>
              </w:rPr>
              <w:t>Severance Pay(1)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2,819,344</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Incentive Compensation(2)</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542,084</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7"/>
                <w:szCs w:val="17"/>
                <w:color w:val="auto"/>
              </w:rPr>
              <w:t>Deferred Compensation Plan Performance Contribution(3)</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1,366,833</w:t>
            </w: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Deferred Compensation Plan Discretionary Contribution(4)</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307,712</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7"/>
                <w:szCs w:val="17"/>
                <w:color w:val="auto"/>
              </w:rPr>
              <w:t>Long Term Incentive Payout(5)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5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Accelerated Vesting of Time-Based Equity Awards(6)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5,652,536</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7"/>
                <w:szCs w:val="17"/>
                <w:color w:val="auto"/>
              </w:rPr>
              <w:t>Benefits: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Healthcare and other Insurance Benefits(7)</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237,500</w:t>
            </w:r>
          </w:p>
        </w:tc>
        <w:tc>
          <w:tcPr>
            <w:tcW w:w="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7"/>
                <w:szCs w:val="17"/>
                <w:color w:val="auto"/>
              </w:rPr>
              <w:t>Excise Tax Gross-Up(8)</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2,034,218</w:t>
            </w:r>
          </w:p>
        </w:tc>
        <w:tc>
          <w:tcPr>
            <w:tcW w:w="1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12,960,227</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1680" w:right="40" w:hanging="532"/>
        <w:spacing w:after="0" w:line="324"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lump sum severance payment equal to 2.5 times the sum of the Base Salary and the highest amount paid or payable pursuant to the Management Incentive Compensation Plan for any of the 3 fiscal years ending prior to the Date of Termination.</w:t>
      </w:r>
    </w:p>
    <w:p>
      <w:pPr>
        <w:spacing w:after="0" w:line="167" w:lineRule="exact"/>
        <w:rPr>
          <w:rFonts w:ascii="Arial" w:cs="Arial" w:eastAsia="Arial" w:hAnsi="Arial"/>
          <w:sz w:val="16"/>
          <w:szCs w:val="16"/>
          <w:color w:val="auto"/>
        </w:rPr>
      </w:pPr>
    </w:p>
    <w:p>
      <w:pPr>
        <w:ind w:left="1680" w:hanging="532"/>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43" w:lineRule="exact"/>
        <w:rPr>
          <w:rFonts w:ascii="Arial" w:cs="Arial" w:eastAsia="Arial" w:hAnsi="Arial"/>
          <w:sz w:val="17"/>
          <w:szCs w:val="17"/>
          <w:color w:val="auto"/>
        </w:rPr>
      </w:pPr>
    </w:p>
    <w:p>
      <w:pPr>
        <w:ind w:left="1680" w:right="240" w:hanging="532"/>
        <w:spacing w:after="0" w:line="324" w:lineRule="auto"/>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lump-sum payment of the current year Deferred Compensation Plan performance based award plus a severance payment equal to the total of the previous three years performance awards under the Deferred Compensation Plan.</w:t>
      </w:r>
    </w:p>
    <w:p>
      <w:pPr>
        <w:spacing w:after="0" w:line="154" w:lineRule="exact"/>
        <w:rPr>
          <w:rFonts w:ascii="Arial" w:cs="Arial" w:eastAsia="Arial" w:hAnsi="Arial"/>
          <w:sz w:val="16"/>
          <w:szCs w:val="16"/>
          <w:color w:val="auto"/>
        </w:rPr>
      </w:pPr>
    </w:p>
    <w:p>
      <w:pPr>
        <w:ind w:left="1680" w:hanging="532"/>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acceleration of discretionary supplemental retirement contributions to the Deferred Compensation Plan.</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Long Term Incentive Payouts earned in the year in which the termination date occurs.</w:t>
      </w:r>
    </w:p>
    <w:p>
      <w:pPr>
        <w:spacing w:after="0" w:line="243"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$26.18 per share as of December 31, 2015, plus accrued dividends.</w:t>
      </w:r>
    </w:p>
    <w:p>
      <w:pPr>
        <w:spacing w:after="0" w:line="189" w:lineRule="exact"/>
        <w:rPr>
          <w:rFonts w:ascii="Arial" w:cs="Arial" w:eastAsia="Arial" w:hAnsi="Arial"/>
          <w:sz w:val="17"/>
          <w:szCs w:val="17"/>
          <w:color w:val="auto"/>
        </w:rPr>
      </w:pPr>
    </w:p>
    <w:p>
      <w:pPr>
        <w:ind w:left="1680" w:hanging="532"/>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25% of Base Salary as of the Date of Termination for 24 months to assist in purchasing benefits.</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estimated tax gross-up amount for the payments and benefits received under the change in control agreement.</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Michael R. Leach</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Arial" w:cs="Arial" w:eastAsia="Arial" w:hAnsi="Arial"/>
                <w:sz w:val="13"/>
                <w:szCs w:val="13"/>
                <w:b w:val="1"/>
                <w:bCs w:val="1"/>
                <w:color w:val="auto"/>
                <w:w w:val="93"/>
              </w:rPr>
              <w:t>Voluntary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1"/>
              </w:rPr>
              <w:t>Resignation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6"/>
              </w:rPr>
              <w:t>Voluntary</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3"/>
              </w:rPr>
              <w:t>without Good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Resignation with</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88"/>
              </w:rPr>
              <w:t>Reason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Good Reason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Involuntary</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6"/>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Benefits and Payments</w:t>
            </w:r>
          </w:p>
        </w:tc>
        <w:tc>
          <w:tcPr>
            <w:tcW w:w="38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3"/>
              </w:rPr>
              <w:t>with Cause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Without Cause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Compensation:</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Severance Pay(1)</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311,589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Incentive Compensation(2)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Accelerated Vesting of Time-Based Equity Awards(3)</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Benefits: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Healthcare and other Insurance Benefits(4)</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Robert P. Maida</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460" w:type="dxa"/>
            <w:vAlign w:val="bottom"/>
            <w:gridSpan w:val="5"/>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24"/>
              <w:spacing w:after="0"/>
              <w:rPr>
                <w:sz w:val="20"/>
                <w:szCs w:val="20"/>
                <w:color w:val="auto"/>
              </w:rPr>
            </w:pPr>
            <w:r>
              <w:rPr>
                <w:rFonts w:ascii="Arial" w:cs="Arial" w:eastAsia="Arial" w:hAnsi="Arial"/>
                <w:sz w:val="13"/>
                <w:szCs w:val="13"/>
                <w:b w:val="1"/>
                <w:bCs w:val="1"/>
                <w:color w:val="auto"/>
                <w:w w:val="93"/>
              </w:rPr>
              <w:t>Voluntary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1"/>
              </w:rPr>
              <w:t>Resignation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6"/>
              </w:rPr>
              <w:t>Voluntary</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3"/>
              </w:rPr>
              <w:t>without Good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Resignation with</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88"/>
              </w:rPr>
              <w:t>Reason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Good Reason or</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6"/>
              </w:rPr>
              <w:t>Involuntary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Involuntary</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6"/>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4"/>
              </w:rPr>
              <w:t>Termination</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Benefits and Payments</w:t>
            </w:r>
          </w:p>
        </w:tc>
        <w:tc>
          <w:tcPr>
            <w:tcW w:w="38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3"/>
              </w:rPr>
              <w:t>with Cause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4"/>
              </w:rPr>
              <w:t>Without Cause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Compensation:</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Severance Pay(1)</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367,328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Incentive Compensation(2)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Accelerated Vesting of Time-Based Equity Awards(3)</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645,092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Benefits: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40" w:type="dxa"/>
            <w:vAlign w:val="bottom"/>
            <w:gridSpan w:val="3"/>
          </w:tcPr>
          <w:p>
            <w:pPr>
              <w:ind w:left="100"/>
              <w:spacing w:after="0"/>
              <w:rPr>
                <w:sz w:val="20"/>
                <w:szCs w:val="20"/>
                <w:color w:val="auto"/>
              </w:rPr>
            </w:pPr>
            <w:r>
              <w:rPr>
                <w:rFonts w:ascii="Arial" w:cs="Arial" w:eastAsia="Arial" w:hAnsi="Arial"/>
                <w:sz w:val="17"/>
                <w:szCs w:val="17"/>
                <w:color w:val="auto"/>
              </w:rPr>
              <w:t>Healthcare and other Insurance Benefits(4)</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1,248,856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right="40" w:hanging="532"/>
        <w:spacing w:after="0" w:line="324" w:lineRule="auto"/>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lump sum severance payment equal to 1.0 times the sum of the Base Salary and the highest amount paid or payable pursuant to the Employee Incentive Compensation Plan for any of the 3 fiscal years ending prior to the Date of Termination.</w:t>
      </w:r>
    </w:p>
    <w:p>
      <w:pPr>
        <w:spacing w:after="0" w:line="167" w:lineRule="exact"/>
        <w:rPr>
          <w:rFonts w:ascii="Arial" w:cs="Arial" w:eastAsia="Arial" w:hAnsi="Arial"/>
          <w:sz w:val="16"/>
          <w:szCs w:val="16"/>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estimated incentive compensation under the Company's Annual Cash Incentive Plan.</w:t>
      </w:r>
    </w:p>
    <w:p>
      <w:pPr>
        <w:spacing w:after="0" w:line="243" w:lineRule="exact"/>
        <w:rPr>
          <w:rFonts w:ascii="Arial" w:cs="Arial" w:eastAsia="Arial" w:hAnsi="Arial"/>
          <w:sz w:val="17"/>
          <w:szCs w:val="17"/>
          <w:color w:val="auto"/>
        </w:rPr>
      </w:pPr>
    </w:p>
    <w:p>
      <w:pPr>
        <w:ind w:left="1680" w:hanging="532"/>
        <w:spacing w:after="0" w:line="276" w:lineRule="auto"/>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acceleration of all time-based stock awards, including performance-based awards that were previously earned but remain subject to time-based vesting at the date of termination, based on our closing stock price of $26.18 per share as of December 31, 2015, plus accrued dividends.</w:t>
      </w:r>
    </w:p>
    <w:p>
      <w:pPr>
        <w:spacing w:after="0" w:line="189" w:lineRule="exact"/>
        <w:rPr>
          <w:rFonts w:ascii="Arial" w:cs="Arial" w:eastAsia="Arial" w:hAnsi="Arial"/>
          <w:sz w:val="17"/>
          <w:szCs w:val="17"/>
          <w:color w:val="auto"/>
        </w:rPr>
      </w:pPr>
    </w:p>
    <w:p>
      <w:pPr>
        <w:ind w:left="1680" w:hanging="53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25% of Base Salary as of the Date of Termination for 24 months to assist in purchasing benefits.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Below is a description of the definitions and assumptions that were used in creating the change in control tables above.</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ind w:right="180" w:firstLine="345"/>
        <w:spacing w:after="0" w:line="291" w:lineRule="auto"/>
        <w:rPr>
          <w:sz w:val="20"/>
          <w:szCs w:val="20"/>
          <w:color w:val="auto"/>
        </w:rPr>
      </w:pPr>
      <w:r>
        <w:rPr>
          <w:rFonts w:ascii="Arial" w:cs="Arial" w:eastAsia="Arial" w:hAnsi="Arial"/>
          <w:sz w:val="17"/>
          <w:szCs w:val="17"/>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64" w:lineRule="exact"/>
        <w:rPr>
          <w:sz w:val="20"/>
          <w:szCs w:val="20"/>
          <w:color w:val="auto"/>
        </w:rPr>
      </w:pPr>
    </w:p>
    <w:p>
      <w:pPr>
        <w:ind w:right="20" w:firstLine="345"/>
        <w:spacing w:after="0" w:line="291" w:lineRule="auto"/>
        <w:rPr>
          <w:sz w:val="20"/>
          <w:szCs w:val="20"/>
          <w:color w:val="auto"/>
        </w:rPr>
      </w:pPr>
      <w:r>
        <w:rPr>
          <w:rFonts w:ascii="Arial" w:cs="Arial" w:eastAsia="Arial" w:hAnsi="Arial"/>
          <w:sz w:val="17"/>
          <w:szCs w:val="17"/>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"Base Salary" means an amount equal to the annual base salary in effect immediately prior to the Notice of Termination.</w:t>
      </w:r>
    </w:p>
    <w:p>
      <w:pPr>
        <w:spacing w:after="0" w:line="230" w:lineRule="exact"/>
        <w:rPr>
          <w:sz w:val="20"/>
          <w:szCs w:val="20"/>
          <w:color w:val="auto"/>
        </w:rPr>
      </w:pPr>
    </w:p>
    <w:p>
      <w:pPr>
        <w:ind w:right="20" w:firstLine="336"/>
        <w:spacing w:after="0" w:line="283"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174" w:lineRule="exact"/>
        <w:rPr>
          <w:sz w:val="20"/>
          <w:szCs w:val="20"/>
          <w:color w:val="auto"/>
        </w:rPr>
      </w:pPr>
    </w:p>
    <w:p>
      <w:pPr>
        <w:ind w:right="60" w:firstLine="336"/>
        <w:spacing w:after="0" w:line="267" w:lineRule="auto"/>
        <w:rPr>
          <w:sz w:val="20"/>
          <w:szCs w:val="20"/>
          <w:color w:val="auto"/>
        </w:rPr>
      </w:pPr>
      <w:r>
        <w:rPr>
          <w:rFonts w:ascii="Arial" w:cs="Arial" w:eastAsia="Arial" w:hAnsi="Arial"/>
          <w:sz w:val="17"/>
          <w:szCs w:val="17"/>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84" w:lineRule="exact"/>
        <w:rPr>
          <w:sz w:val="20"/>
          <w:szCs w:val="20"/>
          <w:color w:val="auto"/>
        </w:rPr>
      </w:pPr>
    </w:p>
    <w:p>
      <w:pPr>
        <w:ind w:firstLine="336"/>
        <w:spacing w:after="0" w:line="282"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3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TRANSACTIONS AND RELATIONSHIPS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w:t>
      </w:r>
    </w:p>
    <w:p>
      <w:pPr>
        <w:spacing w:after="0" w:line="236" w:lineRule="exact"/>
        <w:rPr>
          <w:sz w:val="20"/>
          <w:szCs w:val="20"/>
          <w:color w:val="auto"/>
        </w:rPr>
      </w:pPr>
    </w:p>
    <w:p>
      <w:pPr>
        <w:ind w:right="440" w:firstLine="342"/>
        <w:spacing w:after="0" w:line="291" w:lineRule="auto"/>
        <w:rPr>
          <w:sz w:val="20"/>
          <w:szCs w:val="20"/>
          <w:color w:val="auto"/>
        </w:rPr>
      </w:pPr>
      <w:r>
        <w:rPr>
          <w:rFonts w:ascii="Arial" w:cs="Arial" w:eastAsia="Arial" w:hAnsi="Arial"/>
          <w:sz w:val="17"/>
          <w:szCs w:val="17"/>
          <w:color w:val="auto"/>
        </w:rPr>
        <w:t>The Company has entered into a change in control agreement with certain of the Company's executive officers. See "Potential Payments Upon Change in Control" above.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 Policies and Procedures.</w:t>
      </w:r>
    </w:p>
    <w:p>
      <w:pPr>
        <w:spacing w:after="0" w:line="236" w:lineRule="exact"/>
        <w:rPr>
          <w:sz w:val="20"/>
          <w:szCs w:val="20"/>
          <w:color w:val="auto"/>
        </w:rPr>
      </w:pPr>
    </w:p>
    <w:p>
      <w:pPr>
        <w:ind w:right="40" w:firstLine="342"/>
        <w:spacing w:after="0" w:line="292"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OWNERSHIP OF COMPANY STOCK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36" w:lineRule="exact"/>
        <w:rPr>
          <w:sz w:val="20"/>
          <w:szCs w:val="20"/>
          <w:color w:val="auto"/>
        </w:rPr>
      </w:pPr>
    </w:p>
    <w:p>
      <w:pPr>
        <w:ind w:firstLine="342"/>
        <w:spacing w:after="0" w:line="324"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3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1360" w:type="dxa"/>
            <w:vAlign w:val="bottom"/>
            <w:gridSpan w:val="2"/>
          </w:tcPr>
          <w:p>
            <w:pPr>
              <w:jc w:val="right"/>
              <w:ind w:right="460"/>
              <w:spacing w:after="0" w:line="146"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59"/>
        </w:trPr>
        <w:tc>
          <w:tcPr>
            <w:tcW w:w="4780" w:type="dxa"/>
            <w:vAlign w:val="bottom"/>
            <w:gridSpan w:val="4"/>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60" w:type="dxa"/>
            <w:vAlign w:val="bottom"/>
          </w:tcPr>
          <w:p>
            <w:pPr>
              <w:spacing w:after="0"/>
              <w:rPr>
                <w:sz w:val="13"/>
                <w:szCs w:val="13"/>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Beneficially Owned</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1,035,242(2)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495 Commerce Drive, Suite 3</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Amherst, New York 14228</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7"/>
                <w:szCs w:val="17"/>
                <w:color w:val="auto"/>
              </w:rPr>
              <w:t>Juniper Public Fund, L.P.</w:t>
            </w:r>
          </w:p>
        </w:tc>
        <w:tc>
          <w:tcPr>
            <w:tcW w:w="1840" w:type="dxa"/>
            <w:vAlign w:val="bottom"/>
            <w:gridSpan w:val="3"/>
          </w:tcPr>
          <w:p>
            <w:pPr>
              <w:jc w:val="right"/>
              <w:ind w:right="220"/>
              <w:spacing w:after="0"/>
              <w:rPr>
                <w:sz w:val="20"/>
                <w:szCs w:val="20"/>
                <w:color w:val="auto"/>
              </w:rPr>
            </w:pPr>
            <w:r>
              <w:rPr>
                <w:rFonts w:ascii="Arial" w:cs="Arial" w:eastAsia="Arial" w:hAnsi="Arial"/>
                <w:sz w:val="17"/>
                <w:szCs w:val="17"/>
                <w:color w:val="auto"/>
              </w:rPr>
              <w:t>712,080(3)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600 Madison Avenue, 16th Floor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3"/>
          </w:tcPr>
          <w:p>
            <w:pPr>
              <w:ind w:left="160"/>
              <w:spacing w:after="0"/>
              <w:rPr>
                <w:sz w:val="20"/>
                <w:szCs w:val="20"/>
                <w:color w:val="auto"/>
              </w:rPr>
            </w:pPr>
            <w:r>
              <w:rPr>
                <w:rFonts w:ascii="Arial" w:cs="Arial" w:eastAsia="Arial" w:hAnsi="Arial"/>
                <w:sz w:val="17"/>
                <w:szCs w:val="17"/>
                <w:color w:val="auto"/>
              </w:rPr>
              <w:t>New York, New York 10022</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Smith</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584,334(4)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8422 Newland Drive</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Arvada, Colorado 80003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60" w:hanging="541"/>
        <w:spacing w:after="0"/>
        <w:tabs>
          <w:tab w:leader="none" w:pos="2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percentages are based upon 9,330,310 shares of Common Stock outstanding as of the Record Date.</w:t>
      </w:r>
    </w:p>
    <w:p>
      <w:pPr>
        <w:spacing w:after="0" w:line="256" w:lineRule="exact"/>
        <w:rPr>
          <w:rFonts w:ascii="Arial" w:cs="Arial" w:eastAsia="Arial" w:hAnsi="Arial"/>
          <w:sz w:val="17"/>
          <w:szCs w:val="17"/>
          <w:color w:val="auto"/>
        </w:rPr>
      </w:pPr>
    </w:p>
    <w:p>
      <w:pPr>
        <w:ind w:left="2260" w:right="280" w:hanging="541"/>
        <w:spacing w:after="0" w:line="271" w:lineRule="auto"/>
        <w:tabs>
          <w:tab w:leader="none" w:pos="2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293,284 shares of Common Stock granted as incentive restricted shares under the Company's stock incentive plans that have not yet vested and 14,620 shares of Common Stock credited to the Company's Employee Stock Ownership Plan ("ESOP") account of Mr. Warzala. Except as set forth in this note (2), does not include shares held by the ESOP as to which Mr. Warzala serves as one of four trustees.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3" w:lineRule="exact"/>
        <w:rPr>
          <w:sz w:val="20"/>
          <w:szCs w:val="20"/>
          <w:color w:val="auto"/>
        </w:rPr>
      </w:pPr>
    </w:p>
    <w:p>
      <w:pPr>
        <w:ind w:left="2260" w:right="240" w:hanging="541"/>
        <w:spacing w:after="0" w:line="361" w:lineRule="auto"/>
        <w:tabs>
          <w:tab w:leader="none" w:pos="22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a Statement on Schedule 13D/A filed with the Securities and Exchange Commission on August 30, 2013 by Juniper Public Fund, L.P., Juniper HF Investors II, LLC, Juniper Investment Company, LLC, Alexis P. Michas and John A. Bartholdson.</w:t>
      </w:r>
    </w:p>
    <w:p>
      <w:pPr>
        <w:spacing w:after="0" w:line="145" w:lineRule="exact"/>
        <w:rPr>
          <w:rFonts w:ascii="Arial" w:cs="Arial" w:eastAsia="Arial" w:hAnsi="Arial"/>
          <w:sz w:val="15"/>
          <w:szCs w:val="15"/>
          <w:color w:val="auto"/>
        </w:rPr>
      </w:pPr>
    </w:p>
    <w:p>
      <w:pPr>
        <w:ind w:left="2260" w:right="80" w:hanging="541"/>
        <w:spacing w:after="0" w:line="276" w:lineRule="auto"/>
        <w:tabs>
          <w:tab w:leader="none" w:pos="2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8,130 shares of Common Stock granted as incentive restricted shares under the Company's stock incentive plans that have not yet vested. Includes 530,350 shares of Common Stock held by Smith Family Trust, of which Mr. Smith is trustee. Includes 18,016 shares held by Mr. Smith's IRA and 900 shares held by Mr. Smith's wife's IRA.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 and Directors</w:t>
      </w:r>
    </w:p>
    <w:p>
      <w:pPr>
        <w:spacing w:after="0" w:line="236" w:lineRule="exact"/>
        <w:rPr>
          <w:sz w:val="20"/>
          <w:szCs w:val="20"/>
          <w:color w:val="auto"/>
        </w:rPr>
      </w:pPr>
    </w:p>
    <w:p>
      <w:pPr>
        <w:ind w:right="20" w:firstLine="342"/>
        <w:spacing w:after="0" w:line="291"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3"/>
              </w:rPr>
              <w:t>Amount and Nature of Beneficial</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Ownership</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Percentage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8"/>
              </w:rPr>
              <w:t>Unvested</w:t>
            </w:r>
          </w:p>
        </w:tc>
        <w:tc>
          <w:tcPr>
            <w:tcW w:w="160" w:type="dxa"/>
            <w:vAlign w:val="bottom"/>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9"/>
              </w:rPr>
              <w:t>Total</w:t>
            </w: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20" w:type="dxa"/>
            <w:vAlign w:val="bottom"/>
          </w:tcPr>
          <w:p>
            <w:pPr>
              <w:jc w:val="right"/>
              <w:ind w:right="58"/>
              <w:spacing w:after="0" w:line="146"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Restricted</w:t>
            </w: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1"/>
              </w:rPr>
              <w:t>Beneficial</w:t>
            </w:r>
          </w:p>
        </w:tc>
        <w:tc>
          <w:tcPr>
            <w:tcW w:w="11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Common</w:t>
            </w:r>
          </w:p>
        </w:tc>
        <w:tc>
          <w:tcPr>
            <w:tcW w:w="0" w:type="dxa"/>
            <w:vAlign w:val="bottom"/>
          </w:tcPr>
          <w:p>
            <w:pPr>
              <w:spacing w:after="0"/>
              <w:rPr>
                <w:sz w:val="1"/>
                <w:szCs w:val="1"/>
                <w:color w:val="auto"/>
              </w:rPr>
            </w:pPr>
          </w:p>
        </w:tc>
      </w:tr>
      <w:tr>
        <w:trPr>
          <w:trHeight w:val="159"/>
        </w:trPr>
        <w:tc>
          <w:tcPr>
            <w:tcW w:w="51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right"/>
              <w:ind w:right="178"/>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Ownership</w:t>
            </w: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D. Federico</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30,460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Gerald J. (Bud) Laber.</w:t>
            </w:r>
          </w:p>
        </w:tc>
        <w:tc>
          <w:tcPr>
            <w:tcW w:w="820" w:type="dxa"/>
            <w:vAlign w:val="bottom"/>
          </w:tcPr>
          <w:p>
            <w:pPr>
              <w:jc w:val="right"/>
              <w:spacing w:after="0"/>
              <w:rPr>
                <w:sz w:val="20"/>
                <w:szCs w:val="20"/>
                <w:color w:val="auto"/>
              </w:rPr>
            </w:pPr>
            <w:r>
              <w:rPr>
                <w:rFonts w:ascii="Arial" w:cs="Arial" w:eastAsia="Arial" w:hAnsi="Arial"/>
                <w:sz w:val="17"/>
                <w:szCs w:val="17"/>
                <w:color w:val="auto"/>
              </w:rPr>
              <w:t>24,659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6,130</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30,789(2)</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R. Leach</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Robert P. Maida.</w:t>
            </w:r>
          </w:p>
        </w:tc>
        <w:tc>
          <w:tcPr>
            <w:tcW w:w="820" w:type="dxa"/>
            <w:vAlign w:val="bottom"/>
          </w:tcPr>
          <w:p>
            <w:pPr>
              <w:jc w:val="right"/>
              <w:spacing w:after="0"/>
              <w:rPr>
                <w:sz w:val="20"/>
                <w:szCs w:val="20"/>
                <w:color w:val="auto"/>
              </w:rPr>
            </w:pPr>
            <w:r>
              <w:rPr>
                <w:rFonts w:ascii="Arial" w:cs="Arial" w:eastAsia="Arial" w:hAnsi="Arial"/>
                <w:sz w:val="17"/>
                <w:szCs w:val="17"/>
                <w:color w:val="auto"/>
              </w:rPr>
              <w:t>24,188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28,442</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52,630(3)</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Alexis P. Michas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712,320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714,043(4)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820" w:type="dxa"/>
            <w:vAlign w:val="bottom"/>
          </w:tcPr>
          <w:p>
            <w:pPr>
              <w:jc w:val="right"/>
              <w:spacing w:after="0"/>
              <w:rPr>
                <w:sz w:val="20"/>
                <w:szCs w:val="20"/>
                <w:color w:val="auto"/>
              </w:rPr>
            </w:pPr>
            <w:r>
              <w:rPr>
                <w:rFonts w:ascii="Arial" w:cs="Arial" w:eastAsia="Arial" w:hAnsi="Arial"/>
                <w:sz w:val="17"/>
                <w:szCs w:val="17"/>
                <w:color w:val="auto"/>
              </w:rPr>
              <w:t>576,204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8,130</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584,334(5)</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James J. Tanous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8,170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Richard S. Warzala</w:t>
            </w:r>
          </w:p>
        </w:tc>
        <w:tc>
          <w:tcPr>
            <w:tcW w:w="820" w:type="dxa"/>
            <w:vAlign w:val="bottom"/>
          </w:tcPr>
          <w:p>
            <w:pPr>
              <w:jc w:val="right"/>
              <w:spacing w:after="0"/>
              <w:rPr>
                <w:sz w:val="20"/>
                <w:szCs w:val="20"/>
                <w:color w:val="auto"/>
              </w:rPr>
            </w:pPr>
            <w:r>
              <w:rPr>
                <w:rFonts w:ascii="Arial" w:cs="Arial" w:eastAsia="Arial" w:hAnsi="Arial"/>
                <w:sz w:val="17"/>
                <w:szCs w:val="17"/>
                <w:color w:val="auto"/>
              </w:rPr>
              <w:t>741,958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293,284</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1,035,242(6)</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R. Winter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6,743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820" w:type="dxa"/>
            <w:vAlign w:val="bottom"/>
          </w:tcPr>
          <w:p>
            <w:pPr>
              <w:jc w:val="right"/>
              <w:spacing w:after="0"/>
              <w:rPr>
                <w:sz w:val="20"/>
                <w:szCs w:val="20"/>
                <w:color w:val="auto"/>
              </w:rPr>
            </w:pPr>
            <w:r>
              <w:rPr>
                <w:rFonts w:ascii="Arial" w:cs="Arial" w:eastAsia="Arial" w:hAnsi="Arial"/>
                <w:sz w:val="17"/>
                <w:szCs w:val="17"/>
                <w:color w:val="auto"/>
              </w:rPr>
              <w:t>39,398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4,696</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44,094(7)</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Stock Ownership Plan</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405,309(8)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All directors, nominees and executive officers as a group</w:t>
            </w:r>
          </w:p>
        </w:tc>
        <w:tc>
          <w:tcPr>
            <w:tcW w:w="820" w:type="dxa"/>
            <w:vAlign w:val="bottom"/>
          </w:tcPr>
          <w:p>
            <w:pPr>
              <w:jc w:val="right"/>
              <w:spacing w:after="0"/>
              <w:rPr>
                <w:sz w:val="20"/>
                <w:szCs w:val="20"/>
                <w:color w:val="auto"/>
              </w:rPr>
            </w:pPr>
            <w:r>
              <w:rPr>
                <w:rFonts w:ascii="Arial" w:cs="Arial" w:eastAsia="Arial" w:hAnsi="Arial"/>
                <w:sz w:val="17"/>
                <w:szCs w:val="17"/>
                <w:color w:val="auto"/>
              </w:rPr>
              <w:t>2,523,227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359,813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2,883,040</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80" w:hanging="532"/>
        <w:spacing w:after="0"/>
        <w:tabs>
          <w:tab w:leader="none" w:pos="1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43" w:lineRule="exact"/>
        <w:rPr>
          <w:sz w:val="20"/>
          <w:szCs w:val="20"/>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percentages are based upon 9,330,310 shares of Common Stock outstanding as of the Record Date.</w:t>
      </w:r>
    </w:p>
    <w:p>
      <w:pPr>
        <w:spacing w:after="0" w:line="256"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12,000 shares of Common Stock held by Mr. Laber's 401k Plan</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1,210 shares of Common Stock credited to the ESOP account of Mr. Maida.</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note (3) under "Security Ownership of Certain Beneficial Owners." Also includes 240 shares owned by Mr. Michas' wife and children.</w:t>
      </w:r>
    </w:p>
    <w:p>
      <w:pPr>
        <w:spacing w:after="0" w:line="267" w:lineRule="exact"/>
        <w:rPr>
          <w:rFonts w:ascii="Arial" w:cs="Arial" w:eastAsia="Arial" w:hAnsi="Arial"/>
          <w:sz w:val="16"/>
          <w:szCs w:val="16"/>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note (4) under "Security Ownership of Certain Beneficial Owners."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note (2) under "Security Ownership of Certain Beneficial Owners."</w:t>
      </w:r>
    </w:p>
    <w:p>
      <w:pPr>
        <w:spacing w:after="0" w:line="243" w:lineRule="exact"/>
        <w:rPr>
          <w:rFonts w:ascii="Arial" w:cs="Arial" w:eastAsia="Arial" w:hAnsi="Arial"/>
          <w:sz w:val="17"/>
          <w:szCs w:val="17"/>
          <w:color w:val="auto"/>
        </w:rPr>
      </w:pPr>
    </w:p>
    <w:p>
      <w:pPr>
        <w:ind w:left="1680" w:hanging="532"/>
        <w:spacing w:after="0"/>
        <w:tabs>
          <w:tab w:leader="none" w:pos="1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11,744 shares of Common Stock credited to the ESOP account of Mr. Wyman.</w:t>
      </w:r>
    </w:p>
    <w:p>
      <w:pPr>
        <w:spacing w:after="0" w:line="256" w:lineRule="exact"/>
        <w:rPr>
          <w:rFonts w:ascii="Arial" w:cs="Arial" w:eastAsia="Arial" w:hAnsi="Arial"/>
          <w:sz w:val="17"/>
          <w:szCs w:val="17"/>
          <w:color w:val="auto"/>
        </w:rPr>
      </w:pPr>
    </w:p>
    <w:p>
      <w:pPr>
        <w:ind w:left="1680" w:hanging="532"/>
        <w:spacing w:after="0" w:line="328" w:lineRule="auto"/>
        <w:tabs>
          <w:tab w:leader="none" w:pos="16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Messrs. Maida and Warzala are trustees of the ESOP and could be deemed to have shared investment power over those shares. The ESOP holds an aggregate of 405,309 shares of Common Stock, including 14,620 shares credited to the ESOP account of Mr. Warzala, 1,210 shares credited to the ESOP account of Mr. Maida and 11,744 shares credited to the ESOP account of Mr. Wyman previously reported in this table.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6" w:lineRule="exact"/>
        <w:rPr>
          <w:sz w:val="20"/>
          <w:szCs w:val="20"/>
          <w:color w:val="auto"/>
        </w:rPr>
      </w:pPr>
    </w:p>
    <w:p>
      <w:pPr>
        <w:ind w:right="180" w:firstLine="345"/>
        <w:spacing w:after="0" w:line="271" w:lineRule="auto"/>
        <w:rPr>
          <w:sz w:val="20"/>
          <w:szCs w:val="20"/>
          <w:color w:val="auto"/>
        </w:rPr>
      </w:pPr>
      <w:r>
        <w:rPr>
          <w:rFonts w:ascii="Arial" w:cs="Arial" w:eastAsia="Arial" w:hAnsi="Arial"/>
          <w:sz w:val="17"/>
          <w:szCs w:val="17"/>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2015, except for one filing for Mr. Warzala, which was not timely made. All reports are current as of the date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MATTERS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36" w:lineRule="exact"/>
        <w:rPr>
          <w:sz w:val="20"/>
          <w:szCs w:val="20"/>
          <w:color w:val="auto"/>
        </w:rPr>
      </w:pPr>
    </w:p>
    <w:p>
      <w:pPr>
        <w:ind w:right="20" w:firstLine="345"/>
        <w:spacing w:after="0" w:line="276"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76" w:lineRule="exact"/>
        <w:rPr>
          <w:sz w:val="20"/>
          <w:szCs w:val="20"/>
          <w:color w:val="auto"/>
        </w:rPr>
      </w:pPr>
    </w:p>
    <w:p>
      <w:pPr>
        <w:ind w:right="140" w:firstLine="345"/>
        <w:spacing w:after="0" w:line="300"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EKS&amp;H LLLP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firstLine="336"/>
        <w:spacing w:after="0" w:line="300"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and was revised March 4, 2015. The revised Charter is posted on the Company's website. We have completed all Charter tasks scheduled to be performed in 2015 prior to year-end and all Charter tasks scheduled to be performed in 2016 prior to the filing of this proxy statement. Our work included, among other procedures:</w:t>
      </w:r>
    </w:p>
    <w:p>
      <w:pPr>
        <w:spacing w:after="0" w:line="161" w:lineRule="exact"/>
        <w:rPr>
          <w:sz w:val="20"/>
          <w:szCs w:val="20"/>
          <w:color w:val="auto"/>
        </w:rPr>
      </w:pPr>
    </w:p>
    <w:p>
      <w:pPr>
        <w:ind w:left="1220" w:hanging="337"/>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pre-approved audit and permitted non-audit services of the Company's independent auditors.</w:t>
      </w:r>
    </w:p>
    <w:p>
      <w:pPr>
        <w:spacing w:after="0" w:line="229" w:lineRule="exact"/>
        <w:rPr>
          <w:rFonts w:ascii="Arial" w:cs="Arial" w:eastAsia="Arial" w:hAnsi="Arial"/>
          <w:sz w:val="17"/>
          <w:szCs w:val="17"/>
          <w:color w:val="auto"/>
        </w:rPr>
      </w:pPr>
    </w:p>
    <w:p>
      <w:pPr>
        <w:ind w:left="540" w:right="480" w:firstLine="343"/>
        <w:spacing w:after="0" w:line="291" w:lineRule="auto"/>
        <w:tabs>
          <w:tab w:leader="none" w:pos="12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met with management and the independent auditors on a quarterly basis to discuss financial statements and related reports and to review significant accounting and reporting matters.</w:t>
      </w:r>
    </w:p>
    <w:p>
      <w:pPr>
        <w:spacing w:after="0" w:line="163" w:lineRule="exact"/>
        <w:rPr>
          <w:rFonts w:ascii="Arial" w:cs="Arial" w:eastAsia="Arial" w:hAnsi="Arial"/>
          <w:sz w:val="17"/>
          <w:szCs w:val="17"/>
          <w:color w:val="auto"/>
        </w:rPr>
      </w:pPr>
    </w:p>
    <w:p>
      <w:pPr>
        <w:ind w:left="540" w:right="40" w:firstLine="343"/>
        <w:spacing w:after="0" w:line="276" w:lineRule="auto"/>
        <w:tabs>
          <w:tab w:leader="none" w:pos="12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76" w:lineRule="exact"/>
        <w:rPr>
          <w:rFonts w:ascii="Arial" w:cs="Arial" w:eastAsia="Arial" w:hAnsi="Arial"/>
          <w:sz w:val="17"/>
          <w:szCs w:val="17"/>
          <w:color w:val="auto"/>
        </w:rPr>
      </w:pPr>
    </w:p>
    <w:p>
      <w:pPr>
        <w:ind w:left="540" w:right="120" w:firstLine="343"/>
        <w:spacing w:after="0" w:line="291" w:lineRule="auto"/>
        <w:tabs>
          <w:tab w:leader="none" w:pos="12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 to their publication, we reviewed and discussed with management and the independent auditors the Company's December 31, 2015, audited financial statements, the related audit report, and the applicable management's discussion and analysis.</w:t>
      </w:r>
    </w:p>
    <w:p>
      <w:pPr>
        <w:spacing w:after="0" w:line="164" w:lineRule="exact"/>
        <w:rPr>
          <w:sz w:val="20"/>
          <w:szCs w:val="20"/>
          <w:color w:val="auto"/>
        </w:rPr>
      </w:pPr>
    </w:p>
    <w:p>
      <w:pPr>
        <w:ind w:right="420" w:firstLine="345"/>
        <w:spacing w:after="0" w:line="291"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2015, for filing with the SEC.</w:t>
      </w:r>
    </w:p>
    <w:p>
      <w:pPr>
        <w:spacing w:after="0" w:line="16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Submitted by:</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AUDIT COMMITTEE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Michael R. Winter, Chairman</w:t>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Gerald J. (Bud) Laber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J. Tanous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For Pre-Approval of Audit and Permitted Non-Audit Services</w:t>
      </w:r>
    </w:p>
    <w:p>
      <w:pPr>
        <w:spacing w:after="0" w:line="236" w:lineRule="exact"/>
        <w:rPr>
          <w:sz w:val="20"/>
          <w:szCs w:val="20"/>
          <w:color w:val="auto"/>
        </w:rPr>
      </w:pPr>
    </w:p>
    <w:p>
      <w:pPr>
        <w:ind w:right="160" w:firstLine="342"/>
        <w:spacing w:after="0" w:line="292"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 Fees and Services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fees for the audit and other services provided by EKS&amp;H for 2015 and 2014.</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r>
      <w:tr>
        <w:trPr>
          <w:trHeight w:val="206"/>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Audit Fees(1)</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592,647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706,604</w:t>
            </w:r>
          </w:p>
        </w:tc>
        <w:tc>
          <w:tcPr>
            <w:tcW w:w="160" w:type="dxa"/>
            <w:vAlign w:val="bottom"/>
            <w:shd w:val="clear" w:color="auto" w:fill="CCEEFF"/>
          </w:tcPr>
          <w:p>
            <w:pPr>
              <w:spacing w:after="0"/>
              <w:rPr>
                <w:sz w:val="17"/>
                <w:szCs w:val="17"/>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7"/>
                <w:szCs w:val="17"/>
                <w:color w:val="auto"/>
              </w:rPr>
              <w:t>Audit-Related Fees(2)</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38,000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35,000</w:t>
            </w:r>
          </w:p>
        </w:tc>
        <w:tc>
          <w:tcPr>
            <w:tcW w:w="160" w:type="dxa"/>
            <w:vAlign w:val="bottom"/>
          </w:tcPr>
          <w:p>
            <w:pPr>
              <w:spacing w:after="0"/>
              <w:rPr>
                <w:sz w:val="18"/>
                <w:szCs w:val="18"/>
                <w:color w:val="auto"/>
              </w:rPr>
            </w:pPr>
          </w:p>
        </w:tc>
      </w:tr>
      <w:tr>
        <w:trPr>
          <w:trHeight w:val="213"/>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Tax Fees(3)</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154,628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219,177</w:t>
            </w:r>
          </w:p>
        </w:tc>
        <w:tc>
          <w:tcPr>
            <w:tcW w:w="160" w:type="dxa"/>
            <w:vAlign w:val="bottom"/>
            <w:shd w:val="clear" w:color="auto" w:fill="CCEEFF"/>
          </w:tcPr>
          <w:p>
            <w:pPr>
              <w:spacing w:after="0"/>
              <w:rPr>
                <w:sz w:val="18"/>
                <w:szCs w:val="18"/>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7"/>
                <w:szCs w:val="17"/>
                <w:color w:val="auto"/>
              </w:rPr>
              <w:t>All Other Fees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r>
      <w:tr>
        <w:trPr>
          <w:trHeight w:val="20"/>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0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785,275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960,781</w:t>
            </w:r>
          </w:p>
        </w:tc>
        <w:tc>
          <w:tcPr>
            <w:tcW w:w="160" w:type="dxa"/>
            <w:vAlign w:val="bottom"/>
            <w:shd w:val="clear" w:color="auto" w:fill="CCEEFF"/>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60" w:right="480" w:hanging="541"/>
        <w:spacing w:after="0" w:line="292" w:lineRule="auto"/>
        <w:tabs>
          <w:tab w:leader="none" w:pos="2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 Also included are fees incurred by component auditors in foreign countries for audit services that were directed by EKS&amp;H.</w:t>
      </w:r>
    </w:p>
    <w:p>
      <w:pPr>
        <w:spacing w:after="0" w:line="194" w:lineRule="exact"/>
        <w:rPr>
          <w:rFonts w:ascii="Arial" w:cs="Arial" w:eastAsia="Arial" w:hAnsi="Arial"/>
          <w:sz w:val="16"/>
          <w:szCs w:val="16"/>
          <w:color w:val="auto"/>
        </w:rPr>
      </w:pPr>
    </w:p>
    <w:p>
      <w:pPr>
        <w:ind w:left="2260" w:hanging="541"/>
        <w:spacing w:after="0"/>
        <w:tabs>
          <w:tab w:leader="none" w:pos="2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Audit-related fees are for benefit plan audits.</w:t>
      </w:r>
    </w:p>
    <w:p>
      <w:pPr>
        <w:spacing w:after="0" w:line="243" w:lineRule="exact"/>
        <w:rPr>
          <w:rFonts w:ascii="Arial" w:cs="Arial" w:eastAsia="Arial" w:hAnsi="Arial"/>
          <w:sz w:val="17"/>
          <w:szCs w:val="17"/>
          <w:color w:val="auto"/>
        </w:rPr>
      </w:pPr>
    </w:p>
    <w:p>
      <w:pPr>
        <w:ind w:left="2260" w:hanging="541"/>
        <w:spacing w:after="0"/>
        <w:tabs>
          <w:tab w:leader="none" w:pos="2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Tax fees consists of fees for tax compliance and tax consulting including services.</w:t>
      </w:r>
    </w:p>
    <w:p>
      <w:pPr>
        <w:spacing w:after="0" w:line="230" w:lineRule="exact"/>
        <w:rPr>
          <w:sz w:val="20"/>
          <w:szCs w:val="20"/>
          <w:color w:val="auto"/>
        </w:rPr>
      </w:pPr>
    </w:p>
    <w:p>
      <w:pPr>
        <w:ind w:right="440" w:firstLine="342"/>
        <w:spacing w:after="0" w:line="291" w:lineRule="auto"/>
        <w:rPr>
          <w:sz w:val="20"/>
          <w:szCs w:val="20"/>
          <w:color w:val="auto"/>
        </w:rPr>
      </w:pPr>
      <w:r>
        <w:rPr>
          <w:rFonts w:ascii="Arial" w:cs="Arial" w:eastAsia="Arial" w:hAnsi="Arial"/>
          <w:sz w:val="17"/>
          <w:szCs w:val="17"/>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OTHER MATTERS</w:t>
      </w:r>
    </w:p>
    <w:p>
      <w:pPr>
        <w:spacing w:after="0" w:line="236" w:lineRule="exact"/>
        <w:rPr>
          <w:sz w:val="20"/>
          <w:szCs w:val="20"/>
          <w:color w:val="auto"/>
        </w:rPr>
      </w:pPr>
    </w:p>
    <w:p>
      <w:pPr>
        <w:ind w:right="640" w:firstLine="345"/>
        <w:spacing w:after="0" w:line="291" w:lineRule="auto"/>
        <w:rPr>
          <w:sz w:val="20"/>
          <w:szCs w:val="20"/>
          <w:color w:val="auto"/>
        </w:rPr>
      </w:pPr>
      <w:r>
        <w:rPr>
          <w:rFonts w:ascii="Arial" w:cs="Arial" w:eastAsia="Arial" w:hAnsi="Arial"/>
          <w:sz w:val="17"/>
          <w:szCs w:val="17"/>
          <w:color w:val="auto"/>
        </w:rPr>
        <w:t>Our management does not know of any other matters to come before the 2015 Annual Meeting. However, if any other matters come before the Annual Meeting, it is the intention of the persons designated as proxies to vote in accordance with their judgment on such matters.</w:t>
      </w:r>
    </w:p>
    <w:p>
      <w:pPr>
        <w:spacing w:after="0" w:line="370"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SHAREHOLDER PROPOSALS</w:t>
      </w:r>
    </w:p>
    <w:p>
      <w:pPr>
        <w:spacing w:after="0" w:line="3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FOR THE 2017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for the Company's Proxy Material</w:t>
      </w:r>
    </w:p>
    <w:p>
      <w:pPr>
        <w:spacing w:after="0" w:line="236" w:lineRule="exact"/>
        <w:rPr>
          <w:sz w:val="20"/>
          <w:szCs w:val="20"/>
          <w:color w:val="auto"/>
        </w:rPr>
      </w:pPr>
    </w:p>
    <w:p>
      <w:pPr>
        <w:ind w:firstLine="336"/>
        <w:spacing w:after="0" w:line="271" w:lineRule="auto"/>
        <w:rPr>
          <w:sz w:val="20"/>
          <w:szCs w:val="20"/>
          <w:color w:val="auto"/>
        </w:rPr>
      </w:pPr>
      <w:r>
        <w:rPr>
          <w:rFonts w:ascii="Arial" w:cs="Arial" w:eastAsia="Arial" w:hAnsi="Arial"/>
          <w:sz w:val="17"/>
          <w:szCs w:val="17"/>
          <w:color w:val="auto"/>
        </w:rPr>
        <w:t>Any Company shareholder who wishes to submit a proposal to be included in the Proxy Material for the Company's 2017 Annual Meeting of Shareholders must submit such proposal to the Company at its office at 495 Commerce Drive, Suite 3, Amherst, New York 14228, Attention: Secretary, no later than December 5, 2016, in order to be considered for inclusion, if appropriate, in the Company's proxy statement and form of proxy relating to its 2017 Annual Meeting of Shareholders.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Introduced at the Annual Meeting but not Intended to be Included in the Company's Proxy Material</w:t>
      </w:r>
    </w:p>
    <w:p>
      <w:pPr>
        <w:spacing w:after="0" w:line="236" w:lineRule="exact"/>
        <w:rPr>
          <w:sz w:val="20"/>
          <w:szCs w:val="20"/>
          <w:color w:val="auto"/>
        </w:rPr>
      </w:pPr>
    </w:p>
    <w:p>
      <w:pPr>
        <w:ind w:right="140" w:firstLine="345"/>
        <w:spacing w:after="0" w:line="265" w:lineRule="auto"/>
        <w:rPr>
          <w:sz w:val="20"/>
          <w:szCs w:val="20"/>
          <w:color w:val="auto"/>
        </w:rPr>
      </w:pPr>
      <w:r>
        <w:rPr>
          <w:rFonts w:ascii="Arial" w:cs="Arial" w:eastAsia="Arial" w:hAnsi="Arial"/>
          <w:sz w:val="17"/>
          <w:szCs w:val="17"/>
          <w:color w:val="auto"/>
        </w:rPr>
        <w:t>For any shareholder proposal to be presented in connection with the 2017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87" w:lineRule="exact"/>
        <w:rPr>
          <w:sz w:val="20"/>
          <w:szCs w:val="20"/>
          <w:color w:val="auto"/>
        </w:rPr>
      </w:pPr>
    </w:p>
    <w:p>
      <w:pPr>
        <w:ind w:firstLine="345"/>
        <w:spacing w:after="0" w:line="276" w:lineRule="auto"/>
        <w:rPr>
          <w:sz w:val="20"/>
          <w:szCs w:val="20"/>
          <w:color w:val="auto"/>
        </w:rPr>
      </w:pPr>
      <w:r>
        <w:rPr>
          <w:rFonts w:ascii="Arial" w:cs="Arial" w:eastAsia="Arial" w:hAnsi="Arial"/>
          <w:sz w:val="17"/>
          <w:szCs w:val="17"/>
          <w:color w:val="auto"/>
        </w:rPr>
        <w:t>Based upon a meeting date of May 4, 2016 for the 2016 Annual Meeting of Shareholders, a qualified shareholder intending to introduce a proposal or nominate a director at the 2017 Annual Meeting of Shareholders should give written notice to the Company's Secretary not later than March 4, 2017 and not earlier than February 2, 2017.</w:t>
      </w:r>
    </w:p>
    <w:p>
      <w:pPr>
        <w:spacing w:after="0" w:line="176" w:lineRule="exact"/>
        <w:rPr>
          <w:sz w:val="20"/>
          <w:szCs w:val="20"/>
          <w:color w:val="auto"/>
        </w:rPr>
      </w:pPr>
    </w:p>
    <w:p>
      <w:pPr>
        <w:ind w:right="240" w:firstLine="342"/>
        <w:spacing w:after="0" w:line="291" w:lineRule="auto"/>
        <w:rPr>
          <w:sz w:val="20"/>
          <w:szCs w:val="20"/>
          <w:color w:val="auto"/>
        </w:rPr>
      </w:pPr>
      <w:r>
        <w:rPr>
          <w:rFonts w:ascii="Arial" w:cs="Arial" w:eastAsia="Arial" w:hAnsi="Arial"/>
          <w:sz w:val="17"/>
          <w:szCs w:val="17"/>
          <w:color w:val="auto"/>
        </w:rPr>
        <w:t>The specific requirements of these advance notice and eligibility provisions are set forth in Article II of the Company's Bylaws, a copy of which is available upon request.</w:t>
      </w:r>
    </w:p>
    <w:p>
      <w:pPr>
        <w:spacing w:after="0" w:line="164" w:lineRule="exact"/>
        <w:rPr>
          <w:sz w:val="20"/>
          <w:szCs w:val="20"/>
          <w:color w:val="auto"/>
        </w:rPr>
      </w:pPr>
    </w:p>
    <w:p>
      <w:pPr>
        <w:ind w:right="520" w:firstLine="345"/>
        <w:spacing w:after="0" w:line="291" w:lineRule="auto"/>
        <w:rPr>
          <w:sz w:val="20"/>
          <w:szCs w:val="20"/>
          <w:color w:val="auto"/>
        </w:rPr>
      </w:pPr>
      <w:r>
        <w:rPr>
          <w:rFonts w:ascii="Arial" w:cs="Arial" w:eastAsia="Arial" w:hAnsi="Arial"/>
          <w:sz w:val="17"/>
          <w:szCs w:val="17"/>
          <w:color w:val="auto"/>
        </w:rPr>
        <w:t>Such requests and any shareholder proposals should be sent to the Secretary of the Company at Allied Motion Technologies Inc., 495 Commerce Drive, Suite 3, Amherst, New York 14228.</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320040</wp:posOffset>
            </wp:positionV>
            <wp:extent cx="1679575" cy="708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79575" cy="70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P. KUBAREK</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April 4, 2016</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915670</wp:posOffset>
            </wp:positionH>
            <wp:positionV relativeFrom="page">
              <wp:posOffset>232410</wp:posOffset>
            </wp:positionV>
            <wp:extent cx="5738495" cy="7425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38495" cy="7425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915670</wp:posOffset>
            </wp:positionH>
            <wp:positionV relativeFrom="page">
              <wp:posOffset>88900</wp:posOffset>
            </wp:positionV>
            <wp:extent cx="5738495" cy="7425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738495" cy="7425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lvl w:ilvl="1">
      <w:lvlJc w:val="left"/>
      <w:lvlText w:val="(%2)"/>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Roman"/>
      <w:start w:val="3"/>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3"/>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2019-12-05T07:06:41Z</dcterms:created>
  <dcterms:modified xsi:type="dcterms:W3CDTF">2019-12-05T07:06:41Z</dcterms:modified>
</cp:coreProperties>
</file>