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229"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60" w:space="480"/>
            <w:col w:w="2379"/>
          </w:cols>
          <w:pgMar w:left="240" w:top="469" w:right="1440" w:bottom="22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229" w:gutter="0" w:footer="0" w:header="0"/>
          <w:type w:val="continuous"/>
        </w:sectPr>
      </w:pP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469" w:right="1440" w:bottom="229" w:gutter="0" w:footer="0" w:header="0"/>
          <w:type w:val="continuous"/>
        </w:sectPr>
      </w:pPr>
    </w:p>
    <w:bookmarkStart w:id="1" w:name="page2"/>
    <w:bookmarkEnd w:id="1"/>
    <w:p>
      <w:pPr>
        <w:ind w:left="606" w:hanging="606"/>
        <w:spacing w:after="0"/>
        <w:tabs>
          <w:tab w:leader="none" w:pos="60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4"/>
          <w:szCs w:val="24"/>
          <w:b w:val="1"/>
          <w:bCs w:val="1"/>
          <w:color w:val="auto"/>
        </w:rPr>
        <w:t>ALLIED MOTION TECHNOLOGIES INC.</w:t>
      </w:r>
    </w:p>
    <w:p>
      <w:pPr>
        <w:spacing w:after="0" w:line="4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April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hereby notified that the annual meeting of shareholders of Allied Motion Technologies Inc. will be held on April 28, 2005 at 2:00 p.m. (Mountain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at the Lone Tree Country Club, 9808 Sunningdale Blvd., Lone Tree, Colorado for the following purposes:</w:t>
      </w:r>
    </w:p>
    <w:p>
      <w:pPr>
        <w:spacing w:after="0" w:line="213" w:lineRule="exact"/>
        <w:rPr>
          <w:sz w:val="20"/>
          <w:szCs w:val="20"/>
          <w:color w:val="auto"/>
        </w:rPr>
      </w:pPr>
    </w:p>
    <w:p>
      <w:pPr>
        <w:jc w:val="both"/>
        <w:ind w:right="180" w:firstLine="351"/>
        <w:spacing w:after="0" w:line="275" w:lineRule="auto"/>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to elect six persons to the Company's Board of Directors to serve until the next annual meeting of shareholders or until their successors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have qualified; and</w:t>
      </w:r>
    </w:p>
    <w:p>
      <w:pPr>
        <w:spacing w:after="0" w:line="17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color w:val="auto"/>
        </w:rPr>
        <w:t>to consider and act upon such other business as may properly be presented for action at the Annual Meeting or any adjournment thereof.</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Board of Directors has fixed the close of business on March 15, 2005 as the record date (the "Record Date") for the Annual Meeting. Only shareholders of record at the close of business on the Record Date will be entitled to notice of and to vote at the Annual Meeting. Our transfer books will not be closed.</w:t>
      </w:r>
    </w:p>
    <w:p>
      <w:pPr>
        <w:spacing w:after="0" w:line="11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4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148590</wp:posOffset>
            </wp:positionV>
            <wp:extent cx="241808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4"/>
          <w:szCs w:val="24"/>
          <w:b w:val="1"/>
          <w:bCs w:val="1"/>
          <w:color w:val="auto"/>
        </w:rPr>
        <w:t>ALLIED MOTION TECHNOLOGIES INC.</w:t>
      </w:r>
    </w:p>
    <w:p>
      <w:pPr>
        <w:spacing w:after="0" w:line="4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of Common Stock of Allied Motion Technologies Inc. (the Company) in connection with the solicitation of proxies by the Board of Directors to be voted at the Annual Meeting of shareholders to be held on April 28, 2005 at 2:00 p.m. (Mountain Time) at the Lone Tree Country Club, 9808 Sunningdale Blvd., Lone Tree, Colorado. The Annual Meeting is called for the purposes set forth in the accompanying Notice of Annual Meeting of Shareholders. This proxy statement and the accompanying proxy card were first mailed to shareholders on or about March 28, 2005.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AND VOTING RIGHTS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presence, in person or by proxy, of the holders of a majority of the votes entitled to be cast on the matter presented is necessary to constitute a quorum at the Annual Meeting. Shares of the Company's Common Stock represented by properly executed proxies that reflect abstentions or broker non-votes will be counted as present for purposes of determining the presence of a quorum at the annual meeting. Broker non-votes are shares held in street name for which the broker indicates that instructions have not been received from the beneficial owners or other persons entitled to vote, and the broker does not have discretionary voting authority.</w:t>
      </w:r>
    </w:p>
    <w:p>
      <w:pPr>
        <w:spacing w:after="0" w:line="19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The affirmative vote of the holders of two-thirds of the shares of Common Stock entitled to vote at the Annual Meeting is required for the election of directors (Item 1). Since the election of directors requires the approving vote to be measured against all shares of Common Stock entitled to vote, an abstention and withholding authority from that vote is the equivalent of a vote against election of nominated directors. The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for determination of shareholders entitled to notice of, and to vote at, the Annual Meeting is the close of business on March 15, 2005. As of the Record Date, there were 6,091,439 shares of Common Stock outstanding, each of which is entitled to one vote at the Annual Meeting.</w:t>
      </w:r>
    </w:p>
    <w:p>
      <w:pPr>
        <w:spacing w:after="0" w:line="170" w:lineRule="exact"/>
        <w:rPr>
          <w:sz w:val="20"/>
          <w:szCs w:val="20"/>
          <w:color w:val="auto"/>
        </w:rPr>
      </w:pPr>
    </w:p>
    <w:p>
      <w:pPr>
        <w:ind w:right="60" w:firstLine="341"/>
        <w:spacing w:after="0" w:line="310" w:lineRule="auto"/>
        <w:rPr>
          <w:sz w:val="20"/>
          <w:szCs w:val="20"/>
          <w:color w:val="auto"/>
        </w:rPr>
      </w:pPr>
      <w:r>
        <w:rPr>
          <w:rFonts w:ascii="Arial" w:cs="Arial" w:eastAsia="Arial" w:hAnsi="Arial"/>
          <w:sz w:val="15"/>
          <w:szCs w:val="15"/>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six nominees for director (Item 1), and in the discretion of the proxy holders on any other matter that may properly come before the Annual Meeting (Item 2). Any holder of Common Stock has the unconditional right to revoke his or her proxy at any time prior to the voting thereof at the Annual Meeting by (i) filing with the Secretary of the Company written revocation of his or her proxy prior to the voting thereof, (ii) giving a duly executed proxy bearing a later date, or (iii) voting in person at the Annual Meeting. If a shareholder's shares are held by a broker, bank or other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16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 D.F. King &amp; Co., Inc. to aid in the solicitation of proxies in person, by mail or telephone. If retained, the costs are not expected to exceed $5,000 plus expenses. We will request banking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4" w:name="page5"/>
    <w:bookmarkEnd w:id="4"/>
    <w:p>
      <w:pPr>
        <w:ind w:right="20"/>
        <w:spacing w:after="0" w:line="256" w:lineRule="auto"/>
        <w:rPr>
          <w:sz w:val="20"/>
          <w:szCs w:val="20"/>
          <w:color w:val="auto"/>
        </w:rPr>
      </w:pPr>
      <w:r>
        <w:rPr>
          <w:rFonts w:ascii="Arial" w:cs="Arial" w:eastAsia="Arial" w:hAnsi="Arial"/>
          <w:sz w:val="18"/>
          <w:szCs w:val="18"/>
          <w:color w:val="auto"/>
        </w:rPr>
        <w:t>brokerage firms, custodians, trustees, nominees and fiduciaries to forward solicitation materials to the beneficial owners of Common Stock held of record by such entities, and we will, upon the request of such record holders, reimburse reasonable forwarding expenses. The costs of preparing, printing, assembling and mailing the proxy statement, proxy card and all materials used in the solicitation of proxies to shareholders, and all clerical and other expenses of such solicitation, will be borne by the Company.</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six persons, as such number is determined by the Board of Directors, all of whom will be elected annually to serve until the next annual meeting of shareholders and until their successors are elected and qualified, or until the director resigns or is otherwise removed. During 2004, the board approved the increase in the number of directors from five to six directors and appointed Mr. Michel (Mike) Robert to serve on the Board until the next annual meeting of shareholders.</w:t>
      </w:r>
    </w:p>
    <w:p>
      <w:pPr>
        <w:spacing w:after="0" w:line="16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 RECOMMENDS A VOTE "FOR" EACH NOMINEE NAMED.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concerning the nominees for election as directors has been provided by the respective nominee:</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6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Age</w:t>
            </w:r>
          </w:p>
        </w:tc>
        <w:tc>
          <w:tcPr>
            <w:tcW w:w="240" w:type="dxa"/>
            <w:vAlign w:val="bottom"/>
          </w:tcPr>
          <w:p>
            <w:pPr>
              <w:spacing w:after="0"/>
              <w:rPr>
                <w:sz w:val="15"/>
                <w:szCs w:val="15"/>
                <w:color w:val="auto"/>
              </w:rPr>
            </w:pPr>
          </w:p>
        </w:tc>
        <w:tc>
          <w:tcPr>
            <w:tcW w:w="3560" w:type="dxa"/>
            <w:vAlign w:val="bottom"/>
          </w:tcPr>
          <w:p>
            <w:pPr>
              <w:ind w:left="1000"/>
              <w:spacing w:after="0"/>
              <w:rPr>
                <w:sz w:val="20"/>
                <w:szCs w:val="20"/>
                <w:color w:val="auto"/>
              </w:rPr>
            </w:pPr>
            <w:r>
              <w:rPr>
                <w:rFonts w:ascii="Arial" w:cs="Arial" w:eastAsia="Arial" w:hAnsi="Arial"/>
                <w:sz w:val="14"/>
                <w:szCs w:val="14"/>
                <w:b w:val="1"/>
                <w:bCs w:val="1"/>
                <w:color w:val="auto"/>
              </w:rPr>
              <w:t>Position with the Company</w:t>
            </w:r>
          </w:p>
        </w:tc>
      </w:tr>
      <w:tr>
        <w:trPr>
          <w:trHeight w:val="105"/>
        </w:trPr>
        <w:tc>
          <w:tcPr>
            <w:tcW w:w="3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r>
      <w:tr>
        <w:trPr>
          <w:trHeight w:val="105"/>
        </w:trPr>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Chairman of the Board of Directors</w:t>
            </w:r>
          </w:p>
        </w:tc>
      </w:tr>
      <w:tr>
        <w:trPr>
          <w:trHeight w:val="208"/>
        </w:trPr>
        <w:tc>
          <w:tcPr>
            <w:tcW w:w="3660" w:type="dxa"/>
            <w:vAlign w:val="bottom"/>
          </w:tcPr>
          <w:p>
            <w:pPr>
              <w:spacing w:after="0"/>
              <w:rPr>
                <w:sz w:val="20"/>
                <w:szCs w:val="20"/>
                <w:color w:val="auto"/>
              </w:rPr>
            </w:pPr>
            <w:r>
              <w:rPr>
                <w:rFonts w:ascii="Arial" w:cs="Arial" w:eastAsia="Arial" w:hAnsi="Arial"/>
                <w:sz w:val="18"/>
                <w:szCs w:val="18"/>
                <w:color w:val="auto"/>
              </w:rPr>
              <w:t>Richard D. Smith</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w w:val="95"/>
              </w:rPr>
              <w:t>Chief Executive Officer, Chief Financial Officer</w:t>
            </w:r>
          </w:p>
        </w:tc>
      </w:tr>
      <w:tr>
        <w:trPr>
          <w:trHeight w:val="223"/>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and Director</w:t>
            </w: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Graydon D. Hubbard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Michel M. Robert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-1045210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-1045210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-1045210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-1045210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-1045210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-1045210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Mr. Prince has served as a director of the Company since October 1975 and as Chairman of the Board of Directors since January 1981. He served as President of the Company from October 1975 and as Chief Executive Officer from September 1976 until his resignation from those offices on August 13, 1998. He retired from his employment with the Company effective August 13,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 If nominated, Mr. Prince is under no obligation to accept the appointment.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 w:name="page6"/>
    <w:bookmarkEnd w:id="5"/>
    <w:p>
      <w:pPr>
        <w:ind w:right="40" w:firstLine="351"/>
        <w:spacing w:after="0" w:line="298" w:lineRule="auto"/>
        <w:rPr>
          <w:sz w:val="20"/>
          <w:szCs w:val="20"/>
          <w:color w:val="auto"/>
        </w:rPr>
      </w:pPr>
      <w:r>
        <w:rPr>
          <w:rFonts w:ascii="Arial" w:cs="Arial" w:eastAsia="Arial" w:hAnsi="Arial"/>
          <w:sz w:val="16"/>
          <w:szCs w:val="16"/>
          <w:color w:val="auto"/>
        </w:rPr>
        <w:t>Mr. Smith has served as a director of the Company since August 1996. He has served as Chief Executive Officer since August 13, 1998. He served as President from August 13, 1998 until May 1, 2002. He was Executive Vice President from August 1993 until August 1998. 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167"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on six separate entities overseeing the operation of funds in the American Century Investors fund complex.</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Mr. Hubbard has served as a director of the Company since 1991. He is a retired certified public accountant and was a partner of Arthur Andersen LLP, the Company's former independent public accountants, in its Denver office for more than five years prior to his retirement in November 1989. Since September 2003, he has served as a director of Whiting Petroleum Corporation, an independent oil and gas company engaged in acquisition, exploitation, exploration and development. Mr. Hubbard is also an author.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Mr. Pilmanis has served as a director of the Company since 1993. For more than five years prior to his retirement in 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Mr. Robert has served as a director of Allied Motion since July 2004. He founded Decision Processes International, Inc. (DPI) in 1980 to provide consulting services in the field of strategy development and deployment. He is currently Chief Executive Officer and President of DPI. Mr. Robert has been published in a wide array of business magazines and journals and has authored several books, all of which are best sellers.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Board of Directors has determined that each current director, other than Mr. Smith, the Company's Chief Executive Officer and Chief Financial Officer, is "independent" as defined in the listing standards of the Nasdaq Small Cap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Board of Directors held four regular meetings and two phone meetings during the year ended December 31, 2004. Each director attended or participated in 75% or more of the total number of meetings of the board held during the period for which he has been a director and all committees of the board on which such director served. All directors are expected to regularly attend all meetings of the Board and the Board committees on which he serves. In addition, each director is expected to attend the Annual Meeting of Shareholders. In 2004, the Annual Meeting of Shareholders was attended by all of the directors in office at that time.</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of Directors has established an Audit Committee and a Compensation Committee, each of which is composed of directors who are not employees of the Company.</w:t>
      </w:r>
    </w:p>
    <w:p>
      <w:pPr>
        <w:spacing w:after="0" w:line="186"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Board of Directors does not have a standing nominating committee. The Board of Directors has adopted resolutions providing that a majority of the independent directors shall be responsible for identifying, screening, recruiting and presenting director candidates to the Board of Directors.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ind w:right="240"/>
        <w:spacing w:after="0" w:line="268" w:lineRule="auto"/>
        <w:rPr>
          <w:sz w:val="20"/>
          <w:szCs w:val="20"/>
          <w:color w:val="auto"/>
        </w:rPr>
      </w:pPr>
      <w:r>
        <w:rPr>
          <w:rFonts w:ascii="Arial" w:cs="Arial" w:eastAsia="Arial" w:hAnsi="Arial"/>
          <w:sz w:val="18"/>
          <w:szCs w:val="18"/>
          <w:color w:val="auto"/>
        </w:rPr>
        <w:t>Board of Directors will consider nominees recommended by shareholders who meet the requirements for shareholder proposals set forth on the last page of the Proxy Statement. Any such person will be evaluated in the same manner as any other potential nominee for director.</w:t>
      </w:r>
    </w:p>
    <w:p>
      <w:pPr>
        <w:spacing w:after="0" w:line="186"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Board has not adopted specific minimum criteria for director nominees. The independent directors identify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independent directors decide not to nominate a member for re-election, the independent directors first consider the appropriateness of the size of the board. If the independent directors determine the board seat should remain and a vacancy exists, the independent directors consider factors that it deems are in the best interests of the Company and its shareholders in identifying and evaluating a new nominee. The independent directors will consider nominees suggested by incumbent Board members, management, shareholders and, in certain circumstances, outside search firms.</w:t>
      </w:r>
    </w:p>
    <w:p>
      <w:pPr>
        <w:spacing w:after="0" w:line="172"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Audit Committee is responsible for the appointment, replacement, compensation and oversight of the work of the Company's independent auditors. The Audit Committee also reviews the Company's annual and quarterly reports filed with the Securities and Exchange Commission. The Audit Committee is composed of three non-employee directors. The members of the Audit Committee during 2004 were Messrs. Hubbard (Chairman), Hock and Pilmanis. The members of the Audit Committee are independent as defined in the listing standards of the Nasdaq Small Cap Market. The Audit Committee held one meeting during year 2004. The Audit Committee Chairman met quarterly with the Company's independent auditors and made a presentation of each quarterly review to the Board of Directors. The Board has adopted a written charter for the Audit Committee which was included as Exhibit A to the Company's 2004 proxy statement dated March 29, 2004.</w:t>
      </w:r>
    </w:p>
    <w:p>
      <w:pPr>
        <w:spacing w:after="0" w:line="20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The members of the Compensation Committee are Messrs. Pilmanis (Chairman), Hock and Hubbard. The Compensation Committee held one regular meeting during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provides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unopened, to that member. Correspondence not directed to a particular board member will be referred, unopened, to the Chairman of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information regarding the Executive Officers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Age</w:t>
            </w:r>
          </w:p>
        </w:tc>
        <w:tc>
          <w:tcPr>
            <w:tcW w:w="240" w:type="dxa"/>
            <w:vAlign w:val="bottom"/>
          </w:tcPr>
          <w:p>
            <w:pPr>
              <w:spacing w:after="0"/>
              <w:rPr>
                <w:sz w:val="15"/>
                <w:szCs w:val="15"/>
                <w:color w:val="auto"/>
              </w:rPr>
            </w:pPr>
          </w:p>
        </w:tc>
        <w:tc>
          <w:tcPr>
            <w:tcW w:w="3560" w:type="dxa"/>
            <w:vAlign w:val="bottom"/>
          </w:tcPr>
          <w:p>
            <w:pPr>
              <w:ind w:left="1000"/>
              <w:spacing w:after="0"/>
              <w:rPr>
                <w:sz w:val="20"/>
                <w:szCs w:val="20"/>
                <w:color w:val="auto"/>
              </w:rPr>
            </w:pPr>
            <w:r>
              <w:rPr>
                <w:rFonts w:ascii="Arial" w:cs="Arial" w:eastAsia="Arial" w:hAnsi="Arial"/>
                <w:sz w:val="14"/>
                <w:szCs w:val="14"/>
                <w:b w:val="1"/>
                <w:bCs w:val="1"/>
                <w:color w:val="auto"/>
              </w:rPr>
              <w:t>Position with the Company</w:t>
            </w:r>
          </w:p>
        </w:tc>
        <w:tc>
          <w:tcPr>
            <w:tcW w:w="16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660" w:type="dxa"/>
            <w:vAlign w:val="bottom"/>
          </w:tcPr>
          <w:p>
            <w:pPr>
              <w:spacing w:after="0"/>
              <w:rPr>
                <w:sz w:val="9"/>
                <w:szCs w:val="9"/>
                <w:color w:val="auto"/>
              </w:rPr>
            </w:pPr>
          </w:p>
        </w:tc>
      </w:tr>
      <w:tr>
        <w:trPr>
          <w:trHeight w:val="105"/>
        </w:trPr>
        <w:tc>
          <w:tcPr>
            <w:tcW w:w="16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08"/>
        </w:trPr>
        <w:tc>
          <w:tcPr>
            <w:tcW w:w="1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Chief Executive Officer, Chief Financial Officer</w:t>
            </w:r>
          </w:p>
        </w:tc>
        <w:tc>
          <w:tcPr>
            <w:tcW w:w="1660" w:type="dxa"/>
            <w:vAlign w:val="bottom"/>
          </w:tcPr>
          <w:p>
            <w:pPr>
              <w:spacing w:after="0"/>
              <w:rPr>
                <w:sz w:val="18"/>
                <w:szCs w:val="18"/>
                <w:color w:val="auto"/>
              </w:rPr>
            </w:pPr>
          </w:p>
        </w:tc>
      </w:tr>
      <w:tr>
        <w:trPr>
          <w:trHeight w:val="224"/>
        </w:trPr>
        <w:tc>
          <w:tcPr>
            <w:tcW w:w="166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Director</w:t>
            </w:r>
          </w:p>
        </w:tc>
        <w:tc>
          <w:tcPr>
            <w:tcW w:w="166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Richard S. Warzala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President and Chief Operating Officer</w:t>
            </w:r>
          </w:p>
        </w:tc>
        <w:tc>
          <w:tcPr>
            <w:tcW w:w="16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of Marketing</w:t>
            </w:r>
          </w:p>
        </w:tc>
        <w:tc>
          <w:tcPr>
            <w:tcW w:w="1660" w:type="dxa"/>
            <w:vAlign w:val="bottom"/>
          </w:tcPr>
          <w:p>
            <w:pPr>
              <w:spacing w:after="0"/>
              <w:rPr>
                <w:sz w:val="18"/>
                <w:szCs w:val="18"/>
                <w:color w:val="auto"/>
              </w:rPr>
            </w:pPr>
          </w:p>
        </w:tc>
      </w:tr>
      <w:tr>
        <w:trPr>
          <w:trHeight w:val="430"/>
        </w:trPr>
        <w:tc>
          <w:tcPr>
            <w:tcW w:w="1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40" w:type="dxa"/>
            <w:vAlign w:val="bottom"/>
            <w:gridSpan w:val="2"/>
          </w:tcPr>
          <w:p>
            <w:pPr>
              <w:jc w:val="right"/>
              <w:ind w:right="13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-1060450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-1060450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-1060450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-1060450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-1060450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-1060450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Information with respect to Mr. Smith's employment experience is provided above under "Director Nominees."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Warzala was appointed President and Chief Operating Officer of the Company in May 2002 and has been employed by the Company since</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Wyman was named Vice President of Marketing of Allied Motion in February 2003. He was designated as an executive officer in February 2005. From</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2000 to 2002, he was Vice President of Marketing for the Motion Components Group of Danaher Corporation. In 1995, Mr. Wyman joined API Motion as Director of Marketing, and later was named Vice President of Marketing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2004 except for the following: Form 4's to report the grant of stock options were filed late once for each of Mr. Prince, Mr. Hubbard, Mr. Hock, Mr. Pilmanis, Mr. Smith and Mr. Warzala; and one Form 4 to report the exercise of stock options was filed late for Mr. Hubbard.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following table and notes set forth, as of the Record Date (except for Mr. Kamin for whom information is provided as of February 2, 2005),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officers and all persons who serve as executive officers and directors of the Company, as a group.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4"/>
        </w:trPr>
        <w:tc>
          <w:tcPr>
            <w:tcW w:w="536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 Ownership(1)</w:t>
            </w:r>
          </w:p>
        </w:tc>
        <w:tc>
          <w:tcPr>
            <w:tcW w:w="22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4"/>
                <w:szCs w:val="14"/>
                <w:b w:val="1"/>
                <w:bCs w:val="1"/>
                <w:color w:val="auto"/>
                <w:w w:val="94"/>
              </w:rPr>
              <w:t>Percent of Class(2)</w:t>
            </w:r>
          </w:p>
        </w:tc>
      </w:tr>
      <w:tr>
        <w:trPr>
          <w:trHeight w:val="105"/>
        </w:trPr>
        <w:tc>
          <w:tcPr>
            <w:tcW w:w="5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45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890,383(3)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40" w:type="dxa"/>
            <w:vAlign w:val="bottom"/>
          </w:tcPr>
          <w:p>
            <w:pPr>
              <w:spacing w:after="0"/>
              <w:rPr>
                <w:sz w:val="24"/>
                <w:szCs w:val="24"/>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4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2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4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40" w:type="dxa"/>
            <w:vAlign w:val="bottom"/>
          </w:tcPr>
          <w:p>
            <w:pPr>
              <w:spacing w:after="0"/>
              <w:rPr>
                <w:sz w:val="19"/>
                <w:szCs w:val="19"/>
                <w:color w:val="auto"/>
              </w:rPr>
            </w:pPr>
          </w:p>
        </w:tc>
      </w:tr>
      <w:tr>
        <w:trPr>
          <w:trHeight w:val="424"/>
        </w:trPr>
        <w:tc>
          <w:tcPr>
            <w:tcW w:w="3980" w:type="dxa"/>
            <w:vAlign w:val="bottom"/>
          </w:tcPr>
          <w:p>
            <w:pPr>
              <w:spacing w:after="0"/>
              <w:rPr>
                <w:sz w:val="20"/>
                <w:szCs w:val="20"/>
                <w:color w:val="auto"/>
              </w:rPr>
            </w:pPr>
            <w:r>
              <w:rPr>
                <w:rFonts w:ascii="Arial" w:cs="Arial" w:eastAsia="Arial" w:hAnsi="Arial"/>
                <w:sz w:val="18"/>
                <w:szCs w:val="18"/>
                <w:color w:val="auto"/>
              </w:rPr>
              <w:t>Richard D. Smith</w:t>
            </w:r>
          </w:p>
        </w:tc>
        <w:tc>
          <w:tcPr>
            <w:tcW w:w="4580" w:type="dxa"/>
            <w:vAlign w:val="bottom"/>
          </w:tcPr>
          <w:p>
            <w:pPr>
              <w:jc w:val="right"/>
              <w:ind w:right="432"/>
              <w:spacing w:after="0"/>
              <w:rPr>
                <w:sz w:val="20"/>
                <w:szCs w:val="20"/>
                <w:color w:val="auto"/>
              </w:rPr>
            </w:pPr>
            <w:r>
              <w:rPr>
                <w:rFonts w:ascii="Arial" w:cs="Arial" w:eastAsia="Arial" w:hAnsi="Arial"/>
                <w:sz w:val="18"/>
                <w:szCs w:val="18"/>
                <w:color w:val="auto"/>
              </w:rPr>
              <w:t>735,218(4)</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84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23 Inverness Way East, Ste. 150</w:t>
            </w:r>
          </w:p>
        </w:tc>
        <w:tc>
          <w:tcPr>
            <w:tcW w:w="4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Englewood, CO 80112</w:t>
            </w:r>
          </w:p>
        </w:tc>
        <w:tc>
          <w:tcPr>
            <w:tcW w:w="4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Peter H. Kamin</w:t>
            </w:r>
          </w:p>
        </w:tc>
        <w:tc>
          <w:tcPr>
            <w:tcW w:w="45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567,700(5)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40" w:type="dxa"/>
            <w:vAlign w:val="bottom"/>
          </w:tcPr>
          <w:p>
            <w:pPr>
              <w:spacing w:after="0"/>
              <w:rPr>
                <w:sz w:val="24"/>
                <w:szCs w:val="24"/>
                <w:color w:val="auto"/>
              </w:rPr>
            </w:pPr>
          </w:p>
        </w:tc>
      </w:tr>
      <w:tr>
        <w:trPr>
          <w:trHeight w:val="21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 The Nelson Law Firm, LLC</w:t>
            </w:r>
          </w:p>
        </w:tc>
        <w:tc>
          <w:tcPr>
            <w:tcW w:w="4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55"/>
        </w:trPr>
        <w:tc>
          <w:tcPr>
            <w:tcW w:w="398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4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40" w:type="dxa"/>
            <w:vAlign w:val="bottom"/>
          </w:tcPr>
          <w:p>
            <w:pPr>
              <w:spacing w:after="0"/>
              <w:rPr>
                <w:sz w:val="22"/>
                <w:szCs w:val="22"/>
                <w:color w:val="auto"/>
              </w:rPr>
            </w:pPr>
          </w:p>
        </w:tc>
      </w:tr>
      <w:tr>
        <w:trPr>
          <w:trHeight w:val="22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White Plains, New York 10601</w:t>
            </w:r>
          </w:p>
        </w:tc>
        <w:tc>
          <w:tcPr>
            <w:tcW w:w="4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40" w:type="dxa"/>
            <w:vAlign w:val="bottom"/>
          </w:tcPr>
          <w:p>
            <w:pPr>
              <w:spacing w:after="0"/>
              <w:rPr>
                <w:sz w:val="19"/>
                <w:szCs w:val="19"/>
                <w:color w:val="auto"/>
              </w:rPr>
            </w:pPr>
          </w:p>
        </w:tc>
      </w:tr>
      <w:tr>
        <w:trPr>
          <w:trHeight w:val="424"/>
        </w:trPr>
        <w:tc>
          <w:tcPr>
            <w:tcW w:w="3980" w:type="dxa"/>
            <w:vAlign w:val="bottom"/>
          </w:tcPr>
          <w:p>
            <w:pPr>
              <w:spacing w:after="0"/>
              <w:rPr>
                <w:sz w:val="20"/>
                <w:szCs w:val="20"/>
                <w:color w:val="auto"/>
              </w:rPr>
            </w:pPr>
            <w:r>
              <w:rPr>
                <w:rFonts w:ascii="Arial" w:cs="Arial" w:eastAsia="Arial" w:hAnsi="Arial"/>
                <w:sz w:val="18"/>
                <w:szCs w:val="18"/>
                <w:color w:val="auto"/>
              </w:rPr>
              <w:t>Richard S. Warzala</w:t>
            </w:r>
          </w:p>
        </w:tc>
        <w:tc>
          <w:tcPr>
            <w:tcW w:w="4580" w:type="dxa"/>
            <w:vAlign w:val="bottom"/>
          </w:tcPr>
          <w:p>
            <w:pPr>
              <w:jc w:val="right"/>
              <w:ind w:right="432"/>
              <w:spacing w:after="0"/>
              <w:rPr>
                <w:sz w:val="20"/>
                <w:szCs w:val="20"/>
                <w:color w:val="auto"/>
              </w:rPr>
            </w:pPr>
            <w:r>
              <w:rPr>
                <w:rFonts w:ascii="Arial" w:cs="Arial" w:eastAsia="Arial" w:hAnsi="Arial"/>
                <w:sz w:val="18"/>
                <w:szCs w:val="18"/>
                <w:color w:val="auto"/>
              </w:rPr>
              <w:t>455,783(6)</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84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23 Inverness Way East, Ste. 150</w:t>
            </w:r>
          </w:p>
        </w:tc>
        <w:tc>
          <w:tcPr>
            <w:tcW w:w="4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Englewood, CO 80112</w:t>
            </w:r>
          </w:p>
        </w:tc>
        <w:tc>
          <w:tcPr>
            <w:tcW w:w="4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7"/>
        </w:trPr>
        <w:tc>
          <w:tcPr>
            <w:tcW w:w="39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673"/>
        </w:trPr>
        <w:tc>
          <w:tcPr>
            <w:tcW w:w="3980" w:type="dxa"/>
            <w:vAlign w:val="bottom"/>
          </w:tcPr>
          <w:p>
            <w:pPr>
              <w:spacing w:after="0"/>
              <w:rPr>
                <w:sz w:val="24"/>
                <w:szCs w:val="24"/>
                <w:color w:val="auto"/>
              </w:rPr>
            </w:pPr>
          </w:p>
        </w:tc>
        <w:tc>
          <w:tcPr>
            <w:tcW w:w="4580" w:type="dxa"/>
            <w:vAlign w:val="bottom"/>
          </w:tcPr>
          <w:p>
            <w:pPr>
              <w:jc w:val="right"/>
              <w:ind w:right="2712"/>
              <w:spacing w:after="0"/>
              <w:rPr>
                <w:sz w:val="20"/>
                <w:szCs w:val="20"/>
                <w:color w:val="auto"/>
              </w:rPr>
            </w:pPr>
            <w:r>
              <w:rPr>
                <w:rFonts w:ascii="Arial" w:cs="Arial" w:eastAsia="Arial" w:hAnsi="Arial"/>
                <w:sz w:val="18"/>
                <w:szCs w:val="18"/>
                <w:color w:val="auto"/>
              </w:rPr>
              <w:t>5</w:t>
            </w: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398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432"/>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M. Robert</w:t>
            </w:r>
          </w:p>
        </w:tc>
        <w:tc>
          <w:tcPr>
            <w:tcW w:w="2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247,700(7)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431"/>
        </w:trPr>
        <w:tc>
          <w:tcPr>
            <w:tcW w:w="6040" w:type="dxa"/>
            <w:vAlign w:val="bottom"/>
            <w:gridSpan w:val="2"/>
          </w:tcPr>
          <w:p>
            <w:pPr>
              <w:spacing w:after="0"/>
              <w:rPr>
                <w:sz w:val="20"/>
                <w:szCs w:val="20"/>
                <w:color w:val="auto"/>
              </w:rPr>
            </w:pPr>
            <w:r>
              <w:rPr>
                <w:rFonts w:ascii="Arial" w:cs="Arial" w:eastAsia="Arial" w:hAnsi="Arial"/>
                <w:sz w:val="18"/>
                <w:szCs w:val="18"/>
                <w:color w:val="auto"/>
              </w:rPr>
              <w:t>Delwin D. Hock</w:t>
            </w:r>
          </w:p>
        </w:tc>
        <w:tc>
          <w:tcPr>
            <w:tcW w:w="2520" w:type="dxa"/>
            <w:vAlign w:val="bottom"/>
          </w:tcPr>
          <w:p>
            <w:pPr>
              <w:jc w:val="right"/>
              <w:ind w:right="512"/>
              <w:spacing w:after="0"/>
              <w:rPr>
                <w:sz w:val="20"/>
                <w:szCs w:val="20"/>
                <w:color w:val="auto"/>
              </w:rPr>
            </w:pPr>
            <w:r>
              <w:rPr>
                <w:rFonts w:ascii="Arial" w:cs="Arial" w:eastAsia="Arial" w:hAnsi="Arial"/>
                <w:sz w:val="18"/>
                <w:szCs w:val="18"/>
                <w:color w:val="auto"/>
              </w:rPr>
              <w:t>64,833(8)</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3"/>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Graydon D. Hubbard</w:t>
            </w:r>
          </w:p>
        </w:tc>
        <w:tc>
          <w:tcPr>
            <w:tcW w:w="2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58,833(9)</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431"/>
        </w:trPr>
        <w:tc>
          <w:tcPr>
            <w:tcW w:w="6040" w:type="dxa"/>
            <w:vAlign w:val="bottom"/>
            <w:gridSpan w:val="2"/>
          </w:tcPr>
          <w:p>
            <w:pPr>
              <w:spacing w:after="0"/>
              <w:rPr>
                <w:sz w:val="20"/>
                <w:szCs w:val="20"/>
                <w:color w:val="auto"/>
              </w:rPr>
            </w:pPr>
            <w:r>
              <w:rPr>
                <w:rFonts w:ascii="Arial" w:cs="Arial" w:eastAsia="Arial" w:hAnsi="Arial"/>
                <w:sz w:val="18"/>
                <w:szCs w:val="18"/>
                <w:color w:val="auto"/>
              </w:rPr>
              <w:t>George J. Pilmanis</w:t>
            </w:r>
          </w:p>
        </w:tc>
        <w:tc>
          <w:tcPr>
            <w:tcW w:w="2520" w:type="dxa"/>
            <w:vAlign w:val="bottom"/>
          </w:tcPr>
          <w:p>
            <w:pPr>
              <w:jc w:val="right"/>
              <w:ind w:right="412"/>
              <w:spacing w:after="0"/>
              <w:rPr>
                <w:sz w:val="20"/>
                <w:szCs w:val="20"/>
                <w:color w:val="auto"/>
              </w:rPr>
            </w:pPr>
            <w:r>
              <w:rPr>
                <w:rFonts w:ascii="Arial" w:cs="Arial" w:eastAsia="Arial" w:hAnsi="Arial"/>
                <w:sz w:val="18"/>
                <w:szCs w:val="18"/>
                <w:color w:val="auto"/>
              </w:rPr>
              <w:t>41,333(10)</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433"/>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25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40,648(11)</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auto"/>
              </w:rPr>
              <w:t>Directors and executive officers of the Company as a group (8 persons)</w:t>
            </w:r>
          </w:p>
        </w:tc>
        <w:tc>
          <w:tcPr>
            <w:tcW w:w="2520" w:type="dxa"/>
            <w:vAlign w:val="bottom"/>
          </w:tcPr>
          <w:p>
            <w:pPr>
              <w:jc w:val="right"/>
              <w:ind w:right="412"/>
              <w:spacing w:after="0"/>
              <w:rPr>
                <w:sz w:val="20"/>
                <w:szCs w:val="20"/>
                <w:color w:val="auto"/>
              </w:rPr>
            </w:pPr>
            <w:r>
              <w:rPr>
                <w:rFonts w:ascii="Arial" w:cs="Arial" w:eastAsia="Arial" w:hAnsi="Arial"/>
                <w:sz w:val="18"/>
                <w:szCs w:val="18"/>
                <w:color w:val="auto"/>
              </w:rPr>
              <w:t>2,534,733(12)</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120"/>
        </w:trPr>
        <w:tc>
          <w:tcPr>
            <w:tcW w:w="1680" w:type="dxa"/>
            <w:vAlign w:val="bottom"/>
            <w:tcBorders>
              <w:bottom w:val="single" w:sz="8" w:color="808080"/>
            </w:tcBorders>
          </w:tcPr>
          <w:p>
            <w:pPr>
              <w:spacing w:after="0"/>
              <w:rPr>
                <w:sz w:val="10"/>
                <w:szCs w:val="10"/>
                <w:color w:val="auto"/>
              </w:rPr>
            </w:pPr>
          </w:p>
        </w:tc>
        <w:tc>
          <w:tcPr>
            <w:tcW w:w="4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beneficial ownership is sole and direct unless otherwise noted.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percent of class is shown for holdings of less than 1%.</w:t>
      </w:r>
    </w:p>
    <w:p>
      <w:pPr>
        <w:spacing w:after="0" w:line="238"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112,833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207" w:lineRule="exact"/>
        <w:rPr>
          <w:rFonts w:ascii="Arial" w:cs="Arial" w:eastAsia="Arial" w:hAnsi="Arial"/>
          <w:sz w:val="18"/>
          <w:szCs w:val="18"/>
          <w:color w:val="auto"/>
        </w:rPr>
      </w:pPr>
    </w:p>
    <w:p>
      <w:pPr>
        <w:ind w:left="540" w:right="260" w:hanging="532"/>
        <w:spacing w:after="0" w:line="25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500,000 shares of Common Stock which Mr. Smith has the right to acquire within 60 days of the Record Date upon exercise of outstanding options and 191,735 shares of Common Stock held by the Company's Employee Stock Ownership Plan ("ESOP") as of the Record Date, as to which Mr. Smith could be deemed to have shared investment power as a trustee of the ESOP, which includes 6,151 shares of Common Stock credited to the ESOP account of Mr. Smith. Includes 42,583 shares of Common Stock held by Smith Family Trust, of which Mr. Smith is trustee. Includes 900 shares held by Mr. Smith's wife's IRA.</w:t>
      </w:r>
    </w:p>
    <w:p>
      <w:pPr>
        <w:spacing w:after="0" w:line="223"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Schedule 13G filed by Mr. Kamin with the Securities and Exchange Commission on or about February 2, 2005; includes 131,400 shares of held by Peter H. Kamin Childrens Trust, 157,732 shares held by Peter H. Kamin Profit Sharing Plan 7,800 shares held by Peter H. Kamin Family Foundation and 59,300 shares held by 3K Limited Partnership, all as to which Mr. Kamin has sole voting and investment power.</w:t>
      </w:r>
    </w:p>
    <w:p>
      <w:pPr>
        <w:spacing w:after="0" w:line="174"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433,333 shares of Common Stock which Mr. Warzala has the right to acquire within 60 days of the Record Date upon exercise of outstanding options. Includes 2,000 shares held by Mr. Warzala's children.</w:t>
      </w:r>
    </w:p>
    <w:p>
      <w:pPr>
        <w:spacing w:after="0" w:line="199" w:lineRule="exact"/>
        <w:rPr>
          <w:rFonts w:ascii="Arial" w:cs="Arial" w:eastAsia="Arial" w:hAnsi="Arial"/>
          <w:sz w:val="18"/>
          <w:szCs w:val="18"/>
          <w:color w:val="auto"/>
        </w:rPr>
      </w:pPr>
    </w:p>
    <w:p>
      <w:pPr>
        <w:ind w:left="540" w:right="440" w:hanging="532"/>
        <w:spacing w:after="0" w:line="29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40,000 shares of Common Stock which Mr. Robert has the right to acquire within 60 days of the Record Date upon exercise of outstanding options. Includes 128,815 shares held by Decision Processes International Inc. Defined Benefit Plan, of which Mr. Robert is trustee and as to which Mr. Robert disclaims beneficial ownership of these shares except to the extent of his pecuniary interest therein. Includes 49,544 shares held by Mr. Robert's childrens' trusts, of which Mr. Robert's wife is a co-trustee. Includes 19,818 shares held by Mr. Robert's IRA.</w:t>
      </w:r>
    </w:p>
    <w:p>
      <w:pPr>
        <w:spacing w:after="0" w:line="193" w:lineRule="exact"/>
        <w:rPr>
          <w:rFonts w:ascii="Arial" w:cs="Arial" w:eastAsia="Arial" w:hAnsi="Arial"/>
          <w:sz w:val="16"/>
          <w:szCs w:val="16"/>
          <w:color w:val="auto"/>
        </w:rPr>
      </w:pPr>
    </w:p>
    <w:p>
      <w:pPr>
        <w:ind w:left="540" w:right="5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58,833 shares of Common Stock which Mr. Hock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33,333 shares of Common Stock which Mr. Hubbard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33,333 shares of Common Stock which Mr. Pilmanis has the right to acquire within 60 days of the Record Date upon exercise of outstanding options.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9" w:name="page10"/>
    <w:bookmarkEnd w:id="9"/>
    <w:p>
      <w:pPr>
        <w:ind w:left="540" w:right="42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40,000 shares of Common Stock which Mr. Wyman has the right to acquire within 60 days of the Record Date upon exercise of outstanding options.</w:t>
      </w:r>
    </w:p>
    <w:p>
      <w:pPr>
        <w:spacing w:after="0" w:line="212" w:lineRule="exact"/>
        <w:rPr>
          <w:rFonts w:ascii="Arial" w:cs="Arial" w:eastAsia="Arial" w:hAnsi="Arial"/>
          <w:sz w:val="18"/>
          <w:szCs w:val="18"/>
          <w:color w:val="auto"/>
        </w:rPr>
      </w:pPr>
    </w:p>
    <w:p>
      <w:pPr>
        <w:ind w:left="540" w:right="100" w:hanging="532"/>
        <w:spacing w:after="0" w:line="30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1,251,667 shares of Common Stock which directors and executive officers have the right to acquire within 60 days of the Record Date upon exercise of outstanding options and 191,735 shares of Common Stock held by the ESOP as to which Mr. Smith has shared investment power as trustee of the ESOP, which includes 6,151 shares of Common Stock held by the ESOP for the account of Mr. Smith.</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holds four regular full day meetings each year. Through February 2005, non-employee directors were compensated at the rate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$3,900 per full day meeting of the board, $1,200 for each additional one-half day meeting, $550 per hour for a telephone meeting, $1,200 per committee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$1,200 per half day for official travel to locations outside the Denver area. After February 2005, non-employee directors receive an annual retainer of $15,000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$750 per full day meeting of the board attended and $600 per telephone meeting attended. The audit committee chairman receives an annual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$4,800, the compensation committee chairman receives an annual retainer of $2,400 and each audit and compensation committee member receives a $1,200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retainer.</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2004, stock options for 10,000 shares were granted to each of Mr. Prince, Mr. Hubbard, Mr. Pilmanis and Mr. Hock and a stock option for 40,000 shares was granted to Mr. Robert. All options were granted at the quoted market price on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Company indemnifies its directors and officers to the fullest extent permitted by law so they will serve free from undue concern that they will not be indemnified. Indemnification is required under the Company's Bylaws. The Company has also signed agreements with each of our directors contractually obligating the Company to provide the indemnification to them.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Summary of Compensation of Executive Officers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shows the compensation earned by the Chief Executive Officer and the President (the "Named Executive Officers") of the Company during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Long-Term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Annual Compensation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&amp;</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5"/>
                <w:szCs w:val="15"/>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All other 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 CEO</w:t>
            </w: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112,614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Transition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424"/>
        </w:trPr>
        <w:tc>
          <w:tcPr>
            <w:tcW w:w="282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2004</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230,000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157,063</w:t>
            </w:r>
          </w:p>
        </w:tc>
        <w:tc>
          <w:tcPr>
            <w:tcW w:w="1400" w:type="dxa"/>
            <w:vAlign w:val="bottom"/>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29,780(2)</w:t>
            </w:r>
          </w:p>
        </w:tc>
        <w:tc>
          <w:tcPr>
            <w:tcW w:w="0" w:type="dxa"/>
            <w:vAlign w:val="bottom"/>
          </w:tcPr>
          <w:p>
            <w:pPr>
              <w:spacing w:after="0"/>
              <w:rPr>
                <w:sz w:val="1"/>
                <w:szCs w:val="1"/>
                <w:color w:val="auto"/>
              </w:rPr>
            </w:pP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President and COO</w:t>
            </w: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107,821</w:t>
            </w:r>
          </w:p>
        </w:tc>
        <w:tc>
          <w:tcPr>
            <w:tcW w:w="140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Transition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117,500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-1840865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-1840865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-1840865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-1840865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-1403350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-1403350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-1403350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-1403350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-1403350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-1403350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-1403350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-1403350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-1403350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-1403350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-1403350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6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for Mr. Smith during 2004 consists of Company contributions to defined contribution plans of $7,705, and Company paid life insurance premiums of $17,512.</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for Mr. Warzala during 2004 consists of Company contributions to defined contribution plans of $7,705, and Company paid life insurance premiums of $22,075.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provides a summary of all stock options granted during 2004 to the Chief Executive Officer and President. It also shows a calculation of the potential realizable value if the fair market value of the Company's shares were to appreciate at either a 5% or 10% annual rate over the period of the option term.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Potential realizable 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annual rates of 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ind w:left="960"/>
              <w:spacing w:after="0"/>
              <w:rPr>
                <w:sz w:val="20"/>
                <w:szCs w:val="20"/>
                <w:color w:val="auto"/>
              </w:rPr>
            </w:pPr>
            <w:r>
              <w:rPr>
                <w:rFonts w:ascii="Arial" w:cs="Arial" w:eastAsia="Arial" w:hAnsi="Arial"/>
                <w:sz w:val="14"/>
                <w:szCs w:val="14"/>
                <w:b w:val="1"/>
                <w:bCs w:val="1"/>
                <w:color w:val="auto"/>
              </w:rPr>
              <w:t>Individual Grants</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for option term(3)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 in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granted(1)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Fiscal 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($/Sh)(2)</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5"/>
                <w:szCs w:val="15"/>
                <w:color w:val="auto"/>
              </w:rPr>
            </w:pPr>
          </w:p>
        </w:tc>
        <w:tc>
          <w:tcPr>
            <w:tcW w:w="1040" w:type="dxa"/>
            <w:vAlign w:val="bottom"/>
          </w:tcPr>
          <w:p>
            <w:pPr>
              <w:jc w:val="right"/>
              <w:ind w:right="286"/>
              <w:spacing w:after="0"/>
              <w:rPr>
                <w:sz w:val="20"/>
                <w:szCs w:val="20"/>
                <w:color w:val="auto"/>
              </w:rPr>
            </w:pPr>
            <w:r>
              <w:rPr>
                <w:rFonts w:ascii="Arial" w:cs="Arial" w:eastAsia="Arial" w:hAnsi="Arial"/>
                <w:sz w:val="14"/>
                <w:szCs w:val="14"/>
                <w:b w:val="1"/>
                <w:bCs w:val="1"/>
                <w:color w:val="auto"/>
              </w:rPr>
              <w:t>5%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Smith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04/21/2011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Richard Warzala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04/21/2011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104,299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-1069340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-1069340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-1069340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-1069340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-443230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-443230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-443230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-443230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-443230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-443230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-443230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-443230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-443230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-443230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-443230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-443230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grants permit the exercise of options in exchange for shares of the Company's Common Stock as well as for cash. In connection with a merger, sale of assets, share exchange, or change of control of the Company, the Committee may allow surrender for cash, substitution or cancellation.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price was established at quoted market price for Company shares on the date of grant.</w:t>
      </w:r>
    </w:p>
    <w:p>
      <w:pPr>
        <w:spacing w:after="0" w:line="252"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realizable value is calculated assuming the fair market value of common stock on the date of grant appreciates at the indicated annual rate compounded annually for the entire term of the option and that the option is exercised at the exercise price and the common stock received is sold on the last day of the term of the option for the appreciated price. The 5% and 10% rates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540" w:right="220"/>
        <w:spacing w:after="0" w:line="268" w:lineRule="auto"/>
        <w:rPr>
          <w:sz w:val="20"/>
          <w:szCs w:val="20"/>
          <w:color w:val="auto"/>
        </w:rPr>
      </w:pPr>
      <w:r>
        <w:rPr>
          <w:rFonts w:ascii="Arial" w:cs="Arial" w:eastAsia="Arial" w:hAnsi="Arial"/>
          <w:sz w:val="18"/>
          <w:szCs w:val="18"/>
          <w:color w:val="auto"/>
        </w:rPr>
        <w:t>appreciation are mandated by the rules of the Securities and Exchange Commission and do not represent the Company's estimate or projection of future increases in the price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table sets forth information regarding option exercises by the Chief Executive Officer and President during 2004 and unexercised stock options held as of December 31,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Unexercised</w:t>
            </w:r>
          </w:p>
        </w:tc>
        <w:tc>
          <w:tcPr>
            <w:tcW w:w="220" w:type="dxa"/>
            <w:vAlign w:val="bottom"/>
          </w:tcPr>
          <w:p>
            <w:pPr>
              <w:spacing w:after="0"/>
              <w:rPr>
                <w:sz w:val="12"/>
                <w:szCs w:val="12"/>
                <w:color w:val="auto"/>
              </w:rPr>
            </w:pPr>
          </w:p>
        </w:tc>
        <w:tc>
          <w:tcPr>
            <w:tcW w:w="28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Options at period end (#)</w:t>
            </w:r>
          </w:p>
        </w:tc>
        <w:tc>
          <w:tcPr>
            <w:tcW w:w="220" w:type="dxa"/>
            <w:vAlign w:val="bottom"/>
          </w:tcPr>
          <w:p>
            <w:pPr>
              <w:spacing w:after="0"/>
              <w:rPr>
                <w:sz w:val="15"/>
                <w:szCs w:val="15"/>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Options at period end ($)(1)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040" w:type="dxa"/>
            <w:vAlign w:val="bottom"/>
            <w:vMerge w:val="restart"/>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10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040" w:type="dxa"/>
            <w:vAlign w:val="bottom"/>
          </w:tcPr>
          <w:p>
            <w:pPr>
              <w:jc w:val="center"/>
              <w:ind w:left="172"/>
              <w:spacing w:after="0"/>
              <w:rPr>
                <w:sz w:val="20"/>
                <w:szCs w:val="20"/>
                <w:color w:val="auto"/>
              </w:rPr>
            </w:pPr>
            <w:r>
              <w:rPr>
                <w:rFonts w:ascii="Arial" w:cs="Arial" w:eastAsia="Arial" w:hAnsi="Arial"/>
                <w:sz w:val="14"/>
                <w:szCs w:val="14"/>
                <w:b w:val="1"/>
                <w:bCs w:val="1"/>
                <w:color w:val="auto"/>
                <w:w w:val="86"/>
              </w:rPr>
              <w:t>Exercise (#)</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28"/>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5"/>
                <w:szCs w:val="15"/>
                <w:color w:val="auto"/>
              </w:rPr>
            </w:pP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2,080,488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49"/>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433,333</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66,667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1,720,833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-691515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-691515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-691515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-691515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-443230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-443230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-443230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-443230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-443230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-443230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-443230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-443230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-443230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-443230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-443230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-443230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Fair market value of unexercised in-the-money options at period end is based on the closing price of Common Stock of $7.22 on December 31, 2004.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25"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 xml:space="preserve">Long-term incentives are provided through stock based awards granted under the Company's Stock Incentive Plan. See the discussion under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has employment agreements with Richard D. Smith, Chief Executive Officer and Chief Financial Officer, and Mr.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$240,000 for Mr. Smith and $230,000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$250,000 and Mr. Warzala's salary was increased to $240,000 effective March 1, 2005.</w:t>
      </w:r>
    </w:p>
    <w:p>
      <w:pPr>
        <w:spacing w:after="0" w:line="116" w:lineRule="exact"/>
        <w:rPr>
          <w:sz w:val="20"/>
          <w:szCs w:val="20"/>
          <w:color w:val="auto"/>
        </w:rPr>
      </w:pPr>
    </w:p>
    <w:p>
      <w:pPr>
        <w:ind w:right="460" w:firstLine="348"/>
        <w:spacing w:after="0" w:line="305"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Annual incentive bonuses are paid based on achieving performance criteria established annually by the Board of Directors.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criteria will recognize the overall financial performance of the Company and the improvements made in financial results. See discussion under</w:t>
      </w: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13"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i w:val="1"/>
          <w:iCs w:val="1"/>
          <w:color w:val="auto"/>
        </w:rPr>
        <w:t xml:space="preserve">Long-Term Incentive Payment Plan. </w:t>
      </w:r>
      <w:r>
        <w:rPr>
          <w:rFonts w:ascii="Arial" w:cs="Arial" w:eastAsia="Arial" w:hAnsi="Arial"/>
          <w:sz w:val="18"/>
          <w:szCs w:val="18"/>
          <w:color w:val="auto"/>
        </w:rPr>
        <w:t>The Company utilizes stock based awards for long-term incentives based on criteria described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Committee Report</w:t>
      </w:r>
      <w:r>
        <w:rPr>
          <w:rFonts w:ascii="Arial" w:cs="Arial" w:eastAsia="Arial" w:hAnsi="Arial"/>
          <w:sz w:val="18"/>
          <w:szCs w:val="18"/>
          <w:color w:val="auto"/>
        </w:rPr>
        <w:t>.</w:t>
      </w:r>
    </w:p>
    <w:p>
      <w:pPr>
        <w:spacing w:after="0" w:line="18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$500,000 of life insurance for which the executive may designate the beneficiaries and an automobile.</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Agreements provide for limited continuation of salary and insurance benefits and for bonus prorations or settlements.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has entered into agreements with Mr. Smith, Mr. Warzala and Mr. Wyman pursuant to which, upon termination by the Company (other than for cause as defined in the Agreement) or by the executive for good reason (as defined in the Agreement) within 90 days prior to or 24 months following a change in control of the Company, they are entitled to receive a severance payment equal to 2.5 times (1 times for Mr. Wyamn) the sum of current annual base salary plus the amount paid under the Annual Bonus Plan for the preceding fiscal year, and an allocation for incentive compensation for the current year up to the date of termination and a monthly payment for a two year period for the individual to acquire insurance benefits. The agreements expire on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During 2004 the Compensation Committee was comprised of Messrs. Pilmanis, Hock and Hubbard who are all non-employees. See the caption </w:t>
      </w:r>
      <w:r>
        <w:rPr>
          <w:rFonts w:ascii="Arial" w:cs="Arial" w:eastAsia="Arial" w:hAnsi="Arial"/>
          <w:sz w:val="18"/>
          <w:szCs w:val="18"/>
          <w:b w:val="1"/>
          <w:bCs w:val="1"/>
          <w:color w:val="auto"/>
        </w:rPr>
        <w:t xml:space="preserve">EXECUTIVE COMPENSATION—Compensation of Directors </w:t>
      </w:r>
      <w:r>
        <w:rPr>
          <w:rFonts w:ascii="Arial" w:cs="Arial" w:eastAsia="Arial" w:hAnsi="Arial"/>
          <w:sz w:val="18"/>
          <w:szCs w:val="18"/>
          <w:color w:val="auto"/>
        </w:rPr>
        <w:t>for information concerning compensation paid to directors for attending and participating in</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committee meetings and special assignments.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jc w:val="both"/>
        <w:ind w:right="560" w:firstLine="348"/>
        <w:spacing w:after="0" w:line="259" w:lineRule="auto"/>
        <w:rPr>
          <w:sz w:val="20"/>
          <w:szCs w:val="20"/>
          <w:color w:val="auto"/>
        </w:rPr>
      </w:pPr>
      <w:r>
        <w:rPr>
          <w:rFonts w:ascii="Arial" w:cs="Arial" w:eastAsia="Arial" w:hAnsi="Arial"/>
          <w:sz w:val="18"/>
          <w:szCs w:val="18"/>
          <w:color w:val="auto"/>
        </w:rPr>
        <w:t>The Compensation Committee is composed of three non-employee directors, Messrs. Pilmanis, Hock and Hubbard. The Compensation Committee is responsible for making recommendations to the Board of Directors concerning the compensation of executive officers and other management employees, including stock based awards under the Company's Stock Incentive Plan.</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Compensation Committee annually reviews base salaries for executive officers in relation to corporate performance. As a result of achievements in the Company's performance for 2004, a $10,000 salary increase was recommended by the Committee for each of Mr. Smith and Mr. Warzala and a $4,000 increase was recommended for Mr. Wyman during the most recent review in February 2005.</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Compensation Committee establishes target levels of achievement for the Annual Bonus Plan at the beginning of the year. They review past operating results as well as forecasts and plans for the ensuing year. For 2004, an Annual Incentive Bonus structure based on Economic Value Added (EVA) Income was recommended and the Performance Thresholds and Targets were set using EVA. For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right="740"/>
        <w:spacing w:after="0" w:line="268" w:lineRule="auto"/>
        <w:rPr>
          <w:sz w:val="20"/>
          <w:szCs w:val="20"/>
          <w:color w:val="auto"/>
        </w:rPr>
      </w:pPr>
      <w:r>
        <w:rPr>
          <w:rFonts w:ascii="Arial" w:cs="Arial" w:eastAsia="Arial" w:hAnsi="Arial"/>
          <w:sz w:val="18"/>
          <w:szCs w:val="18"/>
          <w:color w:val="auto"/>
        </w:rPr>
        <w:t>the Performance Targets were exceeded and therefore bonus amounts of $163,917, $157,063 and $65,901 were awarded in February 2005 to Mr. Smith, Mr. Warzala and Mr. Wyman respectively.</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Company's Long-Term Incentive Payment Plan is based on stock awards pursuant to the Company's Stock Incentive Plan. In making its recommendations for stock based awards, the Committee considers, among other things, officer's responsibilities and their efforts and performance in relation to the business plan and forecast. It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awards and improving shareholder value, the current level of stock and stock options held, and the shares available for award. The Committee also considers customary business practices and long-term incentive plan benefits granted in comparison to such benefits provided to other executives in similar positions.</w:t>
      </w:r>
    </w:p>
    <w:p>
      <w:pPr>
        <w:spacing w:after="0" w:line="172"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Committee acknowledges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right="580" w:firstLine="348"/>
        <w:spacing w:after="0" w:line="306" w:lineRule="auto"/>
        <w:rPr>
          <w:sz w:val="20"/>
          <w:szCs w:val="20"/>
          <w:color w:val="auto"/>
        </w:rPr>
      </w:pPr>
      <w:r>
        <w:rPr>
          <w:rFonts w:ascii="Arial" w:cs="Arial" w:eastAsia="Arial" w:hAnsi="Arial"/>
          <w:sz w:val="16"/>
          <w:szCs w:val="16"/>
          <w:color w:val="auto"/>
        </w:rPr>
        <w:t>The Company has historically utilized grants of stock options. The Compensation Committee is currently evaluating the use of stock options, stock appreciation rights and restricted stock or a combination of any of these awards allowed under the Stock Incentive Plan. The Committee intends to make a recommendation in 2005 regarding awards to the directors, executive officers and other key management of the Company.</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GRAYDON D. HUBBARD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compensation plan information of the Company at December 31,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0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390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options, warrants</w:t>
            </w:r>
          </w:p>
        </w:tc>
        <w:tc>
          <w:tcPr>
            <w:tcW w:w="80" w:type="dxa"/>
            <w:vAlign w:val="bottom"/>
          </w:tcPr>
          <w:p>
            <w:pPr>
              <w:spacing w:after="0"/>
              <w:rPr>
                <w:sz w:val="12"/>
                <w:szCs w:val="12"/>
                <w:color w:val="auto"/>
              </w:rPr>
            </w:pPr>
          </w:p>
        </w:tc>
        <w:tc>
          <w:tcPr>
            <w:tcW w:w="1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 price of outstanding</w:t>
            </w:r>
          </w:p>
        </w:tc>
        <w:tc>
          <w:tcPr>
            <w:tcW w:w="390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and rights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options,</w:t>
            </w:r>
          </w:p>
        </w:tc>
        <w:tc>
          <w:tcPr>
            <w:tcW w:w="390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4"/>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warrants and rights</w:t>
            </w:r>
          </w:p>
        </w:tc>
        <w:tc>
          <w:tcPr>
            <w:tcW w:w="390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1,687,870</w:t>
            </w:r>
          </w:p>
        </w:tc>
        <w:tc>
          <w:tcPr>
            <w:tcW w:w="3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-786130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-786130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-786130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-786130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-786130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-786130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-786130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and the NASDAQ Electrical and Industrial Apparatus Index for the period of five years ended December 31, 2004.</w:t>
      </w:r>
    </w:p>
    <w:p>
      <w:pPr>
        <w:spacing w:after="0" w:line="200" w:lineRule="exact"/>
        <w:rPr>
          <w:sz w:val="20"/>
          <w:szCs w:val="20"/>
          <w:color w:val="auto"/>
        </w:rPr>
      </w:pPr>
    </w:p>
    <w:p>
      <w:pPr>
        <w:spacing w:after="0" w:line="20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COMPARISON OF FIVE YEAR CUMULATIVE TOTAL RETURN AMONG ALLIED MOTION TECHNOLOGIES INC. THE NASDAQ STOCK MARKET (U.S.) INDEX AND ELECTRICAL INDUSTRIAL APPARATUS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127635</wp:posOffset>
            </wp:positionV>
            <wp:extent cx="5454015" cy="32759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401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12/31/99</w:t>
            </w:r>
          </w:p>
        </w:tc>
        <w:tc>
          <w:tcPr>
            <w:tcW w:w="22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12/31/00</w:t>
            </w:r>
          </w:p>
        </w:tc>
        <w:tc>
          <w:tcPr>
            <w:tcW w:w="20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rPr>
              <w:t>12/31/01</w:t>
            </w:r>
          </w:p>
        </w:tc>
        <w:tc>
          <w:tcPr>
            <w:tcW w:w="2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12/31/02</w:t>
            </w:r>
          </w:p>
        </w:tc>
        <w:tc>
          <w:tcPr>
            <w:tcW w:w="22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12/31/03</w:t>
            </w:r>
          </w:p>
        </w:tc>
        <w:tc>
          <w:tcPr>
            <w:tcW w:w="20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12/31/04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MOTION TECHNOLOGIES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NASDAQ (U.S.)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ELECTRICAL INDUSTRIAL APPARATUS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-580390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-580390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-580390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-580390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-580390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-580390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-580390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-580390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-580390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-580390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-580390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-580390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$100 invested on December 31, 1999 in Allied Motion common stock, the NASDAQ Stock Market Index and the NASDAQ Electrical Industrial Apparatus Index with the reinvestment of all dividends.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Stockholder returns over the indicated period shown in the graph above should not be considered indicative of future stockholder returns.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reviewed the appointment of the Company's independent public accountants for 2005 at its meeting in February 2005 and recommended that KPMG LLP be appointed. The recommendation was approved by the Company's Board of Directors. KPMG LLP served as independent auditors of the Company for 2004, 2003 and the six month Transition Period ended December 31, 2002. A representative of KPMG LLP is expected to be present at the Annual Meeting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and will have an opportunity to make a statement, if he so desires, and will be available to respond to appropriate questions.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fees paid or accrued by the Company for the audit and other services provided by KPMG LLP for 2004 and 2003.</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Audit-Related Fees(2)</w:t>
            </w:r>
          </w:p>
        </w:tc>
        <w:tc>
          <w:tcPr>
            <w:tcW w:w="960" w:type="dxa"/>
            <w:vAlign w:val="bottom"/>
          </w:tcPr>
          <w:p>
            <w:pPr>
              <w:jc w:val="right"/>
              <w:spacing w:after="0"/>
              <w:rPr>
                <w:sz w:val="20"/>
                <w:szCs w:val="20"/>
                <w:color w:val="auto"/>
              </w:rPr>
            </w:pPr>
            <w:r>
              <w:rPr>
                <w:rFonts w:ascii="Arial" w:cs="Arial" w:eastAsia="Arial" w:hAnsi="Arial"/>
                <w:sz w:val="18"/>
                <w:szCs w:val="18"/>
                <w:color w:val="auto"/>
              </w:rPr>
              <w:t>43,800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 Other Fees(4)</w:t>
            </w:r>
          </w:p>
        </w:tc>
        <w:tc>
          <w:tcPr>
            <w:tcW w:w="960" w:type="dxa"/>
            <w:vAlign w:val="bottom"/>
          </w:tcPr>
          <w:p>
            <w:pPr>
              <w:jc w:val="right"/>
              <w:spacing w:after="0"/>
              <w:rPr>
                <w:sz w:val="20"/>
                <w:szCs w:val="20"/>
                <w:color w:val="auto"/>
              </w:rPr>
            </w:pPr>
            <w:r>
              <w:rPr>
                <w:rFonts w:ascii="Arial" w:cs="Arial" w:eastAsia="Arial" w:hAnsi="Arial"/>
                <w:sz w:val="18"/>
                <w:szCs w:val="18"/>
                <w:color w:val="auto"/>
              </w:rPr>
              <w:t>39,900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-1026160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-1026160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-1026160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-1026160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right="8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the Company's financial statements, review of the Company's quarterly financial statements and audit services provided in connection with other regulatory filings.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Audit-related fees consist primarily of benefit plan audits.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fees principally include fees for tax return preparation and tax consulting.</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fees are fees paid for due diligence assistance in the acquisition of Premotec.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Audit Committee has considered whether the provision of services described above is compatible with maintaining the independence of KPMG LLP. The Committee believes that the fees billed by KPMG LLP for the services described are compatible with KPMG LLP maintaining its independence as the Company's principal accountant.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STRUCTURE</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Audit Committee is composed of three independent directors appointed by the Board of Directors, each of whom is able to read and understand fundamental financial statements, including a company's balance sheet, income statement, and cash flow statement. During 2004, the members of the Audit Committee were Mr. Hubbard (Chairman), Mr. Hock and Mr. Pilmanis. The Board has determined that Mr. Hubbard, the Audit Committee Chairman qualifies as an "audit committee financial expert", as defined by Securities and Exchange Commission rules.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is governed by a written charter, which was included as Exhibit A to the 2004 Proxy Statement.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 members of the Audit Committee, our work is guided by the Audit Committee Charter. We have completed all charter tasks scheduled to be performed in 2004 prior to year-end and all charter tasks scheduled to be performed in 2005 prior to the end of the first quarter. Our work included, among other procedures:</w:t>
      </w:r>
    </w:p>
    <w:p>
      <w:pPr>
        <w:spacing w:after="0" w:line="143" w:lineRule="exact"/>
        <w:rPr>
          <w:sz w:val="20"/>
          <w:szCs w:val="20"/>
          <w:color w:val="auto"/>
        </w:rPr>
      </w:pPr>
    </w:p>
    <w:p>
      <w:pPr>
        <w:ind w:left="5620" w:right="350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6" w:name="page17"/>
    <w:bookmarkEnd w:id="16"/>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met with the independent auditors prior to year-end to discuss the audit approach and review significant accounting and reporting matters.</w:t>
      </w:r>
    </w:p>
    <w:p>
      <w:pPr>
        <w:spacing w:after="0" w:line="275"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74"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2004, audited financial statements, the related audit report, and the applicable management's discussion and analysis. Management is responsible for the financial statements and the reporting process, including the system of internal control. The independent auditors are responsible for expressing an opinion on the fairness of the presentation of audited financial statements in conformity with accounting principles generally accepted in the United States.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Based on the reviews and discussions referred to above, we recommended to the Board of Directors that the audited financial statements and related material be included in the Company's Annual Report on Form 10-K for the year ended December 31, 2004, for filing with the Securities and Exchange Commission.</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GRAYDON D. HUBBARD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OTHER MATTERS</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form 10-K for the year ended December 31, 2004 has been mailed to shareholders with this Proxy statement.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APRIL 2006 ANNUAL MEETING</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Company's 2006 Annual Meeting is currently scheduled to be held in April 2006. Shareholders proposals for the meeting must be submitted in writing to the Secretary of the Company at the address of the Company set forth on the first page of this Proxy Statement no later than November 30, 2005 in order to be presented at the 2006 Annual Meeting or be considered for inclusion in the Company's Annual Meeting Proxy Statement and Proxy Card.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PROMPTLY THE ENCLOSED PROXY.</w:t>
      </w:r>
    </w:p>
    <w:p>
      <w:pPr>
        <w:spacing w:after="0" w:line="2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ALLIED MOTION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24,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April 28, 2004, and at all adjournments thereof, with respect to the following:</w:t>
      </w:r>
    </w:p>
    <w:p>
      <w:pPr>
        <w:spacing w:after="0" w:line="15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THE BOARD OF DIRECTORS RECOMMENDS A VOTE "FOR" EACH NOMINEE NAMED</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Item</w:t>
        <w:tab/>
        <w:t>1. To elect six directors to hold office until the next Annual Meeting of shareholders.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 E. Prince, R. D. Smith, D. D. Hock, G.D. Hubbard, G. J. Pilmanis and M.M. Robert</w:t>
      </w:r>
    </w:p>
    <w:p>
      <w:pPr>
        <w:spacing w:after="0" w:line="24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38" w:lineRule="exact"/>
        <w:rPr>
          <w:rFonts w:ascii="Arial" w:cs="Arial" w:eastAsia="Arial" w:hAnsi="Arial"/>
          <w:sz w:val="18"/>
          <w:szCs w:val="18"/>
          <w:color w:val="auto"/>
        </w:rPr>
      </w:pPr>
    </w:p>
    <w:p>
      <w:pPr>
        <w:ind w:left="1080" w:right="8120" w:hanging="532"/>
        <w:spacing w:after="0" w:line="27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all nominees</w:t>
      </w:r>
    </w:p>
    <w:p>
      <w:pPr>
        <w:spacing w:after="0" w:line="187" w:lineRule="exact"/>
        <w:rPr>
          <w:rFonts w:ascii="Arial" w:cs="Arial" w:eastAsia="Arial" w:hAnsi="Arial"/>
          <w:sz w:val="18"/>
          <w:szCs w:val="18"/>
          <w:color w:val="auto"/>
        </w:rPr>
      </w:pPr>
    </w:p>
    <w:p>
      <w:pPr>
        <w:ind w:left="1080" w:right="8540" w:hanging="532"/>
        <w:spacing w:after="0" w:line="339"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FOR ALL EXCEPT </w:t>
      </w:r>
      <w:r>
        <w:rPr>
          <w:rFonts w:ascii="Arial" w:cs="Arial" w:eastAsia="Arial" w:hAnsi="Arial"/>
          <w:sz w:val="16"/>
          <w:szCs w:val="16"/>
          <w:color w:val="auto"/>
        </w:rPr>
        <w:t>(See instructions below)</w:t>
      </w:r>
    </w:p>
    <w:p>
      <w:pPr>
        <w:spacing w:after="0" w:line="200" w:lineRule="exact"/>
        <w:rPr>
          <w:sz w:val="20"/>
          <w:szCs w:val="20"/>
          <w:color w:val="auto"/>
        </w:rPr>
      </w:pPr>
    </w:p>
    <w:p>
      <w:pPr>
        <w:spacing w:after="0" w:line="388" w:lineRule="exact"/>
        <w:rPr>
          <w:sz w:val="20"/>
          <w:szCs w:val="20"/>
          <w:color w:val="auto"/>
        </w:rPr>
      </w:pPr>
    </w:p>
    <w:p>
      <w:pPr>
        <w:ind w:left="540" w:right="180"/>
        <w:spacing w:after="0" w:line="339" w:lineRule="auto"/>
        <w:rPr>
          <w:sz w:val="20"/>
          <w:szCs w:val="20"/>
          <w:color w:val="auto"/>
        </w:rPr>
      </w:pPr>
      <w:r>
        <w:rPr>
          <w:rFonts w:ascii="Arial" w:cs="Arial" w:eastAsia="Arial" w:hAnsi="Arial"/>
          <w:sz w:val="16"/>
          <w:szCs w:val="16"/>
          <w:color w:val="auto"/>
        </w:rPr>
        <w:t xml:space="preserve">INSTRUCTIONS: To withhold authority to vote for any individual nominee, mark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and print that nominee's name in the space provided below. </w:t>
      </w:r>
      <w:r>
        <w:rPr>
          <w:rFonts w:ascii="Arial" w:cs="Arial" w:eastAsia="Arial" w:hAnsi="Arial"/>
          <w:sz w:val="16"/>
          <w:szCs w:val="16"/>
          <w:b w:val="1"/>
          <w:bCs w:val="1"/>
          <w:color w:val="auto"/>
        </w:rPr>
        <w:t>IF AUTHORITY 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88900</wp:posOffset>
            </wp:positionV>
            <wp:extent cx="25939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Item</w:t>
        <w:tab/>
        <w:t>2. OTHER MATTERS—In the proxies discretion on such other business matters as may properly come before the Annual Meeting.</w:t>
      </w:r>
    </w:p>
    <w:p>
      <w:pPr>
        <w:spacing w:after="0" w:line="246" w:lineRule="exact"/>
        <w:rPr>
          <w:sz w:val="20"/>
          <w:szCs w:val="20"/>
          <w:color w:val="auto"/>
        </w:rPr>
      </w:pPr>
    </w:p>
    <w:p>
      <w:pPr>
        <w:ind w:left="540" w:right="20" w:firstLine="351"/>
        <w:spacing w:after="0" w:line="310"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in the proxies' discretion on such other business as may properly come before the Annual Meeting.</w:t>
      </w:r>
    </w:p>
    <w:p>
      <w:pPr>
        <w:spacing w:after="0" w:line="157" w:lineRule="exact"/>
        <w:rPr>
          <w:sz w:val="20"/>
          <w:szCs w:val="20"/>
          <w:color w:val="auto"/>
        </w:rPr>
      </w:pPr>
    </w:p>
    <w:p>
      <w:pPr>
        <w:ind w:left="5040" w:right="80"/>
        <w:spacing w:after="0" w:line="259" w:lineRule="auto"/>
        <w:rPr>
          <w:sz w:val="20"/>
          <w:szCs w:val="20"/>
          <w:color w:val="auto"/>
        </w:rPr>
      </w:pPr>
      <w:r>
        <w:rPr>
          <w:rFonts w:ascii="Arial" w:cs="Arial" w:eastAsia="Arial" w:hAnsi="Arial"/>
          <w:sz w:val="18"/>
          <w:szCs w:val="18"/>
          <w:color w:val="auto"/>
        </w:rPr>
        <w:t>Your signature should appear exactly as your name appears on this Proxy.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212090</wp:posOffset>
            </wp:positionV>
            <wp:extent cx="405193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504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 2005</w:t>
            </w:r>
          </w:p>
        </w:tc>
      </w:tr>
      <w:tr>
        <w:trPr>
          <w:trHeight w:val="120"/>
        </w:trPr>
        <w:tc>
          <w:tcPr>
            <w:tcW w:w="68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QUORUM AND VOTING RIGHTS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ELECTION OF DIRECTORS</w:t>
        </w:r>
      </w:hyperlink>
    </w:p>
    <w:p>
      <w:pPr>
        <w:spacing w:after="0" w:line="9" w:lineRule="exact"/>
        <w:rPr>
          <w:sz w:val="20"/>
          <w:szCs w:val="20"/>
          <w:color w:val="auto"/>
        </w:rPr>
      </w:pPr>
    </w:p>
    <w:p>
      <w:pPr>
        <w:ind w:right="4780"/>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MANAGEMENT RECOMMENDS A VOTE "FOR" EACH NOMINEE NAMED.</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SECURITY OWNERSHIP OF CERTAIN BENEFICIAL OWNERS AND MANAGEMENT</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EXECUTIVE COMPENSATION</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REPORT OF THE COMPENSATION COMMITTEE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PERFORMANCE GRAPH</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COMPARISON OF FIVE YEAR CUMULATIVE TOTAL RETURN AMONG ALLIED MOTION TECHNOLOGIES INC. THE NASDAQ STOCK MARKET</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 INDEX AND ELECTRICAL INDUSTRIAL APPARATUS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INDEPENDENT PUBLIC ACCOUNTANTS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AUDIT COMMITTEE STRUCTURE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REPORT OF THE AUDIT COMMITTEE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OTHER MATTERS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FORM 10-K</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SHAREHOLDER PROPOSALS FOR APRIL 2006 ANNUAL MEETING</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PLEASE SIGN, DATE AND MAIL PROMPTLY THE ENCLOSED PROXY.</w:t>
        </w:r>
      </w:hyperlink>
    </w:p>
    <w:sectPr>
      <w:pgSz w:w="11900" w:h="16838" w:orient="portrait"/>
      <w:cols w:equalWidth="0" w:num="1">
        <w:col w:w="11360"/>
      </w:cols>
      <w:pgMar w:left="240" w:top="8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o"/>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o"/>
      <w:numFmt w:val="bullet"/>
      <w:start w:val="1"/>
    </w:lvl>
    <w:lvl w:ilvl="1">
      <w:lvlJc w:val="left"/>
      <w:lvlText w:val="(%2)"/>
      <w:numFmt w:val="decimal"/>
      <w:start w:val="1"/>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2"/>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2019-12-13T01:48:44Z</dcterms:created>
  <dcterms:modified xsi:type="dcterms:W3CDTF">2019-12-13T01:48:44Z</dcterms:modified>
</cp:coreProperties>
</file>