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240"/>
        <w:ind w:left="0" w:right="0" w:hanging="0"/>
        <w:jc w:val="center"/>
        <w:rPr/>
      </w:pPr>
      <w:bookmarkStart w:id="0" w:name="alnt-20260506x8k.htm"/>
      <w:bookmarkStart w:id="1" w:name="ksalnt20260506x8k"/>
      <w:bookmarkEnd w:id="0"/>
      <w:bookmarkEnd w:id="1"/>
      <w:r>
        <w:rPr/>
        <w:t>​</w:t>
      </w:r>
    </w:p>
    <w:p>
      <w:pPr>
        <w:pStyle w:val="TextBody"/>
        <w:bidi w:val="0"/>
        <w:spacing w:lineRule="atLeast" w:line="142" w:before="0" w:after="240"/>
        <w:ind w:left="0" w:right="0" w:hanging="0"/>
        <w:jc w:val="center"/>
        <w:rPr/>
      </w:pPr>
      <w:r>
        <w:rPr/>
        <w:t>​</w:t>
      </w:r>
    </w:p>
    <w:p>
      <w:pPr>
        <w:pStyle w:val="TextBody"/>
        <w:bidi w:val="0"/>
        <w:spacing w:before="0" w:after="200"/>
        <w:ind w:left="0" w:right="0" w:hanging="0"/>
        <w:jc w:val="center"/>
        <w:rPr>
          <w:rFonts w:ascii="Times New Roman;Times;serif" w:hAnsi="Times New Roman;Times;serif"/>
          <w:sz w:val="20"/>
        </w:rPr>
      </w:pPr>
      <w:bookmarkStart w:id="2" w:name="_a4356f31_d528_43b4_94f7_0937751cfee8"/>
      <w:bookmarkEnd w:id="2"/>
      <w:r>
        <w:rPr>
          <w:rFonts w:ascii="Times New Roman;Times;serif" w:hAnsi="Times New Roman;Times;serif"/>
          <w:b/>
          <w:sz w:val="20"/>
        </w:rPr>
        <w:t>UNITED STATES</w:t>
        <w:br/>
        <w:t>SECURITIES AND EXCHANGE COMMISSION</w:t>
        <w:br/>
      </w:r>
      <w:r>
        <w:rPr>
          <w:rFonts w:ascii="Times New Roman;Times;serif" w:hAnsi="Times New Roman;Times;serif"/>
          <w:sz w:val="20"/>
        </w:rPr>
        <w:t>Washington, D.C. 20549</w:t>
        <w:br/>
      </w:r>
      <w:r>
        <w:rPr>
          <w:rFonts w:ascii="Times New Roman;Times;serif" w:hAnsi="Times New Roman;Times;serif"/>
          <w:b/>
          <w:sz w:val="20"/>
        </w:rPr>
        <w:t>__________________________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Current Report</w:t>
        <w:br/>
        <w:t>Pursuant to Section 13 or 15(d) of the 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May 6, 2026</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b/>
          <w:sz w:val="20"/>
        </w:rPr>
        <w:t>ALLIENT INC.</w:t>
        <w:br/>
      </w:r>
      <w:r>
        <w:rPr>
          <w:rFonts w:ascii="Times New Roman;Times;serif" w:hAnsi="Times New Roman;Times;serif"/>
          <w:sz w:val="20"/>
        </w:rPr>
        <w:t>(Exact Name of Registrant as Specified in its Charter)</w:t>
      </w:r>
    </w:p>
    <w:tbl>
      <w:tblPr>
        <w:tblW w:w="6243" w:type="dxa"/>
        <w:jc w:val="left"/>
        <w:tblInd w:w="0" w:type="dxa"/>
        <w:tblLayout w:type="fixed"/>
        <w:tblCellMar>
          <w:top w:w="0" w:type="dxa"/>
          <w:left w:w="0" w:type="dxa"/>
          <w:bottom w:w="0" w:type="dxa"/>
          <w:right w:w="0" w:type="dxa"/>
        </w:tblCellMar>
      </w:tblPr>
      <w:tblGrid>
        <w:gridCol w:w="2296"/>
        <w:gridCol w:w="2296"/>
        <w:gridCol w:w="1651"/>
      </w:tblGrid>
      <w:tr>
        <w:trPr/>
        <w:tc>
          <w:tcPr>
            <w:tcW w:w="229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0-04041</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84-0518115</w:t>
            </w:r>
          </w:p>
        </w:tc>
      </w:tr>
      <w:tr>
        <w:trPr/>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495 Commerce Drive</w:t>
        <w:br/>
        <w:t>Amherst, New York 14228</w:t>
        <w:br/>
        <w:t>(Address of Principal Executive Offices, including zip code)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(716) 242-8634</w:t>
        <w:br/>
        <w:t>(Registrant’s telephone number, including area code)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Not Applicable</w:t>
        <w:br/>
        <w:t>(Former name or former address, if changed since last report)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Exchange Act:</w:t>
      </w:r>
    </w:p>
    <w:p>
      <w:pPr>
        <w:pStyle w:val="Normal"/>
        <w:bidi w:val="0"/>
        <w:spacing w:before="0" w:after="0"/>
        <w:jc w:val="left"/>
        <w:rPr>
          <w:sz w:val="4"/>
          <w:szCs w:val="4"/>
        </w:rPr>
      </w:pPr>
      <w:r>
        <w:rPr>
          <w:sz w:val="4"/>
          <w:szCs w:val="4"/>
        </w:rPr>
      </w:r>
      <w:bookmarkStart w:id="3" w:name="Tc_gGkwljzBu0SzxqIsZj06VQ_1_2"/>
      <w:bookmarkStart w:id="4" w:name="Tc_r5nd7rSZYEGqfCKu8wVvHw_1_1"/>
      <w:bookmarkStart w:id="5" w:name="Tc_2t9xcVLDi0i6-CT22eqRXQ_1_0"/>
      <w:bookmarkStart w:id="6" w:name="_773164d8_277b_4092_abea_1e8950967ec7"/>
      <w:bookmarkStart w:id="7" w:name="Tc_gGkwljzBu0SzxqIsZj06VQ_1_2"/>
      <w:bookmarkStart w:id="8" w:name="Tc_r5nd7rSZYEGqfCKu8wVvHw_1_1"/>
      <w:bookmarkStart w:id="9" w:name="Tc_2t9xcVLDi0i6-CT22eqRXQ_1_0"/>
      <w:bookmarkStart w:id="10" w:name="_773164d8_277b_4092_abea_1e8950967ec7"/>
      <w:bookmarkEnd w:id="7"/>
      <w:bookmarkEnd w:id="8"/>
      <w:bookmarkEnd w:id="9"/>
      <w:bookmarkEnd w:id="10"/>
    </w:p>
    <w:tbl>
      <w:tblPr>
        <w:tblW w:w="6708" w:type="dxa"/>
        <w:jc w:val="left"/>
        <w:tblInd w:w="0" w:type="dxa"/>
        <w:tblLayout w:type="fixed"/>
        <w:tblCellMar>
          <w:top w:w="0" w:type="dxa"/>
          <w:left w:w="0" w:type="dxa"/>
          <w:bottom w:w="0" w:type="dxa"/>
          <w:right w:w="0" w:type="dxa"/>
        </w:tblCellMar>
      </w:tblPr>
      <w:tblGrid>
        <w:gridCol w:w="1576"/>
        <w:gridCol w:w="1426"/>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ALNT</w:t>
            </w:r>
          </w:p>
        </w:tc>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Normal"/>
        <w:bidi w:val="0"/>
        <w:spacing w:before="0" w:after="0"/>
        <w:jc w:val="left"/>
        <w:rPr>
          <w:sz w:val="4"/>
          <w:szCs w:val="4"/>
        </w:rPr>
      </w:pPr>
      <w:r>
        <w:rPr>
          <w:sz w:val="4"/>
          <w:szCs w:val="4"/>
        </w:rPr>
      </w:r>
      <w:bookmarkStart w:id="11" w:name="Tc_n0c19r5DtU2-BiwsSPiM5A_3_1"/>
      <w:bookmarkStart w:id="12" w:name="Tc_KHuu87tvXkufcCdj9l7eOQ_2_1"/>
      <w:bookmarkStart w:id="13" w:name="Tc_4USg-1Tng0Gh3cCc4c93ZA_1_1"/>
      <w:bookmarkStart w:id="14" w:name="Tc_KnkfL-u7PkWruKntSOSNog_0_1"/>
      <w:bookmarkStart w:id="15" w:name="_fb505b3b_f072_4ef9_bcbe_3bd8bcf07dd4"/>
      <w:bookmarkStart w:id="16" w:name="Tc_n0c19r5DtU2-BiwsSPiM5A_3_1"/>
      <w:bookmarkStart w:id="17" w:name="Tc_KHuu87tvXkufcCdj9l7eOQ_2_1"/>
      <w:bookmarkStart w:id="18" w:name="Tc_4USg-1Tng0Gh3cCc4c93ZA_1_1"/>
      <w:bookmarkStart w:id="19" w:name="Tc_KnkfL-u7PkWruKntSOSNog_0_1"/>
      <w:bookmarkStart w:id="20" w:name="_fb505b3b_f072_4ef9_bcbe_3bd8bcf07dd4"/>
      <w:bookmarkEnd w:id="16"/>
      <w:bookmarkEnd w:id="17"/>
      <w:bookmarkEnd w:id="18"/>
      <w:bookmarkEnd w:id="19"/>
      <w:bookmarkEnd w:id="20"/>
    </w:p>
    <w:tbl>
      <w:tblPr>
        <w:tblW w:w="9632" w:type="dxa"/>
        <w:jc w:val="left"/>
        <w:tblInd w:w="0" w:type="dxa"/>
        <w:tblLayout w:type="fixed"/>
        <w:tblCellMar>
          <w:top w:w="0" w:type="dxa"/>
          <w:left w:w="0" w:type="dxa"/>
          <w:bottom w:w="0" w:type="dxa"/>
          <w:right w:w="0" w:type="dxa"/>
        </w:tblCellMar>
      </w:tblPr>
      <w:tblGrid>
        <w:gridCol w:w="331"/>
        <w:gridCol w:w="9301"/>
      </w:tblGrid>
      <w:tr>
        <w:trPr/>
        <w:tc>
          <w:tcPr>
            <w:tcW w:w="331" w:type="dxa"/>
            <w:tcBorders/>
            <w:vAlign w:val="center"/>
          </w:tcPr>
          <w:p>
            <w:pPr>
              <w:pStyle w:val="TableContents"/>
              <w:bidi w:val="0"/>
              <w:spacing w:before="0" w:after="120"/>
              <w:ind w:left="0" w:right="0" w:hanging="0"/>
              <w:jc w:val="left"/>
              <w:rPr/>
            </w:pPr>
            <w:r>
              <w:rPr/>
              <w:t>☐</w:t>
            </w:r>
          </w:p>
        </w:tc>
        <w:tc>
          <w:tcPr>
            <w:tcW w:w="9301" w:type="dxa"/>
            <w:tcBorders/>
            <w:vAlign w:val="center"/>
          </w:tcPr>
          <w:p>
            <w:pPr>
              <w:pStyle w:val="TableContents"/>
              <w:bidi w:val="0"/>
              <w:spacing w:before="0" w:after="120"/>
              <w:ind w:left="0" w:right="0" w:hanging="0"/>
              <w:jc w:val="left"/>
              <w:rPr/>
            </w:pPr>
            <w:r>
              <w:rPr/>
              <w:t>  ​</w:t>
            </w: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120"/>
              <w:ind w:left="0" w:right="0" w:hanging="0"/>
              <w:jc w:val="left"/>
              <w:rPr/>
            </w:pPr>
            <w:r>
              <w:rPr/>
              <w:t>☐</w:t>
            </w:r>
          </w:p>
        </w:tc>
        <w:tc>
          <w:tcPr>
            <w:tcW w:w="9301" w:type="dxa"/>
            <w:tcBorders/>
            <w:vAlign w:val="center"/>
          </w:tcPr>
          <w:p>
            <w:pPr>
              <w:pStyle w:val="TableContents"/>
              <w:bidi w:val="0"/>
              <w:spacing w:before="0" w:after="120"/>
              <w:ind w:left="0" w:right="0" w:hanging="0"/>
              <w:jc w:val="left"/>
              <w:rPr/>
            </w:pPr>
            <w:r>
              <w:rPr/>
              <w:t>  ​</w:t>
            </w: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120"/>
              <w:ind w:left="0" w:right="0" w:hanging="0"/>
              <w:jc w:val="left"/>
              <w:rPr/>
            </w:pPr>
            <w:r>
              <w:rPr/>
              <w:t>☐</w:t>
            </w:r>
          </w:p>
        </w:tc>
        <w:tc>
          <w:tcPr>
            <w:tcW w:w="9301" w:type="dxa"/>
            <w:tcBorders/>
            <w:vAlign w:val="center"/>
          </w:tcPr>
          <w:p>
            <w:pPr>
              <w:pStyle w:val="TableContents"/>
              <w:bidi w:val="0"/>
              <w:spacing w:before="0" w:after="120"/>
              <w:ind w:left="0" w:right="0" w:hanging="0"/>
              <w:jc w:val="left"/>
              <w:rPr/>
            </w:pPr>
            <w:r>
              <w:rPr/>
              <w:t>  ​</w:t>
            </w: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120"/>
              <w:ind w:left="0" w:right="0" w:hanging="0"/>
              <w:jc w:val="left"/>
              <w:rPr/>
            </w:pPr>
            <w:r>
              <w:rPr/>
              <w:t>☐</w:t>
            </w:r>
          </w:p>
        </w:tc>
        <w:tc>
          <w:tcPr>
            <w:tcW w:w="9301" w:type="dxa"/>
            <w:tcBorders/>
            <w:vAlign w:val="center"/>
          </w:tcPr>
          <w:p>
            <w:pPr>
              <w:pStyle w:val="TableContents"/>
              <w:bidi w:val="0"/>
              <w:spacing w:before="0" w:after="120"/>
              <w:ind w:left="0" w:right="0" w:hanging="0"/>
              <w:jc w:val="left"/>
              <w:rPr/>
            </w:pPr>
            <w:r>
              <w:rPr/>
              <w:t>  ​</w:t>
            </w: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0"/>
        </w:rPr>
        <w:t>Emerging growth company</w:t>
      </w:r>
      <w:r>
        <w:rPr>
          <w:rFonts w:ascii="Times New Roman;Times;serif" w:hAnsi="Times New Roman;Times;serif"/>
          <w:sz w:val="22"/>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240"/>
        <w:ind w:left="0" w:right="0" w:hanging="0"/>
        <w:jc w:val="center"/>
        <w:rPr/>
      </w:pPr>
      <w:r>
        <w:rPr/>
        <w:t>​</w:t>
      </w:r>
    </w:p>
    <w:p>
      <w:pPr>
        <w:pStyle w:val="TextBody"/>
        <w:pBdr>
          <w:top w:val="single" w:sz="8" w:space="1" w:color="000000"/>
          <w:bottom w:val="single" w:sz="24" w:space="1" w:color="000000"/>
        </w:pBdr>
        <w:bidi w:val="0"/>
        <w:spacing w:lineRule="atLeast" w:line="142"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21" w:name="_Hlk102653020"/>
      <w:bookmarkStart w:id="22" w:name="_b507b351_c0ad_4daf_b6b2_35bb470154d5"/>
      <w:bookmarkEnd w:id="21"/>
      <w:bookmarkEnd w:id="22"/>
      <w:r>
        <w:rPr>
          <w:rFonts w:ascii="Times New Roman;Times;serif" w:hAnsi="Times New Roman;Times;serif"/>
          <w:b/>
          <w:i w:val="false"/>
          <w:caps w:val="false"/>
          <w:smallCaps w:val="false"/>
          <w:sz w:val="22"/>
        </w:rPr>
        <w:t>Item 5.07.</w:t>
      </w:r>
      <w:r>
        <w:rPr>
          <w:rFonts w:ascii="Times New Roman;Times;serif" w:hAnsi="Times New Roman;Times;serif"/>
          <w:b/>
          <w:sz w:val="22"/>
        </w:rPr>
        <w:t>Submission of Matters to a Vote of Security Holders.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Allient Inc. (“the Company”) held its annual stockholders’ meeting on May 6, 2026. At the annual meeting, the stockholders of the Company (i) elected the six director nominees, (ii) approved, on an advisory basis, the compensation awarded to the Company’s Named Executive Officers, (iii) ratified the appointment of Deloitte &amp; Touche LLP as the Company’s independent registered public accounting firm for the 2026 fiscal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tables below are calculated based on 17,018,097 shares of the Company’s outstanding Common Stock on the record date of March 11,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results of the voting for the six director nominees were as follows:</w:t>
      </w:r>
    </w:p>
    <w:p>
      <w:pPr>
        <w:pStyle w:val="Normal"/>
        <w:bidi w:val="0"/>
        <w:spacing w:before="0" w:after="0"/>
        <w:jc w:val="left"/>
        <w:rPr>
          <w:sz w:val="4"/>
          <w:szCs w:val="4"/>
        </w:rPr>
      </w:pPr>
      <w:r>
        <w:rPr>
          <w:sz w:val="4"/>
          <w:szCs w:val="4"/>
        </w:rPr>
      </w:r>
      <w:bookmarkStart w:id="23" w:name="_Hlk7003881"/>
      <w:bookmarkStart w:id="24" w:name="_Hlk7003881"/>
      <w:bookmarkEnd w:id="24"/>
    </w:p>
    <w:tbl>
      <w:tblPr>
        <w:tblW w:w="7130" w:type="dxa"/>
        <w:jc w:val="left"/>
        <w:tblInd w:w="0" w:type="dxa"/>
        <w:tblLayout w:type="fixed"/>
        <w:tblCellMar>
          <w:top w:w="0" w:type="dxa"/>
          <w:left w:w="0" w:type="dxa"/>
          <w:bottom w:w="0" w:type="dxa"/>
          <w:right w:w="0" w:type="dxa"/>
        </w:tblCellMar>
      </w:tblPr>
      <w:tblGrid>
        <w:gridCol w:w="2011"/>
        <w:gridCol w:w="1186"/>
        <w:gridCol w:w="886"/>
        <w:gridCol w:w="1216"/>
        <w:gridCol w:w="1831"/>
      </w:tblGrid>
      <w:tr>
        <w:trPr/>
        <w:tc>
          <w:tcPr>
            <w:tcW w:w="20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center"/>
              <w:rPr>
                <w:shd w:fill="FFFF00" w:val="clear"/>
              </w:rPr>
            </w:pPr>
            <w:r>
              <w:rPr>
                <w:shd w:fill="FFFF00" w:val="clear"/>
              </w:rPr>
              <w:t>​</w:t>
            </w:r>
          </w:p>
        </w:tc>
        <w:tc>
          <w:tcPr>
            <w:tcW w:w="1186" w:type="dxa"/>
            <w:tcBorders/>
            <w:vAlign w:val="center"/>
          </w:tcPr>
          <w:p>
            <w:pPr>
              <w:pStyle w:val="TableContents"/>
              <w:bidi w:val="0"/>
              <w:spacing w:before="0" w:after="0"/>
              <w:ind w:left="0" w:right="0" w:hanging="0"/>
              <w:jc w:val="center"/>
              <w:rPr>
                <w:shd w:fill="FFFF00" w:val="clear"/>
              </w:rPr>
            </w:pPr>
            <w:r>
              <w:rPr>
                <w:shd w:fill="FFFF00" w:val="clear"/>
              </w:rPr>
              <w:t>​</w:t>
            </w:r>
          </w:p>
        </w:tc>
        <w:tc>
          <w:tcPr>
            <w:tcW w:w="886" w:type="dxa"/>
            <w:tcBorders/>
            <w:vAlign w:val="center"/>
          </w:tcPr>
          <w:p>
            <w:pPr>
              <w:pStyle w:val="TableContents"/>
              <w:bidi w:val="0"/>
              <w:spacing w:before="0" w:after="0"/>
              <w:ind w:left="0" w:right="0" w:hanging="0"/>
              <w:jc w:val="center"/>
              <w:rPr>
                <w:shd w:fill="FFFF00" w:val="clear"/>
              </w:rPr>
            </w:pPr>
            <w:r>
              <w:rPr>
                <w:shd w:fill="FFFF00" w:val="clear"/>
              </w:rPr>
              <w:t>​</w:t>
            </w:r>
          </w:p>
        </w:tc>
        <w:tc>
          <w:tcPr>
            <w:tcW w:w="1216" w:type="dxa"/>
            <w:tcBorders/>
            <w:vAlign w:val="center"/>
          </w:tcPr>
          <w:p>
            <w:pPr>
              <w:pStyle w:val="TableContents"/>
              <w:bidi w:val="0"/>
              <w:spacing w:before="0" w:after="0"/>
              <w:ind w:left="0" w:right="0" w:hanging="0"/>
              <w:jc w:val="left"/>
              <w:rPr>
                <w:shd w:fill="FFFF00" w:val="clear"/>
              </w:rPr>
            </w:pPr>
            <w:r>
              <w:rPr>
                <w:shd w:fill="FFFF00" w:val="clear"/>
              </w:rPr>
              <w:t>​</w:t>
            </w:r>
          </w:p>
        </w:tc>
        <w:tc>
          <w:tcPr>
            <w:tcW w:w="1831"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Nominee</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Against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Abstentions</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Broker Non-votes</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Robert B. Engel</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12,990,263</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58,565</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3,079</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r>
        <w:trPr/>
        <w:tc>
          <w:tcPr>
            <w:tcW w:w="201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D. Federico</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12,717,022</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331,806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3,079</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Steven C. Finch</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12,964,280</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83,926</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3,701</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r>
        <w:trPr/>
        <w:tc>
          <w:tcPr>
            <w:tcW w:w="201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Nicole R. Tzetzo</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12,518,693</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528,674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4,540</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Richard S. Warzala</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12,934,288</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114,117</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3,502</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r>
        <w:trPr/>
        <w:tc>
          <w:tcPr>
            <w:tcW w:w="201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Michael R. Winter</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12,790,041</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258,787</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3,079</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2,157,201</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results for the advisory vote on executive compensation were as follows:</w:t>
      </w:r>
    </w:p>
    <w:p>
      <w:pPr>
        <w:pStyle w:val="TextBody"/>
        <w:bidi w:val="0"/>
        <w:spacing w:before="0" w:after="0"/>
        <w:ind w:left="0" w:right="0" w:hanging="0"/>
        <w:jc w:val="both"/>
        <w:rPr/>
      </w:pPr>
      <w:r>
        <w:rPr/>
        <w:t>​</w:t>
      </w:r>
    </w:p>
    <w:tbl>
      <w:tblPr>
        <w:tblW w:w="5179" w:type="dxa"/>
        <w:jc w:val="left"/>
        <w:tblInd w:w="0" w:type="dxa"/>
        <w:tblLayout w:type="fixed"/>
        <w:tblCellMar>
          <w:top w:w="0" w:type="dxa"/>
          <w:left w:w="0" w:type="dxa"/>
          <w:bottom w:w="0" w:type="dxa"/>
          <w:right w:w="0" w:type="dxa"/>
        </w:tblCellMar>
      </w:tblPr>
      <w:tblGrid>
        <w:gridCol w:w="1201"/>
        <w:gridCol w:w="886"/>
        <w:gridCol w:w="1216"/>
        <w:gridCol w:w="1876"/>
      </w:tblGrid>
      <w:tr>
        <w:trPr/>
        <w:tc>
          <w:tcPr>
            <w:tcW w:w="12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,222</w:t>
            </w:r>
          </w:p>
        </w:tc>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8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Against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Abstentions</w:t>
            </w:r>
          </w:p>
        </w:tc>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Broker Non-Votes</w:t>
            </w:r>
          </w:p>
        </w:tc>
      </w:tr>
      <w:tr>
        <w:trPr/>
        <w:tc>
          <w:tcPr>
            <w:tcW w:w="120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12,678,862</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358,320</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14,725</w:t>
            </w:r>
          </w:p>
        </w:tc>
        <w:tc>
          <w:tcPr>
            <w:tcW w:w="187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2,157,201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results of the voting for the ratification of Deloitte &amp; Touche LLP as the Company’s independent registered public accounting firm for the 2026 fiscal year were as follows:</w:t>
      </w:r>
    </w:p>
    <w:p>
      <w:pPr>
        <w:pStyle w:val="TextBody"/>
        <w:bidi w:val="0"/>
        <w:spacing w:before="0" w:after="0"/>
        <w:ind w:left="0" w:right="0" w:hanging="0"/>
        <w:jc w:val="both"/>
        <w:rPr>
          <w:shd w:fill="FFFF00" w:val="clear"/>
        </w:rPr>
      </w:pPr>
      <w:r>
        <w:rPr>
          <w:shd w:fill="FFFF00" w:val="clear"/>
        </w:rPr>
        <w:t>​</w:t>
      </w:r>
    </w:p>
    <w:tbl>
      <w:tblPr>
        <w:tblW w:w="3288" w:type="dxa"/>
        <w:jc w:val="left"/>
        <w:tblInd w:w="0" w:type="dxa"/>
        <w:tblLayout w:type="fixed"/>
        <w:tblCellMar>
          <w:top w:w="0" w:type="dxa"/>
          <w:left w:w="0" w:type="dxa"/>
          <w:bottom w:w="0" w:type="dxa"/>
          <w:right w:w="0" w:type="dxa"/>
        </w:tblCellMar>
      </w:tblPr>
      <w:tblGrid>
        <w:gridCol w:w="1201"/>
        <w:gridCol w:w="826"/>
        <w:gridCol w:w="126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Against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Abstentions</w:t>
            </w:r>
          </w:p>
        </w:tc>
      </w:tr>
      <w:tr>
        <w:trPr/>
        <w:tc>
          <w:tcPr>
            <w:tcW w:w="120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15,154,252</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52,042</w:t>
            </w:r>
          </w:p>
        </w:tc>
        <w:tc>
          <w:tcPr>
            <w:tcW w:w="126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2,814</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SIGNATURES</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Date:</w:t>
      </w:r>
      <w:r>
        <w:rPr>
          <w:rFonts w:ascii="Times New Roman;Times;serif" w:hAnsi="Times New Roman;Times;serif"/>
          <w:sz w:val="22"/>
        </w:rPr>
        <w:t>May 11, 2026</w:t>
      </w:r>
    </w:p>
    <w:p>
      <w:pPr>
        <w:pStyle w:val="TextBody"/>
        <w:bidi w:val="0"/>
        <w:spacing w:before="0" w:after="200"/>
        <w:ind w:left="4320" w:right="0" w:hanging="0"/>
        <w:jc w:val="left"/>
        <w:rPr>
          <w:rFonts w:ascii="Times New Roman;Times;serif" w:hAnsi="Times New Roman;Times;serif"/>
          <w:b/>
          <w:sz w:val="22"/>
        </w:rPr>
      </w:pPr>
      <w:r>
        <w:rPr>
          <w:rFonts w:ascii="Times New Roman;Times;serif" w:hAnsi="Times New Roman;Times;serif"/>
          <w:b/>
          <w:sz w:val="22"/>
        </w:rPr>
        <w:t>ALLIENT INC.</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2"/>
        </w:rPr>
        <w:t>By: /s/ James A. Michaud</w:t>
        <w:br/>
        <w:br/>
        <w:t>James A. Michaud</w:t>
        <w:br/>
        <w:t>Senior Vice President &amp; Chief Financial Officer</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568</Words>
  <Characters>3189</Characters>
  <CharactersWithSpaces>3715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