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WARZALA RICHARD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ALLIENT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6400 MAIN STREET,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ALLIENT INC</w:t>
              </w:r>
            </w:hyperlink>
            <w:r>
              <w:rPr/>
              <w:t xml:space="preserve"> [ </w:t>
            </w:r>
            <w:r>
              <w:rPr>
                <w:rFonts w:ascii="Times;serif" w:hAnsi="Times;serif"/>
                <w:color w:val="0000FF"/>
                <w:sz w:val="24"/>
                <w:shd w:fill="FFFFFF" w:val="clear"/>
              </w:rPr>
              <w:t>ALNT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7"/>
        <w:gridCol w:w="927"/>
        <w:gridCol w:w="797"/>
        <w:gridCol w:w="615"/>
        <w:gridCol w:w="341"/>
        <w:gridCol w:w="911"/>
        <w:gridCol w:w="418"/>
        <w:gridCol w:w="1104"/>
        <w:gridCol w:w="1253"/>
        <w:gridCol w:w="966"/>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112.8144</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1,552,078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113.5167</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1,533,902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33,944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113.9591</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1,499,958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115.3501</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1,499,106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1,489,106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26,067</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by trusts for the benefit of members of the Reporting Person's immediate family and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$112.49 to $112.99,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$113.015 to $113.695,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sold in multiple transactions at prices ranging from $113.70 to $114.69,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sold in multiple transactions at prices ranging from $114.95 to $115.765,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disposition represents a bona fide gift by the Reporting Person to the Warzala Family Charitable Fund, a charitable fund established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Each price reported in Column 4 is a weighted average price. The reporting person undertakes to provide to Allient Inc., any security holder of Allient Inc., or the staff of the Securities and Exchange Commission, upon request, full information regarding the number of shares sold at each separate price within the ranges set forth in the footnotes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 Donlon, Attorney-in-Fact for Richard S. Warzala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4225" TargetMode="External"/><Relationship Id="rId5" Type="http://schemas.openxmlformats.org/officeDocument/2006/relationships/hyperlink" Target="http://www.sec.gov/cgi-bin/browse-edgar?action=getcompany&amp;CIK=00000461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4291</Characters>
  <CharactersWithSpaces>4971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