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jc w:val="center"/>
        <w:ind w:right="-39"/>
        <w:spacing w:after="0"/>
        <w:rPr>
          <w:sz w:val="20"/>
          <w:szCs w:val="20"/>
          <w:color w:val="auto"/>
        </w:rPr>
      </w:pPr>
      <w:r>
        <w:rPr>
          <w:rFonts w:ascii="Arial" w:cs="Arial" w:eastAsia="Arial" w:hAnsi="Arial"/>
          <w:sz w:val="23"/>
          <w:szCs w:val="23"/>
          <w:color w:val="auto"/>
        </w:rPr>
        <w:t>SCHEDULE 14A</w:t>
      </w:r>
    </w:p>
    <w:p>
      <w:pPr>
        <w:sectPr>
          <w:pgSz w:w="11900" w:h="16838" w:orient="portrait"/>
          <w:cols w:equalWidth="0" w:num="1">
            <w:col w:w="11200"/>
          </w:cols>
          <w:pgMar w:left="320" w:top="787" w:right="379" w:bottom="1440" w:gutter="0" w:footer="0" w:header="0"/>
        </w:sectPr>
      </w:pPr>
    </w:p>
    <w:p>
      <w:pPr>
        <w:spacing w:after="0" w:line="233" w:lineRule="exact"/>
        <w:rPr>
          <w:sz w:val="24"/>
          <w:szCs w:val="24"/>
          <w:color w:val="auto"/>
        </w:rPr>
      </w:pPr>
    </w:p>
    <w:p>
      <w:pPr>
        <w:jc w:val="both"/>
        <w:ind w:left="3340" w:firstLine="662"/>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2" w:lineRule="exact"/>
        <w:rPr>
          <w:sz w:val="24"/>
          <w:szCs w:val="24"/>
          <w:color w:val="auto"/>
        </w:rPr>
      </w:pPr>
    </w:p>
    <w:p>
      <w:pPr>
        <w:sectPr>
          <w:pgSz w:w="11900" w:h="16838" w:orient="portrait"/>
          <w:cols w:equalWidth="0" w:num="2">
            <w:col w:w="7280" w:space="580"/>
            <w:col w:w="3340"/>
          </w:cols>
          <w:pgMar w:left="320" w:top="787"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4760" w:firstLine="8"/>
        <w:spacing w:after="0" w:line="216" w:lineRule="exact"/>
        <w:tabs>
          <w:tab w:leader="none" w:pos="5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260" w:right="140" w:hanging="577"/>
        <w:spacing w:after="0" w:line="277"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80" w:hanging="672"/>
        <w:spacing w:after="0" w:line="264" w:lineRule="auto"/>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60" w:hanging="57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8" w:lineRule="exact"/>
        <w:rPr>
          <w:rFonts w:ascii="Arial" w:cs="Arial" w:eastAsia="Arial" w:hAnsi="Arial"/>
          <w:sz w:val="18"/>
          <w:szCs w:val="18"/>
          <w:color w:val="auto"/>
        </w:rPr>
      </w:pPr>
    </w:p>
    <w:p>
      <w:pPr>
        <w:ind w:left="1260" w:right="160"/>
        <w:spacing w:after="0" w:line="277" w:lineRule="auto"/>
        <w:rPr>
          <w:rFonts w:ascii="Arial" w:cs="Arial" w:eastAsia="Arial" w:hAnsi="Arial"/>
          <w:sz w:val="18"/>
          <w:szCs w:val="18"/>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793750</wp:posOffset>
            </wp:positionH>
            <wp:positionV relativeFrom="paragraph">
              <wp:posOffset>-302260</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-584835</wp:posOffset>
            </wp:positionV>
            <wp:extent cx="6343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-1005205</wp:posOffset>
            </wp:positionV>
            <wp:extent cx="6343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-1424940</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-2247900</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-2531110</wp:posOffset>
            </wp:positionV>
            <wp:extent cx="634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-2813685</wp:posOffset>
            </wp:positionV>
            <wp:extent cx="6343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-3234055</wp:posOffset>
            </wp:positionV>
            <wp:extent cx="6343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-3516630</wp:posOffset>
            </wp:positionV>
            <wp:extent cx="6343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type w:val="continuous"/>
        </w:sectPr>
      </w:pPr>
    </w:p>
    <w:bookmarkStart w:id="1" w:name="page2"/>
    <w:bookmarkEnd w:id="1"/>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2557145</wp:posOffset>
            </wp:positionH>
            <wp:positionV relativeFrom="page">
              <wp:posOffset>586105</wp:posOffset>
            </wp:positionV>
            <wp:extent cx="243459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34590" cy="3860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3"/>
          <w:szCs w:val="23"/>
          <w:color w:val="auto"/>
        </w:rPr>
        <w:t>ALLIED MOTION TECHNOLOGIES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495 Commerce Drive, Suite 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Amherst, New York 14228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ANNUAL MEETING OF SHAREHOLDERS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ON MAY 5,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You are hereby notified that the 2021 Annual Meeting of Shareholders of Allied Motion Technologies Inc. (the “Company”) will be held virtually on Wednesday, May 5, 2021 at 9:00 a.m. (Eastern Time). The meeting can be accessed by visiting </w:t>
      </w:r>
      <w:r>
        <w:rPr>
          <w:rFonts w:ascii="Arial" w:cs="Arial" w:eastAsia="Arial" w:hAnsi="Arial"/>
          <w:sz w:val="18"/>
          <w:szCs w:val="18"/>
          <w:u w:val="single" w:color="auto"/>
          <w:color w:val="auto"/>
        </w:rPr>
        <w:t>www.virtualshareholdermeeting.com/AMOT2021</w:t>
      </w:r>
      <w:r>
        <w:rPr>
          <w:rFonts w:ascii="Arial" w:cs="Arial" w:eastAsia="Arial" w:hAnsi="Arial"/>
          <w:sz w:val="18"/>
          <w:szCs w:val="18"/>
          <w:color w:val="auto"/>
        </w:rPr>
        <w:t>, where you will be able to listen to the meeting live, submit questions and vote online.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this meeting, the shareholders will be asked to act on the following matters:</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an advisory approval of the compensation of our Named Executive Officers;</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2021 fiscal year;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2021 Annual Meeting or any adjournment thereof.</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10, 2021 are entitled to notice of and to vote at the 2021 Annual Meeting and any adjournment thereof.</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19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14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123444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2021</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8"/>
          </w:tcPr>
          <w:p>
            <w:pPr>
              <w:ind w:left="100"/>
              <w:spacing w:after="0"/>
              <w:rPr>
                <w:sz w:val="20"/>
                <w:szCs w:val="20"/>
                <w:color w:val="auto"/>
              </w:rPr>
            </w:pPr>
            <w:r>
              <w:rPr>
                <w:rFonts w:ascii="Arial" w:cs="Arial" w:eastAsia="Arial" w:hAnsi="Arial"/>
                <w:sz w:val="18"/>
                <w:szCs w:val="18"/>
                <w:color w:val="auto"/>
              </w:rPr>
              <w:t>TABLE OF CONTENTS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gridSpan w:val="5"/>
          </w:tcPr>
          <w:p>
            <w:pPr>
              <w:ind w:left="13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gridSpan w:val="45"/>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QUESTIONS AND ANSWERS ABOUT THE 2021 ANNUAL MEETING</w:t>
              </w:r>
            </w:hyperlink>
          </w:p>
        </w:tc>
        <w:tc>
          <w:tcPr>
            <w:tcW w:w="4040" w:type="dxa"/>
            <w:vAlign w:val="bottom"/>
            <w:gridSpan w:val="3"/>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5140" w:type="dxa"/>
            <w:vAlign w:val="bottom"/>
            <w:gridSpan w:val="4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Why did I receive this proxy?</w:t>
              </w:r>
            </w:hyperlink>
          </w:p>
        </w:tc>
        <w:tc>
          <w:tcPr>
            <w:tcW w:w="4040" w:type="dxa"/>
            <w:vAlign w:val="bottom"/>
            <w:gridSpan w:val="3"/>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1720" w:type="dxa"/>
            <w:vAlign w:val="bottom"/>
            <w:gridSpan w:val="6"/>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Who is entitled to vote?</w:t>
              </w:r>
            </w:hyperlink>
          </w:p>
        </w:tc>
        <w:tc>
          <w:tcPr>
            <w:tcW w:w="7460" w:type="dxa"/>
            <w:vAlign w:val="bottom"/>
            <w:gridSpan w:val="41"/>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What is the quorum for the Annual Meeting?</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How many votes do I have?</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What is the difference between a shareholder of record and a beneficial owner of shares held in street name?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4720" w:type="dxa"/>
            <w:vAlign w:val="bottom"/>
            <w:gridSpan w:val="41"/>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If I am a shareholder of record of Common Stock, how do I vote?</w:t>
              </w:r>
            </w:hyperlink>
          </w:p>
        </w:tc>
        <w:tc>
          <w:tcPr>
            <w:tcW w:w="4460" w:type="dxa"/>
            <w:vAlign w:val="bottom"/>
            <w:gridSpan w:val="6"/>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If I am a beneficial owner of shares held in street name, how do I vote?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How can I participate in the virtual Annual Meeting?</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3800" w:type="dxa"/>
            <w:vAlign w:val="bottom"/>
            <w:gridSpan w:val="3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What am I voting on?</w:t>
              </w:r>
            </w:hyperlink>
          </w:p>
        </w:tc>
        <w:tc>
          <w:tcPr>
            <w:tcW w:w="5380" w:type="dxa"/>
            <w:vAlign w:val="bottom"/>
            <w:gridSpan w:val="15"/>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4060" w:type="dxa"/>
            <w:vAlign w:val="bottom"/>
            <w:gridSpan w:val="36"/>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Will there be any other items of business on the agenda?</w:t>
              </w:r>
            </w:hyperlink>
          </w:p>
        </w:tc>
        <w:tc>
          <w:tcPr>
            <w:tcW w:w="5120" w:type="dxa"/>
            <w:vAlign w:val="bottom"/>
            <w:gridSpan w:val="11"/>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4060" w:type="dxa"/>
            <w:vAlign w:val="bottom"/>
            <w:gridSpan w:val="36"/>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How many votes are required to act on the proposals?</w:t>
              </w:r>
            </w:hyperlink>
          </w:p>
        </w:tc>
        <w:tc>
          <w:tcPr>
            <w:tcW w:w="5120" w:type="dxa"/>
            <w:vAlign w:val="bottom"/>
            <w:gridSpan w:val="11"/>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How are votes counted?</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Can I change my vote after I have voted?</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3180" w:type="dxa"/>
            <w:vAlign w:val="bottom"/>
            <w:gridSpan w:val="25"/>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Will anyone contact me regarding this vote?</w:t>
              </w:r>
            </w:hyperlink>
          </w:p>
        </w:tc>
        <w:tc>
          <w:tcPr>
            <w:tcW w:w="6000" w:type="dxa"/>
            <w:vAlign w:val="bottom"/>
            <w:gridSpan w:val="22"/>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3180" w:type="dxa"/>
            <w:vAlign w:val="bottom"/>
            <w:gridSpan w:val="25"/>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Who has paid for this proxy solicitation?</w:t>
              </w:r>
            </w:hyperlink>
          </w:p>
        </w:tc>
        <w:tc>
          <w:tcPr>
            <w:tcW w:w="6000" w:type="dxa"/>
            <w:vAlign w:val="bottom"/>
            <w:gridSpan w:val="22"/>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How can I obtain a copy of this year’s Annual Report on Form 10-K?</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5000" w:type="dxa"/>
            <w:vAlign w:val="bottom"/>
            <w:gridSpan w:val="4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What does it mean if I receive more than one proxy card?</w:t>
              </w:r>
            </w:hyperlink>
          </w:p>
        </w:tc>
        <w:tc>
          <w:tcPr>
            <w:tcW w:w="4180" w:type="dxa"/>
            <w:vAlign w:val="bottom"/>
            <w:gridSpan w:val="5"/>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When was this proxy statement mailed?</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Can I find additional information on the Company’s website?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gridSpan w:val="36"/>
            <w:shd w:val="clear" w:color="auto" w:fill="CCEEFF"/>
          </w:tcPr>
          <w:p>
            <w:pPr>
              <w:spacing w:after="0" w:line="17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CORPORATE GOVERNANCE AND BOARD MATTERS</w:t>
              </w:r>
            </w:hyperlink>
          </w:p>
        </w:tc>
        <w:tc>
          <w:tcPr>
            <w:tcW w:w="5200" w:type="dxa"/>
            <w:vAlign w:val="bottom"/>
            <w:gridSpan w:val="12"/>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3980" w:type="dxa"/>
            <w:vAlign w:val="bottom"/>
            <w:gridSpan w:val="35"/>
          </w:tcPr>
          <w:p>
            <w:pPr>
              <w:spacing w:after="0" w:line="17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Qualifications and Biographical Information</w:t>
              </w:r>
            </w:hyperlink>
          </w:p>
        </w:tc>
        <w:tc>
          <w:tcPr>
            <w:tcW w:w="5200" w:type="dxa"/>
            <w:vAlign w:val="bottom"/>
            <w:gridSpan w:val="12"/>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Independent Directors</w:t>
              </w:r>
            </w:hyperlink>
          </w:p>
        </w:tc>
        <w:tc>
          <w:tcPr>
            <w:tcW w:w="7580" w:type="dxa"/>
            <w:vAlign w:val="bottom"/>
            <w:gridSpan w:val="43"/>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Board Leadership Structure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Shareholder Communication with the Board</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3180" w:type="dxa"/>
            <w:vAlign w:val="bottom"/>
            <w:gridSpan w:val="25"/>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Committees and Meeting Data</w:t>
              </w:r>
            </w:hyperlink>
          </w:p>
        </w:tc>
        <w:tc>
          <w:tcPr>
            <w:tcW w:w="6000" w:type="dxa"/>
            <w:vAlign w:val="bottom"/>
            <w:gridSpan w:val="22"/>
          </w:tcPr>
          <w:p>
            <w:pPr>
              <w:spacing w:after="0"/>
              <w:rPr>
                <w:sz w:val="15"/>
                <w:szCs w:val="15"/>
                <w:color w:val="auto"/>
              </w:rPr>
            </w:pPr>
          </w:p>
        </w:tc>
        <w:tc>
          <w:tcPr>
            <w:tcW w:w="1720" w:type="dxa"/>
            <w:vAlign w:val="bottom"/>
            <w:gridSpan w:val="4"/>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line="17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Risk Oversight</w:t>
              </w:r>
            </w:hyperlink>
          </w:p>
        </w:tc>
        <w:tc>
          <w:tcPr>
            <w:tcW w:w="8100" w:type="dxa"/>
            <w:vAlign w:val="bottom"/>
            <w:gridSpan w:val="46"/>
            <w:shd w:val="clear" w:color="auto" w:fill="CCEEFF"/>
          </w:tcPr>
          <w:p>
            <w:pPr>
              <w:spacing w:after="0"/>
              <w:rPr>
                <w:sz w:val="15"/>
                <w:szCs w:val="15"/>
                <w:color w:val="auto"/>
              </w:rPr>
            </w:pPr>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Environmental, Social and Governance (“ESG”) Matters.</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Nominating Procedures</w:t>
              </w:r>
            </w:hyperlink>
          </w:p>
        </w:tc>
        <w:tc>
          <w:tcPr>
            <w:tcW w:w="7480" w:type="dxa"/>
            <w:vAlign w:val="bottom"/>
            <w:tcBorders>
              <w:bottom w:val="single" w:sz="8" w:color="CCEEFF"/>
            </w:tcBorders>
            <w:gridSpan w:val="42"/>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Board Attendance at Meetings</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Committee Interlocks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Ownership Guidelines for Directors and Officers</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20" w:type="dxa"/>
            <w:vAlign w:val="bottom"/>
            <w:gridSpan w:val="48"/>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PROPOSALS TO BE VOTED ON</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Proposal 1 – Election of Directors</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0000EE"/>
            </w:tcBorders>
            <w:gridSpan w:val="36"/>
            <w:shd w:val="clear" w:color="auto" w:fill="CCEEFF"/>
          </w:tcPr>
          <w:p>
            <w:pPr>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Proposal 2 – Advisory Vote on Executive Compensation</w:t>
              </w:r>
            </w:hyperlink>
          </w:p>
        </w:tc>
        <w:tc>
          <w:tcPr>
            <w:tcW w:w="5120" w:type="dxa"/>
            <w:vAlign w:val="bottom"/>
            <w:tcBorders>
              <w:bottom w:val="single" w:sz="8" w:color="CCEEFF"/>
            </w:tcBorders>
            <w:gridSpan w:val="11"/>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Proposal 3 – Advisory Vote on the Ratification of Independent Registered Public Accounting Firm</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20" w:type="dxa"/>
            <w:vAlign w:val="bottom"/>
            <w:gridSpan w:val="48"/>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EXECUTIVE OFFICERS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20" w:type="dxa"/>
            <w:vAlign w:val="bottom"/>
            <w:gridSpan w:val="4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OF NAMED EXECUTIVE OFFICERS</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Borders>
              <w:top w:val="single" w:sz="8" w:color="CCEEFF"/>
            </w:tcBorders>
          </w:tcPr>
          <w:p>
            <w:pPr>
              <w:spacing w:after="0"/>
              <w:rPr>
                <w:sz w:val="15"/>
                <w:szCs w:val="15"/>
                <w:color w:val="auto"/>
              </w:rPr>
            </w:pPr>
          </w:p>
        </w:tc>
        <w:tc>
          <w:tcPr>
            <w:tcW w:w="28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 in 2020</w:t>
              </w:r>
            </w:hyperlink>
          </w:p>
        </w:tc>
        <w:tc>
          <w:tcPr>
            <w:tcW w:w="6340" w:type="dxa"/>
            <w:vAlign w:val="bottom"/>
            <w:tcBorders>
              <w:top w:val="single" w:sz="8" w:color="CCEEFF"/>
            </w:tcBorders>
            <w:gridSpan w:val="28"/>
          </w:tcPr>
          <w:p>
            <w:pPr>
              <w:spacing w:after="0"/>
              <w:rPr>
                <w:sz w:val="15"/>
                <w:szCs w:val="15"/>
                <w:color w:val="auto"/>
              </w:rPr>
            </w:pPr>
          </w:p>
        </w:tc>
        <w:tc>
          <w:tcPr>
            <w:tcW w:w="154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Employment Agreements and Related Arrangements</w:t>
              </w:r>
            </w:hyperlink>
          </w:p>
        </w:tc>
        <w:tc>
          <w:tcPr>
            <w:tcW w:w="5380" w:type="dxa"/>
            <w:vAlign w:val="bottom"/>
            <w:tcBorders>
              <w:bottom w:val="single" w:sz="8" w:color="CCEEFF"/>
            </w:tcBorders>
            <w:gridSpan w:val="15"/>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Report of the Compensation Committee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Pay Ratio Disclosure</w:t>
              </w:r>
            </w:hyperlink>
          </w:p>
        </w:tc>
        <w:tc>
          <w:tcPr>
            <w:tcW w:w="7660" w:type="dxa"/>
            <w:vAlign w:val="bottom"/>
            <w:tcBorders>
              <w:bottom w:val="single" w:sz="8" w:color="CCEEFF"/>
            </w:tcBorders>
            <w:gridSpan w:val="45"/>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Summary Compensation Table</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Grants of Plan-Based Awards in 2020</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Outstanding Equity Awards at 2020 Fiscal Year End</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Option Exercises and Stock Vested in 2020</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180" w:type="dxa"/>
            <w:vAlign w:val="bottom"/>
            <w:gridSpan w:val="4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Potential Payments upon Termination or Change in Control</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20" w:type="dxa"/>
            <w:vAlign w:val="bottom"/>
            <w:gridSpan w:val="48"/>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CERTAIN TRANSACTIONS AND RELATIONSHIPS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Borders>
              <w:top w:val="single" w:sz="8" w:color="0000EE"/>
            </w:tcBorders>
          </w:tcPr>
          <w:p>
            <w:pPr>
              <w:spacing w:after="0"/>
              <w:rPr>
                <w:sz w:val="15"/>
                <w:szCs w:val="15"/>
                <w:color w:val="auto"/>
              </w:rPr>
            </w:pPr>
          </w:p>
        </w:tc>
        <w:tc>
          <w:tcPr>
            <w:tcW w:w="368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Employment Agreements</w:t>
              </w:r>
            </w:hyperlink>
          </w:p>
        </w:tc>
        <w:tc>
          <w:tcPr>
            <w:tcW w:w="5500" w:type="dxa"/>
            <w:vAlign w:val="bottom"/>
            <w:tcBorders>
              <w:top w:val="single" w:sz="8" w:color="CCEEFF"/>
            </w:tcBorders>
            <w:gridSpan w:val="18"/>
          </w:tcPr>
          <w:p>
            <w:pPr>
              <w:spacing w:after="0"/>
              <w:rPr>
                <w:sz w:val="15"/>
                <w:szCs w:val="15"/>
                <w:color w:val="auto"/>
              </w:rPr>
            </w:pPr>
          </w:p>
        </w:tc>
        <w:tc>
          <w:tcPr>
            <w:tcW w:w="154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Related-Party Transactions Policies and Procedures.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20" w:type="dxa"/>
            <w:vAlign w:val="bottom"/>
            <w:gridSpan w:val="48"/>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OWNERSHIP OF COMPANY STOCK</w:t>
              </w:r>
            </w:hyperlink>
          </w:p>
        </w:tc>
        <w:tc>
          <w:tcPr>
            <w:tcW w:w="1720" w:type="dxa"/>
            <w:vAlign w:val="bottom"/>
            <w:gridSpan w:val="4"/>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180" w:type="dxa"/>
            <w:vAlign w:val="bottom"/>
            <w:gridSpan w:val="4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w:t>
              </w:r>
            </w:hyperlink>
          </w:p>
        </w:tc>
        <w:tc>
          <w:tcPr>
            <w:tcW w:w="17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340" w:type="dxa"/>
            <w:vAlign w:val="bottom"/>
            <w:shd w:val="clear" w:color="auto" w:fill="CCEEFF"/>
          </w:tcPr>
          <w:p>
            <w:pPr>
              <w:spacing w:after="0"/>
              <w:rPr>
                <w:sz w:val="19"/>
                <w:szCs w:val="19"/>
                <w:color w:val="auto"/>
              </w:rPr>
            </w:pPr>
          </w:p>
        </w:tc>
        <w:tc>
          <w:tcPr>
            <w:tcW w:w="8320" w:type="dxa"/>
            <w:vAlign w:val="bottom"/>
            <w:gridSpan w:val="9"/>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Security Ownership of Management and Directors</w:t>
              </w:r>
            </w:hyperlink>
          </w:p>
        </w:tc>
        <w:tc>
          <w:tcPr>
            <w:tcW w:w="2580" w:type="dxa"/>
            <w:vAlign w:val="bottom"/>
            <w:gridSpan w:val="2"/>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Borders>
              <w:top w:val="single" w:sz="8" w:color="CCEEFF"/>
            </w:tcBorders>
          </w:tcPr>
          <w:p>
            <w:pPr>
              <w:spacing w:after="0"/>
              <w:rPr>
                <w:sz w:val="15"/>
                <w:szCs w:val="15"/>
                <w:color w:val="auto"/>
              </w:rPr>
            </w:pPr>
          </w:p>
        </w:tc>
        <w:tc>
          <w:tcPr>
            <w:tcW w:w="36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Delinquent Section 16(a) Reports</w:t>
              </w:r>
            </w:hyperlink>
          </w:p>
        </w:tc>
        <w:tc>
          <w:tcPr>
            <w:tcW w:w="4700" w:type="dxa"/>
            <w:vAlign w:val="bottom"/>
            <w:tcBorders>
              <w:top w:val="single" w:sz="8" w:color="CCEEFF"/>
            </w:tcBorders>
            <w:gridSpan w:val="2"/>
          </w:tcPr>
          <w:p>
            <w:pPr>
              <w:spacing w:after="0"/>
              <w:rPr>
                <w:sz w:val="15"/>
                <w:szCs w:val="15"/>
                <w:color w:val="auto"/>
              </w:rPr>
            </w:pPr>
          </w:p>
        </w:tc>
        <w:tc>
          <w:tcPr>
            <w:tcW w:w="24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gridSpan w:val="1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MATTERS</w:t>
              </w:r>
            </w:hyperlink>
          </w:p>
        </w:tc>
        <w:tc>
          <w:tcPr>
            <w:tcW w:w="25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Borders>
              <w:top w:val="single" w:sz="8" w:color="0000EE"/>
            </w:tcBorders>
          </w:tcPr>
          <w:p>
            <w:pPr>
              <w:spacing w:after="0"/>
              <w:rPr>
                <w:sz w:val="15"/>
                <w:szCs w:val="15"/>
                <w:color w:val="auto"/>
              </w:rPr>
            </w:pPr>
          </w:p>
        </w:tc>
        <w:tc>
          <w:tcPr>
            <w:tcW w:w="2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Report</w:t>
              </w:r>
            </w:hyperlink>
          </w:p>
        </w:tc>
        <w:tc>
          <w:tcPr>
            <w:tcW w:w="6120" w:type="dxa"/>
            <w:vAlign w:val="bottom"/>
            <w:tcBorders>
              <w:top w:val="single" w:sz="8" w:color="CCEEFF"/>
            </w:tcBorders>
            <w:gridSpan w:val="5"/>
          </w:tcPr>
          <w:p>
            <w:pPr>
              <w:spacing w:after="0"/>
              <w:rPr>
                <w:sz w:val="15"/>
                <w:szCs w:val="15"/>
                <w:color w:val="auto"/>
              </w:rPr>
            </w:pPr>
          </w:p>
        </w:tc>
        <w:tc>
          <w:tcPr>
            <w:tcW w:w="24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8320" w:type="dxa"/>
            <w:vAlign w:val="bottom"/>
            <w:gridSpan w:val="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Policy for Pre-Approval of Audit and Permitted Non-Audit Services</w:t>
              </w:r>
            </w:hyperlink>
          </w:p>
        </w:tc>
        <w:tc>
          <w:tcPr>
            <w:tcW w:w="25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Auditor Fees and Services</w:t>
              </w:r>
            </w:hyperlink>
          </w:p>
        </w:tc>
        <w:tc>
          <w:tcPr>
            <w:tcW w:w="3420" w:type="dxa"/>
            <w:vAlign w:val="bottom"/>
            <w:tcBorders>
              <w:top w:val="single" w:sz="8" w:color="CCEEFF"/>
            </w:tcBorders>
          </w:tcPr>
          <w:p>
            <w:pPr>
              <w:spacing w:after="0"/>
              <w:rPr>
                <w:sz w:val="15"/>
                <w:szCs w:val="15"/>
                <w:color w:val="auto"/>
              </w:rPr>
            </w:pPr>
          </w:p>
        </w:tc>
        <w:tc>
          <w:tcPr>
            <w:tcW w:w="24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OTHER MATTERS</w:t>
              </w:r>
            </w:hyperlink>
          </w:p>
        </w:tc>
        <w:tc>
          <w:tcPr>
            <w:tcW w:w="7180" w:type="dxa"/>
            <w:vAlign w:val="bottom"/>
            <w:tcBorders>
              <w:bottom w:val="single" w:sz="8" w:color="CCEEFF"/>
            </w:tcBorders>
            <w:gridSpan w:val="8"/>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60" w:type="dxa"/>
            <w:vAlign w:val="bottom"/>
            <w:gridSpan w:val="1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SHAREHOLDER PROPOSALS FOR THE 2022 ANNUAL MEETING</w:t>
              </w:r>
            </w:hyperlink>
          </w:p>
        </w:tc>
        <w:tc>
          <w:tcPr>
            <w:tcW w:w="2580" w:type="dxa"/>
            <w:vAlign w:val="bottom"/>
            <w:gridSpan w:val="2"/>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832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Proposals for the Company’s Proxy Material</w:t>
              </w:r>
            </w:hyperlink>
          </w:p>
        </w:tc>
        <w:tc>
          <w:tcPr>
            <w:tcW w:w="25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8320" w:type="dxa"/>
            <w:vAlign w:val="bottom"/>
            <w:tcBorders>
              <w:bottom w:val="single" w:sz="8" w:color="0000EE"/>
            </w:tcBorders>
            <w:gridSpan w:val="9"/>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Proposals to be Introduced at the Annual Meeting but not Intended to be Included in the Company’s Proxy Material</w:t>
              </w:r>
            </w:hyperlink>
          </w:p>
        </w:tc>
        <w:tc>
          <w:tcPr>
            <w:tcW w:w="2400" w:type="dxa"/>
            <w:vAlign w:val="bottom"/>
          </w:tcPr>
          <w:p>
            <w:pPr>
              <w:spacing w:after="0"/>
              <w:rPr>
                <w:sz w:val="15"/>
                <w:szCs w:val="15"/>
                <w:color w:val="auto"/>
              </w:rPr>
            </w:pPr>
          </w:p>
        </w:tc>
        <w:tc>
          <w:tcPr>
            <w:tcW w:w="18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723265</wp:posOffset>
            </wp:positionV>
            <wp:extent cx="2571750"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829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QUESTIONS AND ANSWERS ABOUT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2021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Board of Directors of Allied Motion Technologies Inc. (the “Company”) is soliciting proxies to be voted at the Annual Meeting of Shareholders. The Annual Meeting will be held virtually on Wednesday, May 5, 2021, at 9:00 a.m. (Eastern Time). The meeting can be accessed by visiting </w:t>
      </w:r>
      <w:r>
        <w:rPr>
          <w:rFonts w:ascii="Arial" w:cs="Arial" w:eastAsia="Arial" w:hAnsi="Arial"/>
          <w:sz w:val="18"/>
          <w:szCs w:val="18"/>
          <w:u w:val="single" w:color="auto"/>
          <w:color w:val="auto"/>
        </w:rPr>
        <w:t>www.virtualshareholdermeeting.com/AMOT2021</w:t>
      </w:r>
      <w:r>
        <w:rPr>
          <w:rFonts w:ascii="Arial" w:cs="Arial" w:eastAsia="Arial" w:hAnsi="Arial"/>
          <w:sz w:val="18"/>
          <w:szCs w:val="18"/>
          <w:color w:val="auto"/>
        </w:rPr>
        <w:t>, where 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shareholders of record as of the close of business on Wednesday, March 10, 2021 (the “Record Date”) are entitled to vote at the Annual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9,772,519 shares of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you are considered the shareholder of record with respect to those shares.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firstLine="648"/>
        <w:spacing w:after="0" w:line="263"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Deloitte &amp; Touche LLP (Proposal 3). Please ensure that you complete the voting instruction card sent by your bank or broker.</w:t>
      </w:r>
    </w:p>
    <w:p>
      <w:pPr>
        <w:spacing w:after="0" w:line="18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virtual Annual Meeting?</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You may participate in the virtual Annual Meeting and vote your shares during the meeting by visiting our Annual Meeting website at </w:t>
      </w:r>
      <w:r>
        <w:rPr>
          <w:rFonts w:ascii="Arial" w:cs="Arial" w:eastAsia="Arial" w:hAnsi="Arial"/>
          <w:sz w:val="16"/>
          <w:szCs w:val="16"/>
          <w:u w:val="single" w:color="auto"/>
          <w:color w:val="auto"/>
        </w:rPr>
        <w:t>www.virtualshareholdermeeting.com/AMOT2021</w:t>
      </w:r>
      <w:r>
        <w:rPr>
          <w:rFonts w:ascii="Arial" w:cs="Arial" w:eastAsia="Arial" w:hAnsi="Arial"/>
          <w:sz w:val="16"/>
          <w:szCs w:val="16"/>
          <w:color w:val="auto"/>
        </w:rPr>
        <w:t>. To participate in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participate in the Annual Meeting online, we recommend that you vote by proxy in advance as described above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187" w:lineRule="exact"/>
        <w:rPr>
          <w:sz w:val="20"/>
          <w:szCs w:val="20"/>
          <w:color w:val="auto"/>
        </w:rPr>
      </w:pPr>
    </w:p>
    <w:p>
      <w:pPr>
        <w:ind w:right="2400" w:firstLine="648"/>
        <w:spacing w:after="0" w:line="342" w:lineRule="auto"/>
        <w:rPr>
          <w:sz w:val="20"/>
          <w:szCs w:val="20"/>
          <w:color w:val="auto"/>
        </w:rPr>
      </w:pPr>
      <w:r>
        <w:rPr>
          <w:rFonts w:ascii="Arial" w:cs="Arial" w:eastAsia="Arial" w:hAnsi="Arial"/>
          <w:sz w:val="16"/>
          <w:szCs w:val="16"/>
          <w:color w:val="auto"/>
        </w:rPr>
        <w:t>If you wish to submit a question during the Annual Meeting, you may log into the virtual meeting platform at www.virtualshareholdermeeting.com/AMOT2021, type your question into the “Ask a Question” field, and click “Submit.”</w:t>
      </w:r>
    </w:p>
    <w:p>
      <w:pPr>
        <w:spacing w:after="0" w:line="12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www.alliedmotion.com/investor-relations/. The questions and answers will be available as soon as practical after the meeting and will remain available until one week after posting.</w:t>
      </w:r>
    </w:p>
    <w:p>
      <w:pPr>
        <w:spacing w:after="0" w:line="15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you encounter any technical difficulties with the virtual meeting platform on the meeting day, please call 1-844-986-0822 (Toll Free). Technical support will be available starting at 8:30 a.m. (Eastern Time) on May 5, 2021 and will remain available until thirty minutes after the meeting has finished.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1: the election of seven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2: an advisory vote on the compensation of our Named Executive Officers; and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3: the ratification of Deloitte &amp; Touche LLP as the Company’s independent registered public accounting firm for the 2021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240" w:firstLine="648"/>
        <w:spacing w:after="0" w:line="277"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Proposals 2 and 3 requires an affirmative vote by a majority of the votes cast on each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voting again by Internet or by telephone (only your last Internet or telephone proxy submitted prior to the meeting will be counted);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filing with the Secretary of the Company a written revocation or signing and submitting another proxy with a later date,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virtually attending the Annual Meeting, withdrawing the proxy and voting during the Annual Meeting.</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paid the entire expense of this proxy statement and any additional materials furnished to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copy of the Company’s 2020 Annual Report to Shareholders, including financial statements for the fiscal year ended December 31, 2020,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“Investors/SEC Filings” section of the Company’s website at www.alliedmotion.com. In addition, the Proxy Statement and Annual Report are available on the internet at https://materials.proxyvote.com/019330.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vote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April 7, 2021.</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and business conduct policy, corporate governance principles and each of the charters of our board committees may be obtained free of charge by writing to Allied Motion Technologies Inc., 495 Commerce Drive, Suite 3, Amherst, New York 14228, Attention: Secretary.</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Biographical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ectPr>
          <w:pgSz w:w="11900" w:h="16838" w:orient="portrait"/>
          <w:cols w:equalWidth="0" w:num="1">
            <w:col w:w="11200"/>
          </w:cols>
          <w:pgMar w:left="320" w:top="904" w:right="379" w:bottom="1440" w:gutter="0" w:footer="0" w:header="0"/>
        </w:sectPr>
      </w:pP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865505" cy="1259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550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67</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Director Since</w:t>
      </w:r>
      <w:r>
        <w:rPr>
          <w:rFonts w:ascii="Arial" w:cs="Arial" w:eastAsia="Arial" w:hAnsi="Arial"/>
          <w:sz w:val="16"/>
          <w:szCs w:val="16"/>
          <w:color w:val="auto"/>
        </w:rPr>
        <w:t>: 2019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Mr. Engel serves as Chief Executive Officer and Managing Director of BLT Advisory Services, LLC, a boutique advisory firm he formed in 2017 which provides guidance for business transformation, mergers and acquisitions, brand building and governance, as well as leadership development. Prior to BLT Advisory Services, Mr. Engel was in the banking industry for more than 30 years, including 17 years at CoBank, ACB in Denver, Colorado, serving first as President and Chief Operating Officer and subsequently being named President and Chief Executive Officer, responsible for leading the bank’s domestic and global businesses. Prior to this, Mr. Engel was with HSBC Bank USA in Buffalo, New York for 14 years, where he served in positions of increasing responsibility, ultimately becoming the Chief Banking Officer. Prior to moving to the banking industry, Mr. Engel began his public accounting career with Deloitte &amp; Touche, and then KPMG, rising to the position of Senior Audit Manager.</w:t>
      </w:r>
    </w:p>
    <w:p>
      <w:pPr>
        <w:spacing w:after="0" w:line="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Engel is currently an Independent Director at Alaska Power &amp; Telephone, where he serves on the Audit Committee and as Chairman of the Compensation Committee, and Heartland Financial USA, Inc. where he serves on the Risk, Nominating and Governance, and Compensation Committees. He is Chairman of the Board of Trustees at Regis University in Denver, Colorado. Mr. Engel is a recipient of the Ellis Island Medal of Honor. His experience in board and executive leadership, strategic planning, risk management, international operations, mergers and acquisitions, and corporate governance matters gives him strong insight into the issues facing our company’s businesses and markets.</w:t>
      </w:r>
    </w:p>
    <w:p>
      <w:pPr>
        <w:spacing w:after="0" w:line="200" w:lineRule="exact"/>
        <w:rPr>
          <w:sz w:val="20"/>
          <w:szCs w:val="20"/>
          <w:color w:val="auto"/>
        </w:rPr>
      </w:pPr>
    </w:p>
    <w:p>
      <w:pPr>
        <w:sectPr>
          <w:pgSz w:w="11900" w:h="16838" w:orient="portrait"/>
          <w:cols w:equalWidth="0" w:num="2">
            <w:col w:w="2080" w:space="720"/>
            <w:col w:w="8400"/>
          </w:cols>
          <w:pgMar w:left="320" w:top="904" w:right="3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i w:val="1"/>
          <w:iCs w:val="1"/>
          <w:color w:val="auto"/>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82650" cy="129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265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82650" cy="1268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265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Nominated</w:t>
      </w:r>
      <w:r>
        <w:rPr>
          <w:rFonts w:ascii="Arial" w:cs="Arial" w:eastAsia="Arial" w:hAnsi="Arial"/>
          <w:sz w:val="16"/>
          <w:szCs w:val="16"/>
          <w:color w:val="auto"/>
        </w:rPr>
        <w:t>: March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7439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43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2014</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Mr. Federico has over forty years of operational, strategy and investment experience and has served as Lead Director for the past four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and investment experience, knowledge of capital markets and experience on other public and private company boards prepare him to give the Board his views on strategic, operational, financial and advanced technology related matters.</w:t>
      </w:r>
    </w:p>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Mr. Finch is a new director nominee standing for election for the first time.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 GM facilities outside Buffalo before becoming Tonawanda Engine Plant Manager in 2007. Following his 2017 retirement from GM, Mr. Finch joined the Automobile Association of America Western and Central New York as Senior Vice President of Automotive Services.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0" w:lineRule="exact"/>
        <w:rPr>
          <w:sz w:val="20"/>
          <w:szCs w:val="20"/>
          <w:color w:val="auto"/>
        </w:rPr>
      </w:pPr>
    </w:p>
    <w:p>
      <w:pPr>
        <w:spacing w:after="0" w:line="2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Tanous is currently the Executive Director of the Prentice Family 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980" w:space="720"/>
            <w:col w:w="8340"/>
          </w:cols>
          <w:pgMar w:left="420" w:top="908" w:right="439" w:bottom="1440" w:gutter="0" w:footer="0" w:header="0"/>
        </w:sectPr>
      </w:pPr>
    </w:p>
    <w:bookmarkStart w:id="9" w:name="page10"/>
    <w:bookmarkEnd w:id="9"/>
    <w:p>
      <w:pPr>
        <w:ind w:left="100"/>
        <w:spacing w:after="0"/>
        <w:tabs>
          <w:tab w:leader="none" w:pos="2780" w:val="left"/>
        </w:tabs>
        <w:rPr>
          <w:sz w:val="20"/>
          <w:szCs w:val="20"/>
          <w:color w:val="auto"/>
        </w:rPr>
      </w:pPr>
      <w:r>
        <w:rPr>
          <w:rFonts w:ascii="Arial" w:cs="Arial" w:eastAsia="Arial" w:hAnsi="Arial"/>
          <w:sz w:val="18"/>
          <w:szCs w:val="18"/>
          <w:i w:val="1"/>
          <w:iCs w:val="1"/>
          <w:color w:val="auto"/>
        </w:rPr>
        <w:t>Nicole R. Tzetzo</w:t>
      </w:r>
      <w:r>
        <w:rPr>
          <w:sz w:val="20"/>
          <w:szCs w:val="20"/>
          <w:color w:val="auto"/>
        </w:rPr>
        <w:tab/>
      </w:r>
      <w:r>
        <w:rPr>
          <w:rFonts w:ascii="Arial" w:cs="Arial" w:eastAsia="Arial" w:hAnsi="Arial"/>
          <w:sz w:val="16"/>
          <w:szCs w:val="16"/>
          <w:color w:val="auto"/>
        </w:rPr>
        <w:t>Ms. Tzetzo is a new director nominee standing for election for the first time. She currently serves as Chief</w:t>
      </w:r>
    </w:p>
    <w:p>
      <w:pPr>
        <w:spacing w:after="0" w:line="23" w:lineRule="exact"/>
        <w:rPr>
          <w:sz w:val="20"/>
          <w:szCs w:val="20"/>
          <w:color w:val="auto"/>
        </w:rPr>
      </w:pPr>
    </w:p>
    <w:p>
      <w:pPr>
        <w:ind w:left="2800" w:right="40"/>
        <w:spacing w:after="0" w:line="288" w:lineRule="auto"/>
        <w:rPr>
          <w:sz w:val="20"/>
          <w:szCs w:val="20"/>
          <w:color w:val="auto"/>
        </w:rPr>
      </w:pPr>
      <w:r>
        <w:rPr>
          <w:rFonts w:ascii="Arial" w:cs="Arial" w:eastAsia="Arial" w:hAnsi="Arial"/>
          <w:sz w:val="16"/>
          <w:szCs w:val="16"/>
          <w:color w:val="auto"/>
        </w:rPr>
        <w:t>Operating Officer of Tzetzo Companies LLC, a residential and commercial real estate company. From 2016 to 2018 she served as Vice President of Finance and Administration at the Ralph C. Wilson, Jr. Foundation where she was responsible for all of the Foundation’s legal and financial operations. She was a Partner at Hodgson Russ, LLP (2019 to March 2021) and Jaeckle Fleischmann &amp; Mugel, LLP (2006 to 2016), where she represented numerous for-profit and not-for-profit clients on general tax and business matters. She currently is and has been involved with numerous private and non-profit boards. Ms. Tzetzo has served in management and leadership roles throughout her legal career. Her significant business and legal experience make her highly qualified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-980440</wp:posOffset>
            </wp:positionV>
            <wp:extent cx="857250" cy="123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12344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Age: 47</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Nominated</w:t>
      </w:r>
      <w:r>
        <w:rPr>
          <w:rFonts w:ascii="Arial" w:cs="Arial" w:eastAsia="Arial" w:hAnsi="Arial"/>
          <w:sz w:val="18"/>
          <w:szCs w:val="18"/>
          <w:color w:val="auto"/>
        </w:rPr>
        <w:t>: March 2021</w:t>
      </w:r>
    </w:p>
    <w:p>
      <w:pPr>
        <w:sectPr>
          <w:pgSz w:w="11900" w:h="16838" w:orient="portrait"/>
          <w:cols w:equalWidth="0" w:num="1">
            <w:col w:w="11160"/>
          </w:cols>
          <w:pgMar w:left="320" w:top="935" w:right="41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Richard S. Warzala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822960" cy="1268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67</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2006</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Michael R.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848360" cy="1268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836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67</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Mr. Warzala has a strong management and technical background in the motion control industry and has served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 Mr. Warzala has also served on the Board of Directors of Astronova, Inc. since December 2017 where he serves as the Lead Director and Chair of the Compensation Committee.</w:t>
      </w:r>
    </w:p>
    <w:p>
      <w:pPr>
        <w:spacing w:after="0" w:line="200" w:lineRule="exact"/>
        <w:rPr>
          <w:sz w:val="20"/>
          <w:szCs w:val="20"/>
          <w:color w:val="auto"/>
        </w:rPr>
      </w:pP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Mr. Winter is a former partner in the Buffalo, New 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Mr. Winter served on the Board of Directors of Gas Natural, Inc. (EGAS) from October 2014 through its sale in August 2017. His accounting and business expertise, including an in-depth understanding of the preparation and analysis of financial statements, makes him highly qualified to serve as a director.</w:t>
      </w:r>
    </w:p>
    <w:p>
      <w:pPr>
        <w:spacing w:after="0" w:line="1476" w:lineRule="exact"/>
        <w:rPr>
          <w:sz w:val="20"/>
          <w:szCs w:val="20"/>
          <w:color w:val="auto"/>
        </w:rPr>
      </w:pPr>
    </w:p>
    <w:p>
      <w:pPr>
        <w:sectPr>
          <w:pgSz w:w="11900" w:h="16838" w:orient="portrait"/>
          <w:cols w:equalWidth="0" w:num="2">
            <w:col w:w="2080" w:space="720"/>
            <w:col w:w="8360"/>
          </w:cols>
          <w:pgMar w:left="320" w:top="935" w:right="419" w:bottom="1440" w:gutter="0" w:footer="0" w:header="0"/>
          <w:type w:val="continuous"/>
        </w:sectPr>
      </w:pPr>
    </w:p>
    <w:p>
      <w:pPr>
        <w:spacing w:after="0" w:line="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satisfies the bright-line criteria and that no other director or nominee has a relationship with the Company that would interfere with such person’s ability to exercise independent judgment as a member of our Board.</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 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17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Another component of our leadership structure is the active role played by our independent directors in overseeing the Company’s business, both at Board and Committee levels. Six of the seven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8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and Meeting Data</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8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eight meetings during 2020 and consisted of Messrs. Winter (Chair), Engel and Tanous and Ms. Duch. Each member of the Audit Committee meets the current independence and experience requirements of Nasdaq and the SEC. Messrs. Winter and Engel have each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9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Compensation Committee also reviews and approves, or recommends to the Board for their approval, all awards granted under the Company’s stock incentive plan and performs other functions regarding compensation as the Board may delegate. In 2020, under the direction of the Compensation Committee, the Company retained The Burke Group, an independent compensation consultant, to report on peer compensation plans and provide guidance and feedback on compensation plan alternatives being considered by the Company and the Compensation Committee. The Compensation Committee met eight times during 2020 and consisted of Messrs. Federico (Chair) Engel and Laber and Ms. Duch.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140" w:firstLine="648"/>
        <w:spacing w:after="0" w:line="259" w:lineRule="auto"/>
        <w:rPr>
          <w:sz w:val="20"/>
          <w:szCs w:val="20"/>
          <w:color w:val="auto"/>
        </w:rPr>
      </w:pPr>
      <w:r>
        <w:rPr>
          <w:rFonts w:ascii="Arial" w:cs="Arial" w:eastAsia="Arial" w:hAnsi="Arial"/>
          <w:sz w:val="18"/>
          <w:szCs w:val="18"/>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six times during 2020 and consisted of Messrs. Tanous (Chair), Federico and Winter.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As a general matter, the entire Board of Directors is responsible for oversight of this senior management function. In certain instances, the Board of Directors has delegated oversight of specific risks to a Board Committee. The Audit Committee is responsible for the oversight of risks arising out of accounting, financial reporting and related activities. The Compensation Committee annually reviews the Company’s compensation arrangements to confirm that compensation plans, especially incentive pay arrangements, do not encourage or create opportunities for unnecessary risk-taking. The Corporate Governance and Nominating Committee is tasked with the oversight of the Company’s strategies, activities, and policies regarding sustainability and other environmental, social and governance related matters, and the Corporate Governance and Nominating Committee also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from senior management of the Company with respect to various risks attendant to the Company’s business, the appropriate risk appetite, and risk mitigation strategies. The Board also is regularly updated on the Company’s strategy and strategic goals, which updates include management’s analysis of the key risks that management analyzed in connection with the planning and plan update processes. The Board and its Committees regularly communicate with or are provided with reports regarding risks from the Company’s independent accountants, compensation consultants, outside and internal counsel and other professional advisers. The specific risks on which the Board and the Committees are periodically briefed or receive reports which include but are not limited to:</w:t>
      </w:r>
    </w:p>
    <w:p>
      <w:pPr>
        <w:spacing w:after="0" w:line="16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and obsolescence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 and information technology risks;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Matters.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is committed to responsible and sustainable business practices that consider the best interests of our customers, employees, suppliers, communities, and other stakeholders. As a global company, our stakeholders and business locations are diverse. The Company fully understands the expectations associated with this diversity and policies are in place to provide the fundamental practices for our daily operation and other responsibilities of all the Company’s employees.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 w:name="page13"/>
    <w:bookmarkEnd w:id="12"/>
    <w:p>
      <w:pPr>
        <w:ind w:right="140" w:firstLine="648"/>
        <w:spacing w:after="0" w:line="259" w:lineRule="auto"/>
        <w:rPr>
          <w:sz w:val="20"/>
          <w:szCs w:val="20"/>
          <w:color w:val="auto"/>
        </w:rPr>
      </w:pPr>
      <w:r>
        <w:rPr>
          <w:rFonts w:ascii="Arial" w:cs="Arial" w:eastAsia="Arial" w:hAnsi="Arial"/>
          <w:sz w:val="18"/>
          <w:szCs w:val="18"/>
          <w:color w:val="auto"/>
        </w:rPr>
        <w:t>The Company has a Social Responsibility Policy that is predicated upon creating value for our core constituencies through the development and application of “Motion Solutions That Change the Game”. This policy, along with other information regarding the Company’s Environmental, Health and Social responsibility disclosures is located on the Company’s website at www.alliedmotion.com/environmental-health-and-social-responsibility/. The Company creates value for its constituencies as follows:</w:t>
      </w:r>
    </w:p>
    <w:p>
      <w:pPr>
        <w:spacing w:after="0" w:line="187"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shareholders, by increasing our core value in a lawful manner and our commitment to compliance that is socially and environmentally responsible and sustainable.</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employees, by promoting their involvement, development, and participation at all levels, stimulating creativity, innovation, and teamwork, and demonstrating continual improvement for a safe and environmentally friendly workplace.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suppliers and business partners, by working pro-actively for the development of long-term partnerships based upon integrity and co-operation, striving for improved and environmentally responsible equipment, materials, and services.</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surrounding communities, by reducing the environmental impact of our activities, products, and services through prevention of pollution, promotion of the safety and health of our employees and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are examples of things that the Company does in the conduct of its business that further its Social Responsibility Policy:</w:t>
      </w:r>
    </w:p>
    <w:p>
      <w:pPr>
        <w:spacing w:after="0" w:line="2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Environmental </w:t>
      </w:r>
      <w:r>
        <w:rPr>
          <w:rFonts w:ascii="Arial" w:cs="Arial" w:eastAsia="Arial" w:hAnsi="Arial"/>
          <w:sz w:val="18"/>
          <w:szCs w:val="18"/>
          <w:color w:val="auto"/>
        </w:rPr>
        <w:t>- The Company is committed to minimizing the impact of its activities on the environment. The Company believes it meets or</w:t>
      </w:r>
      <w:r>
        <w:rPr>
          <w:rFonts w:ascii="Arial" w:cs="Arial" w:eastAsia="Arial" w:hAnsi="Arial"/>
          <w:sz w:val="18"/>
          <w:szCs w:val="18"/>
          <w:i w:val="1"/>
          <w:iCs w:val="1"/>
          <w:color w:val="auto"/>
        </w:rPr>
        <w:t xml:space="preserve"> </w:t>
      </w:r>
      <w:r>
        <w:rPr>
          <w:rFonts w:ascii="Arial" w:cs="Arial" w:eastAsia="Arial" w:hAnsi="Arial"/>
          <w:sz w:val="18"/>
          <w:szCs w:val="18"/>
          <w:color w:val="auto"/>
        </w:rPr>
        <w:t>exceeds all governmental environmental regulations in all jurisdictions in which it operates. All the Company’s significant manufacturing facilities have ISO 14001 certifications. The Company continues to look for areas in which it can improve its processes and programs to further reduce its environmental impact.</w:t>
      </w:r>
    </w:p>
    <w:p>
      <w:pPr>
        <w:spacing w:after="0" w:line="18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 The Company complies in all respects with the national and local laws of the jurisdictions in which we operate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workers safety and health. The Company strives to 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 opportunities and review of safety activities and initiatives. This clearly visible effort encourages employee engagement and active management and leadership involvement.</w:t>
      </w:r>
    </w:p>
    <w:p>
      <w:pPr>
        <w:spacing w:after="0" w:line="19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 xml:space="preserve">Human Capital Management </w:t>
      </w:r>
      <w:r>
        <w:rPr>
          <w:rFonts w:ascii="Arial" w:cs="Arial" w:eastAsia="Arial" w:hAnsi="Arial"/>
          <w:sz w:val="18"/>
          <w:szCs w:val="18"/>
          <w:color w:val="auto"/>
        </w:rPr>
        <w:t>– The Company believes that our workforce is one of our greatest assets, and it has a proactive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talent development program. The Compensation Committee is responsible for oversight of the Company’s human capital management and talent development programs.</w:t>
      </w:r>
    </w:p>
    <w:p>
      <w:pPr>
        <w:spacing w:after="0" w:line="184" w:lineRule="exact"/>
        <w:rPr>
          <w:sz w:val="20"/>
          <w:szCs w:val="20"/>
          <w:color w:val="auto"/>
        </w:rPr>
      </w:pPr>
    </w:p>
    <w:p>
      <w:pPr>
        <w:ind w:left="980" w:right="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Attraction: The Company competes within each world-wide market for a finite number of skilled and talented workers. The Company strives to leverage our broad resources to deliver an outstanding career experience to our employees.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Engagement: The Company strives to provide engaging and meaningful career opportunities for its employees, so they can thrive and be satisfied in our technology and innovation-based culture.</w:t>
      </w:r>
    </w:p>
    <w:p>
      <w:pPr>
        <w:spacing w:after="0" w:line="170" w:lineRule="exact"/>
        <w:rPr>
          <w:rFonts w:ascii="Arial" w:cs="Arial" w:eastAsia="Arial" w:hAnsi="Arial"/>
          <w:sz w:val="18"/>
          <w:szCs w:val="18"/>
          <w:color w:val="auto"/>
        </w:rPr>
      </w:pPr>
    </w:p>
    <w:p>
      <w:pPr>
        <w:ind w:left="980" w:right="10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The Company strengthens its employees’ skills and experiences through diverse career development and learning opportunities, both internal and external.</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Retention: The Company supports a workplace that provides an environment of trust, personal and professional development and work-life balance is vital to its successful retention of engaged, top-notch talent.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 The Company is committed to apply fair labor practices while respecting the national and local laws of the countries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where we have operations. The Company is committed to providing equal opportunity in all aspects of employment. The Company does not engage in or tolerate unlawful conduct, including discrimination, intimidation, or harassment. The Company strives to establish relationships with key organizations and associations that foster diversity and inclusion initiatives in the communities where it is located. The Company is committed to identify a talented and innovative workforce by building a diverse and inclusive pipeline of talent. The Compensation Committee is responsible for the oversight of the Company’s diversity and inclusion initiatives.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Ethical Business Practices </w:t>
      </w:r>
      <w:r>
        <w:rPr>
          <w:rFonts w:ascii="Arial" w:cs="Arial" w:eastAsia="Arial" w:hAnsi="Arial"/>
          <w:sz w:val="18"/>
          <w:szCs w:val="18"/>
          <w:color w:val="auto"/>
        </w:rPr>
        <w:t>- The Company is dedicated to conducting its business with integrity and responsibility. The Company promotes honest</w:t>
      </w:r>
      <w:r>
        <w:rPr>
          <w:rFonts w:ascii="Arial" w:cs="Arial" w:eastAsia="Arial" w:hAnsi="Arial"/>
          <w:sz w:val="18"/>
          <w:szCs w:val="18"/>
          <w:i w:val="1"/>
          <w:iCs w:val="1"/>
          <w:color w:val="auto"/>
        </w:rPr>
        <w:t xml:space="preserve"> </w:t>
      </w:r>
      <w:r>
        <w:rPr>
          <w:rFonts w:ascii="Arial" w:cs="Arial" w:eastAsia="Arial" w:hAnsi="Arial"/>
          <w:sz w:val="18"/>
          <w:szCs w:val="18"/>
          <w:color w:val="auto"/>
        </w:rPr>
        <w:t>and ethical conduct, and the Board has adopted a Code of Business Conduct and Ethics Policy which applies to all employees, directors, and officers. The Company does not tolerate human rights abuses, human trafficking and or slavery, the use of child labor and will not engage or be complicit in any activity that solicits or encourages human rights abuse.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100" w:firstLine="648"/>
        <w:spacing w:after="0" w:line="342" w:lineRule="auto"/>
        <w:rPr>
          <w:sz w:val="20"/>
          <w:szCs w:val="20"/>
          <w:color w:val="auto"/>
        </w:rPr>
      </w:pPr>
      <w:r>
        <w:rPr>
          <w:rFonts w:ascii="Arial" w:cs="Arial" w:eastAsia="Arial" w:hAnsi="Arial"/>
          <w:sz w:val="16"/>
          <w:szCs w:val="16"/>
          <w:color w:val="auto"/>
        </w:rPr>
        <w:t>The Company and the Board of Directors take seriously the Company’s commitment to ESG matters. In addition to the commitment of the senior leadership of the Company to such matters, the Company’s Corporate Governance and Nominating Committee provides oversight of ESG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Corporate Governance Principles provide that directors may not be nominated to a new term if they will be age 75 or over at the expiration of his or her current term, unless the Board waives the mandatory retirement age for a specific director.</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specifically require that the composition of our Board include individuals from any particular background or who possess specific attributes. Notwithstanding, the Board continues to be proactive in furthering the diversity of the Board.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2022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Board of Directors held six meetings in 2020. Our Independent Directors meet in executive session without management directors or management present. These sessions generally take place prior to or following regularly scheduled board meetings. The directors met in such sessions four times during 2020. Our Corporate Governance Principles provide that all directors are expected to regularly attend all meetings of the Board and the Board committees on which he serves. In 2020, each director attended 100% of the total number of meetings of the Board of Directors, except for Mr. Laber who was unable to attend one meeting, and substantially all (88%) of the total number of meetings held by committees of the Board of Directors on which he or she served. In addition, each director is expected to attend the Annual Meeting of Shareholders. In 2020, the Annual Meeting of Shareholders was attended by all of the directors then in office.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the Compensation Committee is comprised of four independent Directors: Messrs. Engel, Federico, Laber and Ms. Duch.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Guidelines for Directors and Officers</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 officers of the Company are required to own shares of Common Stock having a market value equal to or greater than the following multiples of their base salary: (1) President and Chief Executive Officer: five times annual base salary; (2) Chief Financial Officer and Group Presidents: three times annual base salary; and (3) all other Section 16 officers: one times annual base salary.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Board of Directors currently has seven members: Linda P. Duch, Robert B. Engel, Richard D. Federico, Gerald J. (Bud) Laber, James J. Tanous, Richard S. Warzala and Michael R. Winter. Ms. Duch and Mr. Laber are not standing for re-election to the Board after each of their current term expires immediately prior to the Annual Meeting. Stephen C. Finch and Nicole R. Tzetzo are new director nominees nominated to fill the resulting vacancies and Messrs. Engel, Federico, Tanous, Warzala and Winter are incumbent directors standing for re-election. All seven positions on the Board are to be filled by vote of the shareholders at the Annual Meeting. The affirmative vote of a majority of the votes cast is required for the election of directors. Unless instructed otherwise, it is intended that the shares represented by proxy at the Annual Meeting will be voted in favor of the seven nominees named above, each of whom was nominated by the Board based on the recommendation of our Governance and Nominating Committee. All nominees have agreed to serve if elected.</w:t>
      </w:r>
    </w:p>
    <w:p>
      <w:pPr>
        <w:spacing w:after="0" w:line="19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regarding the director nominees can be found under “Corporate Governance and Board Matters – Director Qualifications and Biographical Information.”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UNANIMOUSLY RECOMMENDS THAT SHAREHOLDERS VOTE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5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17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asking shareholders to vote on the following resolution at the Meeting:</w:t>
      </w:r>
    </w:p>
    <w:p>
      <w:pPr>
        <w:spacing w:after="0" w:line="225"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1200" w:firstLine="648"/>
        <w:spacing w:after="0" w:line="277" w:lineRule="auto"/>
        <w:rPr>
          <w:sz w:val="20"/>
          <w:szCs w:val="20"/>
          <w:color w:val="auto"/>
        </w:rPr>
      </w:pPr>
      <w:r>
        <w:rPr>
          <w:rFonts w:ascii="Arial" w:cs="Arial" w:eastAsia="Arial" w:hAnsi="Arial"/>
          <w:sz w:val="18"/>
          <w:szCs w:val="18"/>
          <w:color w:val="auto"/>
        </w:rPr>
        <w:t>THE BOARD OF DIRECTORS UNANIMOUSLY RECOMMENDS A VOTE “FOR” THE APPROVAL OF THE FOREGOING RESOLUTION. UNLESS OTHERWISE INSTRUCTED, PROXIES WILL BE VOTED “FOR” THE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the Ratification of Independent Registered Public Accounting Firm</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184"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the Annual Meeting, the shareholders will be asked to ratify the selection of Deloitte &amp; Touche LLP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Deloitte &amp; Touche LLP as the Company’s independent public accounting firm for 2021.</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BOARD OF DIRECTORS UNANIMOUSLY RECOMMENDS A VOTE “FOR” THE RATIFICATION. UNLESS OTHERWISE INSTRUCTED, PROXIES WILL BE VOTED “FOR” THE RATIFICATION.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Richard S. Warzala</w:t>
      </w:r>
      <w:r>
        <w:rPr>
          <w:rFonts w:ascii="Arial" w:cs="Arial" w:eastAsia="Arial" w:hAnsi="Arial"/>
          <w:sz w:val="18"/>
          <w:szCs w:val="18"/>
          <w:color w:val="auto"/>
        </w:rPr>
        <w:t>, age 67—Mr. Warzala has served as director of the Company since August 2006 and as Chairman of the Board since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Mr. Warzala currently serves as Lead Director and Chair of the Compensation Committee for AstroNova, Inc.</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Michael R. Leach</w:t>
      </w:r>
      <w:r>
        <w:rPr>
          <w:rFonts w:ascii="Arial" w:cs="Arial" w:eastAsia="Arial" w:hAnsi="Arial"/>
          <w:sz w:val="18"/>
          <w:szCs w:val="18"/>
          <w:color w:val="auto"/>
        </w:rPr>
        <w:t>, age 52—Mr. Leach was named Vice President and Chief Financial Officer of the Company in August 2015 and was promoted</w:t>
      </w:r>
      <w:r>
        <w:rPr>
          <w:rFonts w:ascii="Arial" w:cs="Arial" w:eastAsia="Arial" w:hAnsi="Arial"/>
          <w:sz w:val="18"/>
          <w:szCs w:val="18"/>
          <w:i w:val="1"/>
          <w:iCs w:val="1"/>
          <w:color w:val="auto"/>
        </w:rPr>
        <w:t xml:space="preserve"> </w:t>
      </w:r>
      <w:r>
        <w:rPr>
          <w:rFonts w:ascii="Arial" w:cs="Arial" w:eastAsia="Arial" w:hAnsi="Arial"/>
          <w:sz w:val="18"/>
          <w:szCs w:val="18"/>
          <w:color w:val="auto"/>
        </w:rPr>
        <w:t>to Senior Vice President in July 2020. Prior to joining Allied Motion, 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Robert P. Maida, </w:t>
      </w:r>
      <w:r>
        <w:rPr>
          <w:rFonts w:ascii="Arial" w:cs="Arial" w:eastAsia="Arial" w:hAnsi="Arial"/>
          <w:sz w:val="16"/>
          <w:szCs w:val="16"/>
          <w:color w:val="auto"/>
        </w:rPr>
        <w:t>age 56—Mr. Maida was named Senior Vice President &amp; President of Allied Innovum Group in July 2020. Prior to that he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of Operational Excellence of the Company, a position he held since August 2015. Mr. Maida served as 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Ashish R. Bendre</w:t>
      </w:r>
      <w:r>
        <w:rPr>
          <w:rFonts w:ascii="Arial" w:cs="Arial" w:eastAsia="Arial" w:hAnsi="Arial"/>
          <w:sz w:val="18"/>
          <w:szCs w:val="18"/>
          <w:color w:val="auto"/>
        </w:rPr>
        <w:t>, age 52—Mr. Bendre was named Vice President &amp; President of Allied Orion Group in July 2020. He has led the Allied Motion</w:t>
      </w:r>
      <w:r>
        <w:rPr>
          <w:rFonts w:ascii="Arial" w:cs="Arial" w:eastAsia="Arial" w:hAnsi="Arial"/>
          <w:sz w:val="18"/>
          <w:szCs w:val="18"/>
          <w:i w:val="1"/>
          <w:iCs w:val="1"/>
          <w:color w:val="auto"/>
        </w:rPr>
        <w:t xml:space="preserve"> </w:t>
      </w:r>
      <w:r>
        <w:rPr>
          <w:rFonts w:ascii="Arial" w:cs="Arial" w:eastAsia="Arial" w:hAnsi="Arial"/>
          <w:sz w:val="18"/>
          <w:szCs w:val="18"/>
          <w:color w:val="auto"/>
        </w:rPr>
        <w:t>TCI technology unit since its 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Allied Motion/TCI, Mr. Bendre served as the Director of Technology for DRS Power &amp; Control Technologies, a division of Leonardo DRS focused on naval power conversion. Before joining DRS Technologies in 2003, he worked in various technical roles of increasing responsibility for a decade at several electronic manufacturers in Wisconsin.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3" w:lineRule="auto"/>
        <w:rPr>
          <w:sz w:val="20"/>
          <w:szCs w:val="20"/>
          <w:color w:val="auto"/>
        </w:rPr>
      </w:pPr>
      <w:r>
        <w:rPr>
          <w:rFonts w:ascii="Arial" w:cs="Arial" w:eastAsia="Arial" w:hAnsi="Arial"/>
          <w:sz w:val="17"/>
          <w:szCs w:val="17"/>
          <w:i w:val="1"/>
          <w:iCs w:val="1"/>
          <w:color w:val="auto"/>
        </w:rPr>
        <w:t>Helmut D. Pirthauer</w:t>
      </w:r>
      <w:r>
        <w:rPr>
          <w:rFonts w:ascii="Arial" w:cs="Arial" w:eastAsia="Arial" w:hAnsi="Arial"/>
          <w:sz w:val="17"/>
          <w:szCs w:val="17"/>
          <w:color w:val="auto"/>
        </w:rPr>
        <w:t>, age 51—Mr. Pirthauer was named Vice President &amp; President of Allied Dynamos Group in July 2020. He joined Allied</w:t>
      </w:r>
      <w:r>
        <w:rPr>
          <w:rFonts w:ascii="Arial" w:cs="Arial" w:eastAsia="Arial" w:hAnsi="Arial"/>
          <w:sz w:val="17"/>
          <w:szCs w:val="17"/>
          <w:i w:val="1"/>
          <w:iCs w:val="1"/>
          <w:color w:val="auto"/>
        </w:rPr>
        <w:t xml:space="preserve"> </w:t>
      </w:r>
      <w:r>
        <w:rPr>
          <w:rFonts w:ascii="Arial" w:cs="Arial" w:eastAsia="Arial" w:hAnsi="Arial"/>
          <w:sz w:val="17"/>
          <w:szCs w:val="17"/>
          <w:color w:val="auto"/>
        </w:rPr>
        <w:t>Motion as Chief Executive Officer of the Heidrive Group after its acquisition by the Company in January 2016. 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Geoffery C. Rondeau</w:t>
      </w:r>
      <w:r>
        <w:rPr>
          <w:rFonts w:ascii="Arial" w:cs="Arial" w:eastAsia="Arial" w:hAnsi="Arial"/>
          <w:sz w:val="18"/>
          <w:szCs w:val="18"/>
          <w:color w:val="auto"/>
        </w:rPr>
        <w:t>, age 49—Mr. Rondeau was named Vice President of Operational Excellence in July 2020. Prior to that he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the Company’s North American Mechatronics Group, a position he held since September 2014. Prior to joining Allied Motion, he worked for over three years as the General Manager for Excelco Newbrook. For the fifteen years prior to that, Mr. Rondeau held several positions with API Motion/Danaher Motion where he progressed to the position of Director of Engineering for the Applied Products Group of Danaher Motion, a subsidiary of Danaher 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Compensation Discussion and Analysis (“CD&amp;A”) reports on the Company’s performance in 2020, the executive compensation earned in light of that performance, and the performance metrics and other relevant factors the Compensation Committee used in making its compensation decisions with respect to our Chief Executive Officer and President, Chief Financial Officer, and the Presidents of Allied Innovum Group, Allied Dynamos Group and Allied Orion Group (collectively, the “Named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 and Objectives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goals of the Company’s compensation philosophy for Named Executive Officers is as follows:</w:t>
      </w:r>
    </w:p>
    <w:p>
      <w:pPr>
        <w:spacing w:after="0" w:line="225" w:lineRule="exact"/>
        <w:rPr>
          <w:sz w:val="20"/>
          <w:szCs w:val="20"/>
          <w:color w:val="auto"/>
        </w:rPr>
      </w:pPr>
    </w:p>
    <w:p>
      <w:pPr>
        <w:ind w:left="980" w:right="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170" w:lineRule="exact"/>
        <w:rPr>
          <w:rFonts w:ascii="Arial" w:cs="Arial" w:eastAsia="Arial" w:hAnsi="Arial"/>
          <w:sz w:val="18"/>
          <w:szCs w:val="18"/>
          <w:color w:val="auto"/>
        </w:rPr>
      </w:pPr>
    </w:p>
    <w:p>
      <w:pPr>
        <w:ind w:left="980" w:right="7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through the use of stock-based incentives that result in increased Company stock ownership by management.</w:t>
      </w:r>
    </w:p>
    <w:p>
      <w:pPr>
        <w:spacing w:after="0" w:line="124"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Our Compensation Committee seeks to develop a well-balanced compensation program that not only contains a competitive fixed pay element through annual base salary, but that is weighted more towards variable at-risk pay elements through the use of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15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Board maintains governance practices and oversight of our executive compensation philosophy. The following governance practices were in place during fiscal 2020, and these practices, among other elements of our compensation program, aid in mitigating risk associated with our compensation program.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jc w:val="center"/>
        <w:ind w:right="18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505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6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Pay for performance</w:t>
      </w:r>
      <w:r>
        <w:rPr>
          <w:rFonts w:ascii="Arial" w:cs="Arial" w:eastAsia="Arial" w:hAnsi="Arial"/>
          <w:sz w:val="17"/>
          <w:szCs w:val="17"/>
          <w:color w:val="auto"/>
        </w:rPr>
        <w:t>. As demonstrated in the Elements of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 significant portion of executive pay is not guaranteed, but rather tied to key financial metrics that measure our performance and are disclosed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-567690</wp:posOffset>
            </wp:positionV>
            <wp:extent cx="19685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-567690</wp:posOffset>
            </wp:positionV>
            <wp:extent cx="19685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80"/>
        <w:spacing w:after="0" w:line="258" w:lineRule="auto"/>
        <w:rPr>
          <w:sz w:val="20"/>
          <w:szCs w:val="20"/>
          <w:color w:val="auto"/>
        </w:rPr>
      </w:pPr>
      <w:r>
        <w:rPr>
          <w:rFonts w:ascii="Arial" w:cs="Arial" w:eastAsia="Arial" w:hAnsi="Arial"/>
          <w:sz w:val="18"/>
          <w:szCs w:val="18"/>
          <w:b w:val="1"/>
          <w:bCs w:val="1"/>
          <w:i w:val="1"/>
          <w:iCs w:val="1"/>
          <w:color w:val="auto"/>
        </w:rPr>
        <w:t>Target the following market positions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-273050</wp:posOffset>
            </wp:positionV>
            <wp:extent cx="19685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-273050</wp:posOffset>
            </wp:positionV>
            <wp:extent cx="19685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Arial" w:cs="Arial" w:eastAsia="Arial" w:hAnsi="Arial"/>
                <w:sz w:val="18"/>
                <w:szCs w:val="18"/>
                <w:color w:val="auto"/>
              </w:rPr>
              <w:t>Base Salary</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60" w:type="dxa"/>
            <w:vAlign w:val="bottom"/>
          </w:tcPr>
          <w:p>
            <w:pPr>
              <w:ind w:left="60"/>
              <w:spacing w:after="0" w:line="203" w:lineRule="exact"/>
              <w:rPr>
                <w:sz w:val="20"/>
                <w:szCs w:val="20"/>
                <w:color w:val="auto"/>
              </w:rPr>
            </w:pPr>
            <w:r>
              <w:rPr>
                <w:rFonts w:ascii="Arial" w:cs="Arial" w:eastAsia="Arial" w:hAnsi="Arial"/>
                <w:sz w:val="18"/>
                <w:szCs w:val="18"/>
                <w:color w:val="auto"/>
              </w:rPr>
              <w:t>At Market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7"/>
              </w:rPr>
              <w:t>Annual Incentive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At Market for the achievement of target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Equity Program</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w w:val="91"/>
              </w:rPr>
              <w:t>Slightly Above Market when performance is</w:t>
            </w:r>
          </w:p>
        </w:tc>
      </w:tr>
      <w:tr>
        <w:trPr>
          <w:trHeight w:val="230"/>
        </w:trPr>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achieved</w:t>
            </w:r>
          </w:p>
        </w:tc>
      </w:tr>
    </w:tbl>
    <w:p>
      <w:pPr>
        <w:spacing w:after="0" w:line="200" w:lineRule="exact"/>
        <w:rPr>
          <w:sz w:val="20"/>
          <w:szCs w:val="20"/>
          <w:color w:val="auto"/>
        </w:rPr>
      </w:pPr>
    </w:p>
    <w:p>
      <w:pPr>
        <w:spacing w:after="0" w:line="27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b w:val="1"/>
          <w:bCs w:val="1"/>
          <w:i w:val="1"/>
          <w:iCs w:val="1"/>
          <w:color w:val="auto"/>
        </w:rPr>
        <w:t xml:space="preserve">Mitigate undue risk in compensation programs. </w:t>
      </w:r>
      <w:r>
        <w:rPr>
          <w:rFonts w:ascii="Arial" w:cs="Arial" w:eastAsia="Arial" w:hAnsi="Arial"/>
          <w:sz w:val="16"/>
          <w:szCs w:val="16"/>
          <w:color w:val="auto"/>
        </w:rPr>
        <w:t>The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includes features that reduce the possibility of the Named Executive Officers, either individually or as a group, making excessively risky business decisions that could maximize short-term results at the expense of long-term value. The Compensation Committee annually reviews our compensation arrangements, especially the incentive compensation arrangements, to confirm that such arrangements do not encourage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-1119505</wp:posOffset>
            </wp:positionV>
            <wp:extent cx="19685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-1119505</wp:posOffset>
            </wp:positionV>
            <wp:extent cx="19685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ind w:right="520"/>
        <w:spacing w:after="0" w:line="263" w:lineRule="auto"/>
        <w:rPr>
          <w:sz w:val="20"/>
          <w:szCs w:val="20"/>
          <w:color w:val="auto"/>
        </w:rPr>
      </w:pPr>
      <w:r>
        <w:rPr>
          <w:rFonts w:ascii="Arial" w:cs="Arial" w:eastAsia="Arial" w:hAnsi="Arial"/>
          <w:sz w:val="18"/>
          <w:szCs w:val="18"/>
          <w:b w:val="1"/>
          <w:bCs w:val="1"/>
          <w:i w:val="1"/>
          <w:iCs w:val="1"/>
          <w:color w:val="auto"/>
        </w:rPr>
        <w:t xml:space="preserve">Balance of short-term and long-term incentives. </w:t>
      </w:r>
      <w:r>
        <w:rPr>
          <w:rFonts w:ascii="Arial" w:cs="Arial" w:eastAsia="Arial" w:hAnsi="Arial"/>
          <w:sz w:val="18"/>
          <w:szCs w:val="18"/>
          <w:color w:val="auto"/>
        </w:rPr>
        <w:t>Our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provide an appropriate balance of annual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-422275</wp:posOffset>
            </wp:positionV>
            <wp:extent cx="19685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-422275</wp:posOffset>
            </wp:positionV>
            <wp:extent cx="19685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The Company has stock ownership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for Named Executive Officers. The President and CEO must have ownership of at least five times base salary, and the CFO and Group Presidents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-1111250</wp:posOffset>
            </wp:positionV>
            <wp:extent cx="19685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ind w:right="360"/>
        <w:spacing w:after="0" w:line="271" w:lineRule="auto"/>
        <w:rPr>
          <w:sz w:val="20"/>
          <w:szCs w:val="20"/>
          <w:color w:val="auto"/>
        </w:rPr>
      </w:pPr>
      <w:r>
        <w:rPr>
          <w:rFonts w:ascii="Arial" w:cs="Arial" w:eastAsia="Arial" w:hAnsi="Arial"/>
          <w:sz w:val="17"/>
          <w:szCs w:val="17"/>
          <w:b w:val="1"/>
          <w:bCs w:val="1"/>
          <w:i w:val="1"/>
          <w:iCs w:val="1"/>
          <w:color w:val="auto"/>
        </w:rPr>
        <w:t xml:space="preserve">Include recoupment and other forfeiture provisions in our annual incentive programs and equity-award provisions. </w:t>
      </w:r>
      <w:r>
        <w:rPr>
          <w:rFonts w:ascii="Arial" w:cs="Arial" w:eastAsia="Arial" w:hAnsi="Arial"/>
          <w:sz w:val="17"/>
          <w:szCs w:val="17"/>
          <w:color w:val="auto"/>
        </w:rPr>
        <w:t>Our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-1111250</wp:posOffset>
            </wp:positionV>
            <wp:extent cx="19685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Utilize an independent compensation consulting firm.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benefits from its use of an independent compensation consulting firm, which provides minimal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-557530</wp:posOffset>
            </wp:positionV>
            <wp:extent cx="19685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3488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6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No hedging, pledging, or short sales transactions permitted.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Insider Trading Policy 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 excessive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use of non-performance based pay other than base salary and limited perquisites.</w:t>
      </w:r>
    </w:p>
    <w:p>
      <w:pPr>
        <w:sectPr>
          <w:pgSz w:w="11900" w:h="16838" w:orient="portrait"/>
          <w:cols w:equalWidth="0" w:num="2">
            <w:col w:w="5260" w:space="480"/>
            <w:col w:w="5040"/>
          </w:cols>
          <w:pgMar w:left="780" w:top="95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Compensation Program and Design</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use a combination of compensation elements, including base salary, the annual incentive program and an equity program. Each element and the related compensation decisions and results for fiscal 2020 are summarized below and detailed summaries follow in the CD&amp;A.</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D0CECE"/>
              <w:right w:val="single" w:sz="8" w:color="auto"/>
            </w:tcBorders>
            <w:shd w:val="clear" w:color="auto" w:fill="D0CECE"/>
          </w:tcPr>
          <w:p>
            <w:pPr>
              <w:spacing w:after="0"/>
              <w:rPr>
                <w:sz w:val="19"/>
                <w:szCs w:val="19"/>
                <w:color w:val="auto"/>
              </w:rPr>
            </w:pPr>
          </w:p>
        </w:tc>
        <w:tc>
          <w:tcPr>
            <w:tcW w:w="1580" w:type="dxa"/>
            <w:vAlign w:val="bottom"/>
            <w:tcBorders>
              <w:top w:val="single" w:sz="8" w:color="auto"/>
              <w:bottom w:val="single" w:sz="8" w:color="D0CECE"/>
              <w:right w:val="single" w:sz="8" w:color="auto"/>
            </w:tcBorders>
            <w:shd w:val="clear" w:color="auto" w:fill="D0CECE"/>
          </w:tcPr>
          <w:p>
            <w:pPr>
              <w:spacing w:after="0"/>
              <w:rPr>
                <w:sz w:val="19"/>
                <w:szCs w:val="19"/>
                <w:color w:val="auto"/>
              </w:rPr>
            </w:pPr>
          </w:p>
        </w:tc>
        <w:tc>
          <w:tcPr>
            <w:tcW w:w="1580" w:type="dxa"/>
            <w:vAlign w:val="bottom"/>
            <w:tcBorders>
              <w:top w:val="single" w:sz="8" w:color="auto"/>
              <w:bottom w:val="single" w:sz="8" w:color="D0CECE"/>
              <w:right w:val="single" w:sz="8" w:color="auto"/>
            </w:tcBorders>
            <w:shd w:val="clear" w:color="auto" w:fill="D0CECE"/>
          </w:tcPr>
          <w:p>
            <w:pPr>
              <w:spacing w:after="0"/>
              <w:rPr>
                <w:sz w:val="19"/>
                <w:szCs w:val="19"/>
                <w:color w:val="auto"/>
              </w:rPr>
            </w:pPr>
          </w:p>
        </w:tc>
        <w:tc>
          <w:tcPr>
            <w:tcW w:w="1580" w:type="dxa"/>
            <w:vAlign w:val="bottom"/>
            <w:tcBorders>
              <w:top w:val="single" w:sz="8" w:color="auto"/>
              <w:bottom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8"/>
                <w:szCs w:val="18"/>
                <w:b w:val="1"/>
                <w:bCs w:val="1"/>
                <w:color w:val="auto"/>
              </w:rPr>
              <w:t>ROE</w:t>
            </w:r>
          </w:p>
        </w:tc>
        <w:tc>
          <w:tcPr>
            <w:tcW w:w="1560" w:type="dxa"/>
            <w:vAlign w:val="bottom"/>
            <w:tcBorders>
              <w:top w:val="single" w:sz="8" w:color="auto"/>
              <w:bottom w:val="single" w:sz="8" w:color="auto"/>
              <w:right w:val="single" w:sz="8" w:color="D0CECE"/>
            </w:tcBorders>
            <w:shd w:val="clear" w:color="auto" w:fill="D0CECE"/>
          </w:tcPr>
          <w:p>
            <w:pPr>
              <w:spacing w:after="0"/>
              <w:rPr>
                <w:sz w:val="19"/>
                <w:szCs w:val="19"/>
                <w:color w:val="auto"/>
              </w:rPr>
            </w:pPr>
          </w:p>
        </w:tc>
        <w:tc>
          <w:tcPr>
            <w:tcW w:w="1680" w:type="dxa"/>
            <w:vAlign w:val="bottom"/>
            <w:tcBorders>
              <w:top w:val="single" w:sz="8" w:color="auto"/>
              <w:bottom w:val="single" w:sz="8" w:color="auto"/>
              <w:right w:val="single" w:sz="8" w:color="D0CECE"/>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1"/>
              </w:rPr>
              <w:t>Equity Programs</w:t>
            </w:r>
          </w:p>
        </w:tc>
        <w:tc>
          <w:tcPr>
            <w:tcW w:w="1660" w:type="dxa"/>
            <w:vAlign w:val="bottom"/>
            <w:tcBorders>
              <w:top w:val="single" w:sz="8" w:color="auto"/>
              <w:bottom w:val="single" w:sz="8" w:color="auto"/>
              <w:right w:val="single" w:sz="8" w:color="auto"/>
            </w:tcBorders>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00" w:type="dxa"/>
            <w:vAlign w:val="bottom"/>
            <w:tcBorders>
              <w:left w:val="single" w:sz="8" w:color="auto"/>
              <w:right w:val="single" w:sz="8" w:color="auto"/>
            </w:tcBorders>
            <w:shd w:val="clear" w:color="auto" w:fill="D0CECE"/>
          </w:tcPr>
          <w:p>
            <w:pPr>
              <w:spacing w:after="0"/>
              <w:rPr>
                <w:sz w:val="16"/>
                <w:szCs w:val="16"/>
                <w:color w:val="auto"/>
              </w:rPr>
            </w:pPr>
          </w:p>
        </w:tc>
        <w:tc>
          <w:tcPr>
            <w:tcW w:w="1580" w:type="dxa"/>
            <w:vAlign w:val="bottom"/>
            <w:tcBorders>
              <w:right w:val="single" w:sz="8" w:color="auto"/>
            </w:tcBorders>
            <w:shd w:val="clear" w:color="auto" w:fill="D0CECE"/>
          </w:tcPr>
          <w:p>
            <w:pPr>
              <w:spacing w:after="0"/>
              <w:rPr>
                <w:sz w:val="16"/>
                <w:szCs w:val="16"/>
                <w:color w:val="auto"/>
              </w:rPr>
            </w:pPr>
          </w:p>
        </w:tc>
        <w:tc>
          <w:tcPr>
            <w:tcW w:w="1580" w:type="dxa"/>
            <w:vAlign w:val="bottom"/>
            <w:tcBorders>
              <w:right w:val="single" w:sz="8" w:color="auto"/>
            </w:tcBorders>
            <w:shd w:val="clear" w:color="auto" w:fill="D0CECE"/>
          </w:tcPr>
          <w:p>
            <w:pPr>
              <w:spacing w:after="0"/>
              <w:rPr>
                <w:sz w:val="16"/>
                <w:szCs w:val="16"/>
                <w:color w:val="auto"/>
              </w:rPr>
            </w:pPr>
          </w:p>
        </w:tc>
        <w:tc>
          <w:tcPr>
            <w:tcW w:w="1580" w:type="dxa"/>
            <w:vAlign w:val="bottom"/>
            <w:tcBorders>
              <w:right w:val="single" w:sz="8" w:color="auto"/>
            </w:tcBorders>
            <w:vMerge w:val="continue"/>
            <w:shd w:val="clear" w:color="auto" w:fill="D0CECE"/>
          </w:tcPr>
          <w:p>
            <w:pPr>
              <w:spacing w:after="0"/>
              <w:rPr>
                <w:sz w:val="16"/>
                <w:szCs w:val="16"/>
                <w:color w:val="auto"/>
              </w:rPr>
            </w:pPr>
          </w:p>
        </w:tc>
        <w:tc>
          <w:tcPr>
            <w:tcW w:w="1560" w:type="dxa"/>
            <w:vAlign w:val="bottom"/>
            <w:tcBorders>
              <w:right w:val="single" w:sz="8" w:color="auto"/>
            </w:tcBorders>
            <w:shd w:val="clear" w:color="auto" w:fill="D0CECE"/>
          </w:tcPr>
          <w:p>
            <w:pPr>
              <w:spacing w:after="0"/>
              <w:rPr>
                <w:sz w:val="16"/>
                <w:szCs w:val="16"/>
                <w:color w:val="auto"/>
              </w:rPr>
            </w:pPr>
          </w:p>
        </w:tc>
        <w:tc>
          <w:tcPr>
            <w:tcW w:w="1680" w:type="dxa"/>
            <w:vAlign w:val="bottom"/>
            <w:tcBorders>
              <w:right w:val="single" w:sz="8" w:color="auto"/>
            </w:tcBorders>
            <w:shd w:val="clear" w:color="auto" w:fill="D0CECE"/>
          </w:tcPr>
          <w:p>
            <w:pPr>
              <w:spacing w:after="0"/>
              <w:rPr>
                <w:sz w:val="16"/>
                <w:szCs w:val="16"/>
                <w:color w:val="auto"/>
              </w:rPr>
            </w:pPr>
          </w:p>
        </w:tc>
        <w:tc>
          <w:tcPr>
            <w:tcW w:w="1660" w:type="dxa"/>
            <w:vAlign w:val="bottom"/>
            <w:tcBorders>
              <w:right w:val="single" w:sz="8" w:color="auto"/>
            </w:tcBorders>
            <w:shd w:val="clear" w:color="auto" w:fill="D0CECE"/>
          </w:tcPr>
          <w:p>
            <w:pPr>
              <w:jc w:val="center"/>
              <w:spacing w:after="0" w:line="191" w:lineRule="exact"/>
              <w:rPr>
                <w:sz w:val="20"/>
                <w:szCs w:val="20"/>
                <w:color w:val="auto"/>
              </w:rPr>
            </w:pPr>
            <w:r>
              <w:rPr>
                <w:rFonts w:ascii="Arial" w:cs="Arial" w:eastAsia="Arial" w:hAnsi="Arial"/>
                <w:sz w:val="18"/>
                <w:szCs w:val="18"/>
                <w:b w:val="1"/>
                <w:bCs w:val="1"/>
                <w:color w:val="auto"/>
                <w:w w:val="92"/>
              </w:rPr>
              <w:t>Long Term</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5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3"/>
              </w:rPr>
              <w:t>Base</w:t>
            </w:r>
          </w:p>
        </w:tc>
        <w:tc>
          <w:tcPr>
            <w:tcW w:w="15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1"/>
              </w:rPr>
              <w:t>Annual</w:t>
            </w:r>
          </w:p>
        </w:tc>
        <w:tc>
          <w:tcPr>
            <w:tcW w:w="15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56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9"/>
              </w:rPr>
              <w:t>Time Based</w:t>
            </w:r>
          </w:p>
        </w:tc>
        <w:tc>
          <w:tcPr>
            <w:tcW w:w="16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66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9"/>
              </w:rPr>
              <w:t>Elements</w:t>
            </w:r>
          </w:p>
        </w:tc>
        <w:tc>
          <w:tcPr>
            <w:tcW w:w="15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5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5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4"/>
              </w:rPr>
              <w:t>Plan</w:t>
            </w:r>
          </w:p>
        </w:tc>
        <w:tc>
          <w:tcPr>
            <w:tcW w:w="15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6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0"/>
              </w:rPr>
              <w:t>Share Plan</w:t>
            </w:r>
          </w:p>
        </w:tc>
        <w:tc>
          <w:tcPr>
            <w:tcW w:w="16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191"/>
        </w:trPr>
        <w:tc>
          <w:tcPr>
            <w:tcW w:w="16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Compensation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Fixed</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Variable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Variable</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Fixed</w:t>
            </w:r>
          </w:p>
        </w:tc>
        <w:tc>
          <w:tcPr>
            <w:tcW w:w="3340" w:type="dxa"/>
            <w:vAlign w:val="bottom"/>
            <w:tcBorders>
              <w:right w:val="single" w:sz="8" w:color="auto"/>
            </w:tcBorders>
            <w:gridSpan w:val="2"/>
            <w:vMerge w:val="restart"/>
          </w:tcPr>
          <w:p>
            <w:pPr>
              <w:ind w:left="136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Mix</w:t>
            </w: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33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4900" w:type="dxa"/>
            <w:vAlign w:val="bottom"/>
            <w:tcBorders>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All Named Executive Officers for time based awards, all U.S.</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Recipients</w:t>
            </w:r>
          </w:p>
        </w:tc>
        <w:tc>
          <w:tcPr>
            <w:tcW w:w="316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8"/>
                <w:szCs w:val="18"/>
                <w:color w:val="auto"/>
              </w:rPr>
              <w:t>Named Executive Officers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CEO</w:t>
            </w:r>
          </w:p>
        </w:tc>
        <w:tc>
          <w:tcPr>
            <w:tcW w:w="49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based Named Executive Officers for Performance Share Plan</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3160" w:type="dxa"/>
            <w:vAlign w:val="bottom"/>
            <w:tcBorders>
              <w:right w:val="single" w:sz="8" w:color="auto"/>
            </w:tcBorders>
            <w:gridSpan w:val="2"/>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49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and certain U.S. based Named Executive Officers for Long Term</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49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When Granted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Review Annually</w:t>
            </w:r>
          </w:p>
        </w:tc>
        <w:tc>
          <w:tcPr>
            <w:tcW w:w="1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Annually</w:t>
            </w:r>
          </w:p>
        </w:tc>
        <w:tc>
          <w:tcPr>
            <w:tcW w:w="16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Form of</w:t>
            </w:r>
          </w:p>
        </w:tc>
        <w:tc>
          <w:tcPr>
            <w:tcW w:w="158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5"/>
              </w:rPr>
              <w:t>Cash</w:t>
            </w:r>
          </w:p>
        </w:tc>
        <w:tc>
          <w:tcPr>
            <w:tcW w:w="158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5"/>
              </w:rPr>
              <w:t>Equity</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5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Type of</w:t>
            </w:r>
          </w:p>
        </w:tc>
        <w:tc>
          <w:tcPr>
            <w:tcW w:w="158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8"/>
              </w:rPr>
              <w:t>Short Term</w:t>
            </w:r>
          </w:p>
        </w:tc>
        <w:tc>
          <w:tcPr>
            <w:tcW w:w="158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1"/>
              </w:rPr>
              <w:t>Long Term</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5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58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Stock vests over 3</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Annual</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Ongoing</w:t>
            </w:r>
          </w:p>
        </w:tc>
        <w:tc>
          <w:tcPr>
            <w:tcW w:w="3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1-Year</w:t>
            </w: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performance, stock</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performance, stock</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58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gridSpan w:val="2"/>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years</w:t>
            </w:r>
          </w:p>
        </w:tc>
        <w:tc>
          <w:tcPr>
            <w:tcW w:w="16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vests over 3 years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vests over 3-5 years</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Organic Growth: 3-</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58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vMerge w:val="continue"/>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Immediate</w:t>
            </w:r>
          </w:p>
        </w:tc>
        <w:tc>
          <w:tcPr>
            <w:tcW w:w="31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1-Year</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3-Years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3-Years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Acquisition</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Growth:</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5-Years</w:t>
            </w: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How Payout is</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Compensation</w:t>
            </w:r>
          </w:p>
        </w:tc>
        <w:tc>
          <w:tcPr>
            <w:tcW w:w="158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Formula Based</w:t>
            </w: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Committee</w:t>
            </w:r>
          </w:p>
        </w:tc>
        <w:tc>
          <w:tcPr>
            <w:tcW w:w="3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Quantitative based on performance</w:t>
            </w: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Annual</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Multi-Year</w:t>
            </w: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gridSpan w:val="2"/>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(Percentage of</w:t>
            </w:r>
          </w:p>
        </w:tc>
        <w:tc>
          <w:tcPr>
            <w:tcW w:w="16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Determined</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Recommends to</w:t>
            </w:r>
          </w:p>
        </w:tc>
        <w:tc>
          <w:tcPr>
            <w:tcW w:w="3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against goals</w:t>
            </w: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Performance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gridSpan w:val="2"/>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Salary)</w:t>
            </w:r>
          </w:p>
        </w:tc>
        <w:tc>
          <w:tcPr>
            <w:tcW w:w="16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58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Performance</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EVA /</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Improvement in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Return on Equity</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EBITDA</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Sales Growth</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Metrics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Assessment</w:t>
            </w: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EBITDA</w:t>
            </w: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At-Risk Compensation Mix.</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graphics below illustrate the mix of 2020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 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586105</wp:posOffset>
            </wp:positionV>
            <wp:extent cx="7037705" cy="2014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www.alliedmotion.com/corporate-governance/.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Named Executive Officers and other key management. The Compensation Committee recommends annual base compensation and incentive compensation targets to the Board, and it also makes equity awards under the Company’s 2017 Omnibus Incentive Plan and reviews the attainment of annual goals for incentive compensation.</w:t>
      </w:r>
    </w:p>
    <w:p>
      <w:pPr>
        <w:spacing w:after="0" w:line="18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Compensation Committee meets with Mr.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Warzala’s compensation with him but makes decisions regarding his recommended compensation without him present.</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Compensation Committee has authorized Mr. Warzala to make salary adjustments for all employees other than Named Executive Officers and other key management.</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Beginning in 2018, under the direction of the Compensation Committee, the Company retained the Burke Group, an independent compensation consultant, to prepare a study that provided input on trends in executive compensation and an outside perspective on the Company’s executive compensation philosophy, programs and practices, while assisting with the Compensation Committee’s peer group benchmarking analysis for 2019. The Compensation Committee met several times over the later part of 2018 and early 2019 to review executive compensation programs and levels, and continued to monitor those in 2020 with on-going assistance from the Burke Group. The changes which were made as the result of the study were as follows:</w:t>
      </w:r>
    </w:p>
    <w:p>
      <w:pPr>
        <w:spacing w:after="0" w:line="192" w:lineRule="exact"/>
        <w:rPr>
          <w:sz w:val="20"/>
          <w:szCs w:val="20"/>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incentive opportunities for each Named Executive Officer were increased slightly to reflect market alignment with the compensation philosophy;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name of the Short-Term Incentive Plan was changed to Performance Share Plan in order to clarify it as a performance-based equity plan;</w:t>
      </w:r>
    </w:p>
    <w:p>
      <w:pPr>
        <w:spacing w:after="0" w:line="248" w:lineRule="exact"/>
        <w:rPr>
          <w:rFonts w:ascii="Arial" w:cs="Arial" w:eastAsia="Arial" w:hAnsi="Arial"/>
          <w:sz w:val="16"/>
          <w:szCs w:val="16"/>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the performance criteria under the Performance Share Plan were modified to be 100% based on EBITDA results. This approach when combined with Long-Term Incentive Plan (“LTIP”) will better align executive interests with shareholders;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Finally, the Company implemented a clawback provision for equity and annual incentive plan compensation and a policy prohibiting pledging and hedging transactions by directors, Named Executive Officers and certain others.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440" w:firstLine="648"/>
        <w:spacing w:after="0" w:line="311" w:lineRule="auto"/>
        <w:rPr>
          <w:sz w:val="20"/>
          <w:szCs w:val="20"/>
          <w:color w:val="auto"/>
        </w:rPr>
      </w:pPr>
      <w:r>
        <w:rPr>
          <w:rFonts w:ascii="Arial" w:cs="Arial" w:eastAsia="Arial" w:hAnsi="Arial"/>
          <w:sz w:val="16"/>
          <w:szCs w:val="16"/>
          <w:color w:val="auto"/>
        </w:rPr>
        <w:t>The Compensation Committee also grants equity-based awards. However, the Compensation Committee has from time to time delegated to Mr. Warzala the authority to grant restricted stock awards to employees other than Named Executive Officers or key management in limited annual amounts. Such awards made by Mr. Warzala are generally intended to be used for employee recruiting, employee retention and promotion purposes.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described above, during 2018 the Company engaged the Burke Group as its compensation consultant. The compensation consultant reports directly to the Compensation Committee and carries out responsibilities as assigned by the Compensation Committee. The Compensation Committee has the sole authority to retain and terminate the compensation consultant and to approve the compensation consultant’s fees and all other terms of the engagement. The Compensation Committee exercised this authority to engage the Burke Group.</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the Burke Group is independent in providing executive compensation consulting services. The Compensation Committee reviews its relationship with the Burke Group at least annually and in 2020 determined that the Burke Group’s work for the Compensation Committee did not raise any conflicts of interest, consistent with the guidance provided under the Dodd-Frank Wall Street Reform and Consumer Protection Act, the SEC and the Nasdaq Global Market. Burke Group does provide actuarial services on behalf of the Company for a defined benefit pension at Motor Products – Owosso. The total fees for these services were well below $120,000 and were taken into account by the Compensation Committee in making its independence determination.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Analysis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2020, the Compensation Committee relied on a Peer Group Analysis prepared by the Burke Group to evaluate compensation levels for Named Executive Officers. The Peer Group recommended by the Burke Group and used by the Compensation Committee is based on similarly sized manufacturing companies. The Burke Group analyzed competitive total direct compensation at the Peer Companies, as disclosed in their proxy statements for prior years. The Compensation Committee periodically evaluates the appropriateness of the Peer Group (based on merger and acquisition activity, growth, business focus, etc.). The changes in the 2019 Peer Group companies are as follows: Sun Hydraulics Corporation changed its name to Helios Technologies, Inc. on June 13, 2019; Nanometrics Incorporated merged with Rudolph Technologies, Inc. on October 25, 2019 and the resulting combined company, Onto Innovation Inc., was added to the Peer Group; Sparton Corporation was removed from the Peer Group upon the suspension of reporting obligations under Sections 13 and 15(d) of the Exchange Act in March 2019 and replaced with Preformed Line Products Co.; and the KEYW Holding Corporation was removed because of its acquisition in 2019. The members of the Peer Group for 2020 are as follows: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920" w:type="dxa"/>
            <w:vAlign w:val="bottom"/>
          </w:tcPr>
          <w:p>
            <w:pPr>
              <w:jc w:val="center"/>
              <w:ind w:right="1650"/>
              <w:spacing w:after="0"/>
              <w:rPr>
                <w:sz w:val="20"/>
                <w:szCs w:val="20"/>
                <w:color w:val="auto"/>
              </w:rPr>
            </w:pPr>
            <w:r>
              <w:rPr>
                <w:rFonts w:ascii="Arial" w:cs="Arial" w:eastAsia="Arial" w:hAnsi="Arial"/>
                <w:sz w:val="18"/>
                <w:szCs w:val="18"/>
                <w:color w:val="auto"/>
                <w:w w:val="94"/>
              </w:rPr>
              <w:t>AeroVironment Inc.</w:t>
            </w:r>
          </w:p>
        </w:tc>
        <w:tc>
          <w:tcPr>
            <w:tcW w:w="3920" w:type="dxa"/>
            <w:vAlign w:val="bottom"/>
          </w:tcPr>
          <w:p>
            <w:pPr>
              <w:jc w:val="center"/>
              <w:ind w:left="1570"/>
              <w:spacing w:after="0"/>
              <w:rPr>
                <w:sz w:val="20"/>
                <w:szCs w:val="20"/>
                <w:color w:val="auto"/>
              </w:rPr>
            </w:pPr>
            <w:r>
              <w:rPr>
                <w:rFonts w:ascii="Arial" w:cs="Arial" w:eastAsia="Arial" w:hAnsi="Arial"/>
                <w:sz w:val="18"/>
                <w:szCs w:val="18"/>
                <w:color w:val="auto"/>
                <w:w w:val="90"/>
              </w:rPr>
              <w:t>Preformed Line Products Co.</w:t>
            </w:r>
          </w:p>
        </w:tc>
      </w:tr>
      <w:tr>
        <w:trPr>
          <w:trHeight w:val="216"/>
        </w:trPr>
        <w:tc>
          <w:tcPr>
            <w:tcW w:w="3920" w:type="dxa"/>
            <w:vAlign w:val="bottom"/>
          </w:tcPr>
          <w:p>
            <w:pPr>
              <w:jc w:val="center"/>
              <w:ind w:right="1590"/>
              <w:spacing w:after="0"/>
              <w:rPr>
                <w:sz w:val="20"/>
                <w:szCs w:val="20"/>
                <w:color w:val="auto"/>
              </w:rPr>
            </w:pPr>
            <w:r>
              <w:rPr>
                <w:rFonts w:ascii="Arial" w:cs="Arial" w:eastAsia="Arial" w:hAnsi="Arial"/>
                <w:sz w:val="18"/>
                <w:szCs w:val="18"/>
                <w:color w:val="auto"/>
                <w:w w:val="92"/>
              </w:rPr>
              <w:t>Astronics Corporation</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0"/>
              </w:rPr>
              <w:t>Proto Labs, Inc.</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color w:val="auto"/>
                <w:w w:val="88"/>
              </w:rPr>
              <w:t>Enphase Energy, Inc.</w:t>
            </w:r>
          </w:p>
        </w:tc>
        <w:tc>
          <w:tcPr>
            <w:tcW w:w="3920" w:type="dxa"/>
            <w:vAlign w:val="bottom"/>
          </w:tcPr>
          <w:p>
            <w:pPr>
              <w:jc w:val="center"/>
              <w:ind w:left="1570"/>
              <w:spacing w:after="0"/>
              <w:rPr>
                <w:sz w:val="20"/>
                <w:szCs w:val="20"/>
                <w:color w:val="auto"/>
              </w:rPr>
            </w:pPr>
            <w:r>
              <w:rPr>
                <w:rFonts w:ascii="Arial" w:cs="Arial" w:eastAsia="Arial" w:hAnsi="Arial"/>
                <w:sz w:val="18"/>
                <w:szCs w:val="18"/>
                <w:color w:val="auto"/>
                <w:w w:val="90"/>
              </w:rPr>
              <w:t>The Gorman-Rupp Co.</w:t>
            </w:r>
          </w:p>
        </w:tc>
      </w:tr>
      <w:tr>
        <w:trPr>
          <w:trHeight w:val="216"/>
        </w:trPr>
        <w:tc>
          <w:tcPr>
            <w:tcW w:w="3920" w:type="dxa"/>
            <w:vAlign w:val="bottom"/>
          </w:tcPr>
          <w:p>
            <w:pPr>
              <w:jc w:val="center"/>
              <w:ind w:right="1590"/>
              <w:spacing w:after="0"/>
              <w:rPr>
                <w:sz w:val="20"/>
                <w:szCs w:val="20"/>
                <w:color w:val="auto"/>
              </w:rPr>
            </w:pPr>
            <w:r>
              <w:rPr>
                <w:rFonts w:ascii="Arial" w:cs="Arial" w:eastAsia="Arial" w:hAnsi="Arial"/>
                <w:sz w:val="18"/>
                <w:szCs w:val="18"/>
                <w:color w:val="auto"/>
                <w:w w:val="91"/>
              </w:rPr>
              <w:t>Helios Technologies Inc.</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2"/>
              </w:rPr>
              <w:t>Thermon Group Holdings, Inc.</w:t>
            </w:r>
          </w:p>
        </w:tc>
      </w:tr>
      <w:tr>
        <w:trPr>
          <w:trHeight w:val="216"/>
        </w:trPr>
        <w:tc>
          <w:tcPr>
            <w:tcW w:w="3920" w:type="dxa"/>
            <w:vAlign w:val="bottom"/>
          </w:tcPr>
          <w:p>
            <w:pPr>
              <w:jc w:val="center"/>
              <w:ind w:right="1650"/>
              <w:spacing w:after="0"/>
              <w:rPr>
                <w:sz w:val="20"/>
                <w:szCs w:val="20"/>
                <w:color w:val="auto"/>
              </w:rPr>
            </w:pPr>
            <w:r>
              <w:rPr>
                <w:rFonts w:ascii="Arial" w:cs="Arial" w:eastAsia="Arial" w:hAnsi="Arial"/>
                <w:sz w:val="18"/>
                <w:szCs w:val="18"/>
                <w:color w:val="auto"/>
                <w:w w:val="92"/>
              </w:rPr>
              <w:t>LSI Industries, Inc.</w:t>
            </w:r>
          </w:p>
        </w:tc>
        <w:tc>
          <w:tcPr>
            <w:tcW w:w="3920" w:type="dxa"/>
            <w:vAlign w:val="bottom"/>
          </w:tcPr>
          <w:p>
            <w:pPr>
              <w:jc w:val="center"/>
              <w:ind w:left="1570"/>
              <w:spacing w:after="0"/>
              <w:rPr>
                <w:sz w:val="20"/>
                <w:szCs w:val="20"/>
                <w:color w:val="auto"/>
              </w:rPr>
            </w:pPr>
            <w:r>
              <w:rPr>
                <w:rFonts w:ascii="Arial" w:cs="Arial" w:eastAsia="Arial" w:hAnsi="Arial"/>
                <w:sz w:val="18"/>
                <w:szCs w:val="18"/>
                <w:color w:val="auto"/>
                <w:w w:val="92"/>
              </w:rPr>
              <w:t>Twin Disc Incorporated</w:t>
            </w:r>
          </w:p>
        </w:tc>
      </w:tr>
      <w:tr>
        <w:trPr>
          <w:trHeight w:val="216"/>
        </w:trPr>
        <w:tc>
          <w:tcPr>
            <w:tcW w:w="3920" w:type="dxa"/>
            <w:vAlign w:val="bottom"/>
          </w:tcPr>
          <w:p>
            <w:pPr>
              <w:jc w:val="center"/>
              <w:ind w:right="1590"/>
              <w:spacing w:after="0"/>
              <w:rPr>
                <w:sz w:val="20"/>
                <w:szCs w:val="20"/>
                <w:color w:val="auto"/>
              </w:rPr>
            </w:pPr>
            <w:r>
              <w:rPr>
                <w:rFonts w:ascii="Arial" w:cs="Arial" w:eastAsia="Arial" w:hAnsi="Arial"/>
                <w:sz w:val="18"/>
                <w:szCs w:val="18"/>
                <w:color w:val="auto"/>
                <w:w w:val="91"/>
              </w:rPr>
              <w:t>National Presto Industries, Inc.</w:t>
            </w:r>
          </w:p>
        </w:tc>
        <w:tc>
          <w:tcPr>
            <w:tcW w:w="3920" w:type="dxa"/>
            <w:vAlign w:val="bottom"/>
          </w:tcPr>
          <w:p>
            <w:pPr>
              <w:ind w:left="2080"/>
              <w:spacing w:after="0"/>
              <w:rPr>
                <w:sz w:val="20"/>
                <w:szCs w:val="20"/>
                <w:color w:val="auto"/>
              </w:rPr>
            </w:pPr>
            <w:r>
              <w:rPr>
                <w:rFonts w:ascii="Arial" w:cs="Arial" w:eastAsia="Arial" w:hAnsi="Arial"/>
                <w:sz w:val="18"/>
                <w:szCs w:val="18"/>
                <w:color w:val="auto"/>
              </w:rPr>
              <w:t>Vicor Corporation</w:t>
            </w:r>
          </w:p>
        </w:tc>
      </w:tr>
      <w:tr>
        <w:trPr>
          <w:trHeight w:val="230"/>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93"/>
              </w:rPr>
              <w:t>Onto Innovation Inc.</w:t>
            </w:r>
          </w:p>
        </w:tc>
        <w:tc>
          <w:tcPr>
            <w:tcW w:w="39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and targets of executive compensation are: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At market as defined as the 50th percentile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At market as defined as the 50th percentile for the achievement of Target and above market once Target is achieved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Above market when performance is achieved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21" w:name="page22"/>
    <w:bookmarkEnd w:id="21"/>
    <w:p>
      <w:pPr>
        <w:ind w:right="20" w:firstLine="648"/>
        <w:spacing w:after="0" w:line="291"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Base compensation is comprised of the annual salary and is set at levels sufficient to attract and retain executives. In determining Mr. Warzala’s base compensation, the Compensation Committee considers market data, Mr. Warzala’s performance and the Company’s performance during the previous year as well as goals and objectives for the current year. In determining other base compensation levels, the Compensation Committee reviews and considers the evaluation and recommendation by Mr. Warzala of each Named Executive Officer’s and certain key manager’s performance during the prior year as well as responsibilities for the current year. During the review of base 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u w:val="single" w:color="auto"/>
          <w:color w:val="auto"/>
        </w:rPr>
        <w:t>Annual Cash Incentive Plan</w:t>
      </w:r>
      <w:r>
        <w:rPr>
          <w:rFonts w:ascii="Arial" w:cs="Arial" w:eastAsia="Arial" w:hAnsi="Arial"/>
          <w:sz w:val="17"/>
          <w:szCs w:val="17"/>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prorata percent of the incremental EVA achieved above the target EVA. For 2020, the target incentives as a percentage of base salary were as follows:</w:t>
      </w:r>
    </w:p>
    <w:p>
      <w:pPr>
        <w:spacing w:after="0" w:line="19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President, Allied Innovum Group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President, Allied Dynamos Group</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President, Allied Orion Group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20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 In 2020, the Compensation Committee recognized the management team’s extraordinary efforts to reallocate resources to meet customer needs, contribute to the nationwide effort to deal with COVID-19, benefit from market opportunities, and minimize the impact of supply chain disruptions during challenging times and business conditions resulting from COVID-19. Based on these and other salient factors that the Compensation Committee considered, the Compensation Committee believes that the cash incentive compensation paid to the Named Executive Officers as set forth in the Summary Compensation Table is appropriate and follows a sound formulaic basis consistent with the goals under which the Plan was established.</w:t>
      </w:r>
    </w:p>
    <w:p>
      <w:pPr>
        <w:spacing w:after="0" w:line="178"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In making a determination that the cash incentive compensation paid to the Company’s Named Executive Officers was appropriate, the Compensation Committee considered, among other things, the following key 2020 financial metrics for the Company compared to 2019.</w:t>
      </w:r>
    </w:p>
    <w:p>
      <w:pPr>
        <w:spacing w:after="0" w:line="13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6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r>
      <w:tr>
        <w:trPr>
          <w:trHeight w:val="20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17,022,000</w:t>
            </w:r>
          </w:p>
        </w:tc>
        <w:tc>
          <w:tcPr>
            <w:tcW w:w="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Earnings per share</w:t>
            </w:r>
          </w:p>
        </w:tc>
        <w:tc>
          <w:tcPr>
            <w:tcW w:w="1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38,477,000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43,832,000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The actions taken by the Compensation Committee resulted in the following percentage </w:t>
      </w:r>
      <w:r>
        <w:rPr>
          <w:rFonts w:ascii="Arial" w:cs="Arial" w:eastAsia="Arial" w:hAnsi="Arial"/>
          <w:sz w:val="18"/>
          <w:szCs w:val="18"/>
          <w:u w:val="single" w:color="auto"/>
          <w:color w:val="auto"/>
        </w:rPr>
        <w:t>decrease</w:t>
      </w:r>
      <w:r>
        <w:rPr>
          <w:rFonts w:ascii="Arial" w:cs="Arial" w:eastAsia="Arial" w:hAnsi="Arial"/>
          <w:sz w:val="18"/>
          <w:szCs w:val="18"/>
          <w:color w:val="auto"/>
        </w:rPr>
        <w:t xml:space="preserve"> in total cash compensation from 2019 to 2020 for the persons who were Named Executive Officers in both years:</w:t>
      </w:r>
    </w:p>
    <w:p>
      <w:pPr>
        <w:spacing w:after="0" w:line="185"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Michael R. Leach</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Although the Compensation Committee believes the decreases in total cash compensation are appropriate when considering the financial metrics discussed above, the Committee was very pleased with the actions taken by our Named Executive Officers to deal with the myriad of issues impacting our business, employees, customers, suppliers, and communities surrounding COVID-19.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right="100" w:firstLine="648"/>
        <w:spacing w:after="0" w:line="271" w:lineRule="auto"/>
        <w:rPr>
          <w:sz w:val="20"/>
          <w:szCs w:val="20"/>
          <w:color w:val="auto"/>
        </w:rPr>
      </w:pPr>
      <w:r>
        <w:rPr>
          <w:rFonts w:ascii="Arial" w:cs="Arial" w:eastAsia="Arial" w:hAnsi="Arial"/>
          <w:sz w:val="17"/>
          <w:szCs w:val="17"/>
          <w:u w:val="single" w:color="auto"/>
          <w:color w:val="auto"/>
        </w:rPr>
        <w:t>ROE Incentive Plan</w:t>
      </w:r>
      <w:r>
        <w:rPr>
          <w:rFonts w:ascii="Arial" w:cs="Arial" w:eastAsia="Arial" w:hAnsi="Arial"/>
          <w:sz w:val="17"/>
          <w:szCs w:val="17"/>
          <w:color w:val="auto"/>
        </w:rPr>
        <w:t>. Previously, Mr. Warzala had received a payment to the Deferred Compensation Plan based upon the Company’s return on equity. In 2019, the Compensation Committee decided to change the benefit for Mr. Warzala from a Deferred Compensation payment to currently paid incentive compensation (the “ROE Incentive”). For 2020, the performance target for the ROE Incentive was set at a 12% return on equity (with the equity used for such determination being shareholders’ equity at the beginning of the year adjusted for the weighted average share activity of any Company stock during the year) (the “ROE Incentive Performance Target”), and once the ROE Incentive Performance Target is achieved, an amount equal to 12.5% of the excess over the ROE Incentive Performance Target will be paid to Mr. Warzala as incentive compensation, with a cap of an amount equal to Mr. Warzala’s base compensation for 2020. The Company did not achieve ROE Incentive Performance Target in 2020 and thus no incentive compensation was paid to Mr. Warzala with respect to the ROE Incentive Plan.</w:t>
      </w:r>
    </w:p>
    <w:p>
      <w:pPr>
        <w:spacing w:after="0" w:line="17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The equity incentive compensation program is comprised of restricted stock awards that are (i) time-based and vest, assuming continued employment, over a three-year period from the date of grant, (ii) earned upon achievement of certain annually determined performance criteria (PSP) and (iii) earned upon achievement of longer-term performance goals.</w:t>
      </w:r>
    </w:p>
    <w:p>
      <w:pPr>
        <w:spacing w:after="0" w:line="184" w:lineRule="exact"/>
        <w:rPr>
          <w:sz w:val="20"/>
          <w:szCs w:val="20"/>
          <w:color w:val="auto"/>
        </w:rPr>
      </w:pPr>
    </w:p>
    <w:p>
      <w:pPr>
        <w:ind w:left="1300" w:right="220" w:firstLine="652"/>
        <w:spacing w:after="0" w:line="286" w:lineRule="auto"/>
        <w:tabs>
          <w:tab w:leader="none" w:pos="26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Time-Based Awards. The annual time-based restricted stock awards for the Named Executive Officers are equal to a percentage of the officer’s then annual salary divided by the fair market value (closing Company stock price) on the grant date. In March 2020, the Compensation Committee granted Mr. Warzala 9,053 shares of time-based restricted stock (50% of annual salary), Mr. Leach 2,445 shares (22.5% of annual salary), Mr. Maida 2,232 shares (22.5% of annual salary), Mr. Bendre 397 shares (3.3% of</w:t>
      </w:r>
    </w:p>
    <w:p>
      <w:pPr>
        <w:spacing w:after="0" w:line="1" w:lineRule="exact"/>
        <w:rPr>
          <w:sz w:val="20"/>
          <w:szCs w:val="20"/>
          <w:color w:val="auto"/>
        </w:rPr>
      </w:pPr>
    </w:p>
    <w:p>
      <w:pPr>
        <w:jc w:val="both"/>
        <w:ind w:left="1300" w:right="40"/>
        <w:spacing w:after="0" w:line="221" w:lineRule="auto"/>
        <w:rPr>
          <w:sz w:val="20"/>
          <w:szCs w:val="20"/>
          <w:color w:val="auto"/>
        </w:rPr>
      </w:pPr>
      <w:r>
        <w:rPr>
          <w:rFonts w:ascii="Arial" w:cs="Arial" w:eastAsia="Arial" w:hAnsi="Arial"/>
          <w:sz w:val="18"/>
          <w:szCs w:val="18"/>
          <w:color w:val="auto"/>
        </w:rPr>
        <w:t>salary) and Mr. Pirthauer 1,781 shares (20% of salary). The time-based awards will vest 1/3 on each on April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2021, 2022 and 2023. In August 2020, the Compensation Committee granted Messrs. Leach, Maida. Bendre and Pirthauer 2,000 shares of time-based restricted stock upon each of their promotions effective at that time.</w:t>
      </w:r>
    </w:p>
    <w:p>
      <w:pPr>
        <w:spacing w:after="0" w:line="202" w:lineRule="exact"/>
        <w:rPr>
          <w:sz w:val="20"/>
          <w:szCs w:val="20"/>
          <w:color w:val="auto"/>
        </w:rPr>
      </w:pPr>
    </w:p>
    <w:p>
      <w:pPr>
        <w:ind w:left="1300" w:right="20" w:firstLine="652"/>
        <w:spacing w:after="0" w:line="269" w:lineRule="auto"/>
        <w:tabs>
          <w:tab w:leader="none" w:pos="26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Performance Share Plan (PSP).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The EBITDA target is equal to the weighted average of the EBITDA of the Company, adjusted to account for business development costs relating to acquisitions, for the immediately preceding three-year period. The EBITDA threshold is 95% of target and the high performance measure is 105% of target. If the high performance measure is achieved or exceeded, then all of the PSP shares will be earned. If the Company’s actual results are less than the high performance measure but greater than the threshold, then the PSP shares will be earned on a prorata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182" w:lineRule="exact"/>
        <w:rPr>
          <w:sz w:val="20"/>
          <w:szCs w:val="20"/>
          <w:color w:val="auto"/>
        </w:rPr>
      </w:pPr>
    </w:p>
    <w:p>
      <w:pPr>
        <w:ind w:left="1300" w:right="60"/>
        <w:spacing w:after="0" w:line="254" w:lineRule="auto"/>
        <w:rPr>
          <w:sz w:val="20"/>
          <w:szCs w:val="20"/>
          <w:color w:val="auto"/>
        </w:rPr>
      </w:pPr>
      <w:r>
        <w:rPr>
          <w:rFonts w:ascii="Arial" w:cs="Arial" w:eastAsia="Arial" w:hAnsi="Arial"/>
          <w:sz w:val="18"/>
          <w:szCs w:val="18"/>
          <w:color w:val="auto"/>
        </w:rPr>
        <w:t>The annual PSP awards for the Chief Executive Officer, Chief Financial Officer, President, Allied Innovum Group and President, Allied Orion Group are equal to a percentage of the officer’s then annual salary divided by the fair market value (closing Company stock price) on the grant date. In March 2020, the Compensation Committee approved the award of 9,053 shares for Mr. Warzala (50% of annual salary), 2,445 shares for Mr. Leach (22.5% of annual salary), 2,232 shares for Mr. Maida (22.5% of annual salary) and 794 shares for Mr. Bendre (6.7% of annual salary). Mr. Pirthauer did not participate in the PSP in 2020. The PSP awards are each in the form of restricted stock. All shares granted under the PSP to Named Executive Officers for 2020 were earned, except for Mr. Bendre, who earned 38% of his PSP shares.</w:t>
      </w:r>
    </w:p>
    <w:p>
      <w:pPr>
        <w:spacing w:after="0" w:line="195" w:lineRule="exact"/>
        <w:rPr>
          <w:sz w:val="20"/>
          <w:szCs w:val="20"/>
          <w:color w:val="auto"/>
        </w:rPr>
      </w:pPr>
    </w:p>
    <w:p>
      <w:pPr>
        <w:ind w:left="1300" w:firstLine="652"/>
        <w:spacing w:after="0" w:line="272" w:lineRule="auto"/>
        <w:tabs>
          <w:tab w:leader="none" w:pos="26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LTIP. The LTIP is a multi-year pay-for-performance incentive program under which the Chief Executive Officer, Chief Financial Officer and President, Allied Innovum Group will earn restricted stock awards based upon the achievement of an increase in sales during various annual or five-year performance periods. The LTIP was first implemented in 2013 and has been revised and extended as performance goals were achieved. The LTIP currently extends through December 31, 2022 and the sales target to be achieved to earn all restricted share awards available is $500 million (the “LTIP Sales Target”). The LTIP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right="60" w:firstLine="648"/>
        <w:spacing w:after="0" w:line="269" w:lineRule="auto"/>
        <w:rPr>
          <w:sz w:val="20"/>
          <w:szCs w:val="20"/>
          <w:color w:val="auto"/>
        </w:rPr>
      </w:pPr>
      <w:r>
        <w:rPr>
          <w:rFonts w:ascii="Arial" w:cs="Arial" w:eastAsia="Arial" w:hAnsi="Arial"/>
          <w:sz w:val="17"/>
          <w:szCs w:val="17"/>
          <w:color w:val="auto"/>
        </w:rPr>
        <w:t>Under the current terms of the LTIP, for each $30 million increase in sales up to the LTIP Sales Target, each executive earns restricted stock awards equal to a percentage of his annual salary at the beginning of the performance period as follows: 100% for Mr. Warzala, 25% for Mr. Leach and 25% for Mr. Maida. The LTIP performance criteria for organic sales growth is measured after the end of each year of the performance period and the number of shares that can be earned with respect to a performance period is calculated based on the Company stock price (average of bid and ask) as measured at the beginning of the applicable performance period. The restricted stock awards that are earned based on actual organic sales growth vest over a three-year period. The measurement of performance criteria for acquired sales is done as of the closing date for an acquisition during a performance period and the number of shares of restricted stock earned will be calculated based on the Company stock price (average of bid and ask) as measured at the beginning of the applicable performance period. Restricted stock award shares that are earned under the LTIP that are based on acquired sales will vest annually (1/5 each year) over the following five years. When calculating the increase in sales, the Company will make appropriate adjustments to account for any acquired sales for which an LTIP award has previously been made. If the recipient’s employment with the Company is terminated due to cause or voluntary resignation, any unvested LTIP shares will be forfeited.</w:t>
      </w:r>
    </w:p>
    <w:p>
      <w:pPr>
        <w:spacing w:after="0" w:line="179" w:lineRule="exact"/>
        <w:rPr>
          <w:sz w:val="20"/>
          <w:szCs w:val="20"/>
          <w:color w:val="auto"/>
        </w:rPr>
      </w:pPr>
    </w:p>
    <w:p>
      <w:pPr>
        <w:ind w:left="660" w:right="180" w:firstLine="648"/>
        <w:spacing w:after="0" w:line="263" w:lineRule="auto"/>
        <w:rPr>
          <w:sz w:val="20"/>
          <w:szCs w:val="20"/>
          <w:color w:val="auto"/>
        </w:rPr>
      </w:pPr>
      <w:r>
        <w:rPr>
          <w:rFonts w:ascii="Arial" w:cs="Arial" w:eastAsia="Arial" w:hAnsi="Arial"/>
          <w:sz w:val="18"/>
          <w:szCs w:val="18"/>
          <w:color w:val="auto"/>
        </w:rPr>
        <w:t>For 2020, shares were earned under the acquired sales criteria of the LTIP as a result of the Dynamic Controls acquisition. As of December 31, 2020, approximately $400.5 million of the cumulative LTIP Sales Target has been achieved. The following table shows the status of the LTIP awards and remaining award potential as of the end of the 2020 performance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Borders>
              <w:bottom w:val="single" w:sz="8" w:color="auto"/>
            </w:tcBorders>
            <w:gridSpan w:val="5"/>
          </w:tcPr>
          <w:p>
            <w:pPr>
              <w:jc w:val="center"/>
              <w:ind w:left="990"/>
              <w:spacing w:after="0"/>
              <w:rPr>
                <w:sz w:val="20"/>
                <w:szCs w:val="20"/>
                <w:color w:val="auto"/>
              </w:rPr>
            </w:pPr>
            <w:r>
              <w:rPr>
                <w:rFonts w:ascii="Arial" w:cs="Arial" w:eastAsia="Arial" w:hAnsi="Arial"/>
                <w:sz w:val="18"/>
                <w:szCs w:val="18"/>
                <w:b w:val="1"/>
                <w:bCs w:val="1"/>
                <w:color w:val="auto"/>
                <w:w w:val="93"/>
              </w:rPr>
              <w:t>Number of LTIP Shares</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178"/>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6"/>
              </w:rPr>
              <w:t>Maximum</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LTIP</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Can</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Be Earned with</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Respect to</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Open</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520" w:type="dxa"/>
            <w:vAlign w:val="bottom"/>
            <w:gridSpan w:val="2"/>
          </w:tcPr>
          <w:p>
            <w:pPr>
              <w:ind w:left="1600"/>
              <w:spacing w:after="0"/>
              <w:rPr>
                <w:sz w:val="20"/>
                <w:szCs w:val="20"/>
                <w:color w:val="auto"/>
              </w:rPr>
            </w:pPr>
            <w:r>
              <w:rPr>
                <w:rFonts w:ascii="Arial" w:cs="Arial" w:eastAsia="Arial" w:hAnsi="Arial"/>
                <w:sz w:val="18"/>
                <w:szCs w:val="18"/>
                <w:b w:val="1"/>
                <w:bCs w:val="1"/>
                <w:color w:val="auto"/>
              </w:rPr>
              <w:t>Name and Principal Position</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Awarded</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Earned</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Forfeited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Periods</w:t>
            </w:r>
          </w:p>
        </w:tc>
      </w:tr>
      <w:tr>
        <w:trPr>
          <w:trHeight w:val="195"/>
        </w:trPr>
        <w:tc>
          <w:tcPr>
            <w:tcW w:w="5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410,110</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390,111</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4,259</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79,190</w:t>
            </w: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5520" w:type="dxa"/>
            <w:vAlign w:val="bottom"/>
            <w:gridSpan w:val="2"/>
          </w:tcPr>
          <w:p>
            <w:pPr>
              <w:spacing w:after="0" w:line="201" w:lineRule="exact"/>
              <w:rPr>
                <w:sz w:val="20"/>
                <w:szCs w:val="20"/>
                <w:color w:val="auto"/>
              </w:rPr>
            </w:pPr>
            <w:r>
              <w:rPr>
                <w:rFonts w:ascii="Arial" w:cs="Arial" w:eastAsia="Arial" w:hAnsi="Arial"/>
                <w:sz w:val="18"/>
                <w:szCs w:val="18"/>
                <w:color w:val="auto"/>
              </w:rPr>
              <w:t>Michael R. Leach</w:t>
            </w:r>
          </w:p>
        </w:tc>
        <w:tc>
          <w:tcPr>
            <w:tcW w:w="15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17,151</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14,412</w:t>
            </w:r>
          </w:p>
        </w:tc>
        <w:tc>
          <w:tcPr>
            <w:tcW w:w="160" w:type="dxa"/>
            <w:vAlign w:val="bottom"/>
          </w:tcPr>
          <w:p>
            <w:pPr>
              <w:spacing w:after="0"/>
              <w:rPr>
                <w:sz w:val="17"/>
                <w:szCs w:val="17"/>
                <w:color w:val="auto"/>
              </w:rPr>
            </w:pPr>
          </w:p>
        </w:tc>
        <w:tc>
          <w:tcPr>
            <w:tcW w:w="12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10,891</w:t>
            </w: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P. Maida</w:t>
            </w:r>
          </w:p>
        </w:tc>
        <w:tc>
          <w:tcPr>
            <w:tcW w:w="15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43,876</w:t>
            </w:r>
          </w:p>
        </w:tc>
        <w:tc>
          <w:tcPr>
            <w:tcW w:w="14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41,803</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1,853</w:t>
            </w:r>
          </w:p>
        </w:tc>
        <w:tc>
          <w:tcPr>
            <w:tcW w:w="13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8,516</w:t>
            </w: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Allied Innovum Group</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Warzala is provided with exclusive use of a company automobile, an annual physical and $500,000 of life insurance plus a $24,500 annual payment to be used to purchase additional life insurance for which he may designate the beneficiaries.</w:t>
      </w:r>
    </w:p>
    <w:p>
      <w:pPr>
        <w:spacing w:after="0" w:line="15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 performance-based remuneration provided pursuant to a written binding contract that was in effect on November 2, 2017 provided that such contract is not materially modified after that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right="340" w:firstLine="648"/>
        <w:spacing w:after="0" w:line="259" w:lineRule="auto"/>
        <w:rPr>
          <w:sz w:val="20"/>
          <w:szCs w:val="20"/>
          <w:color w:val="auto"/>
        </w:rPr>
      </w:pPr>
      <w:r>
        <w:rPr>
          <w:rFonts w:ascii="Arial" w:cs="Arial" w:eastAsia="Arial" w:hAnsi="Arial"/>
          <w:sz w:val="18"/>
          <w:szCs w:val="18"/>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Recoupment of Compensation Due to Misconduct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February 2019, the Company’s Board adopted a Clawback Policy. All equity and non-equity incentive plan compensation granted by the Company in 2019 and thereafter is subject to this Clawback Policy. The policy provides that if an accounting restatement is required due to the Company’s material non-compliance with any accounting requirements, then all of the Company’s executive officers, regardless of whether they were at fault or not in the circumstances leading to the restatement, will be subject to forfeiting any excess in the incentive compensation they earned over the prior three years over what they would have earned if there had not been a material non-compliance in the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Policy.</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Company’s Insider Trading Policy 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Most Recent Say on Pay Vote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At the annual meeting of shareholders on May 6, 2020, 97.6% of the shares voted were voted in support of the compensation of our Named Executive Officers, as discussed and disclosed in the 2020 proxy statement. Irrespective of the strong support, the Compensation Committee continues to review the Company’s compensation strategy to ensure that it provides appropriate compensation to the Company’s Named Executive Officers and to further align the interests of management and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Changes for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recently approved certain revisions to the Company’s compensation program for 2021.</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u w:val="single" w:color="auto"/>
          <w:color w:val="auto"/>
        </w:rPr>
        <w:t>ROE Incentive Plan</w:t>
      </w:r>
      <w:r>
        <w:rPr>
          <w:rFonts w:ascii="Arial" w:cs="Arial" w:eastAsia="Arial" w:hAnsi="Arial"/>
          <w:sz w:val="18"/>
          <w:szCs w:val="18"/>
          <w:color w:val="auto"/>
        </w:rPr>
        <w:t>. The Committee eliminated the ROE Incentive Plan for 2021. The Compensation Committee made the change to align the metrics used to determine incentive compensation for the Company’s Named Executive Officers and increased Mr. Warzala’s target incentives under other incentive compensation plans.</w:t>
      </w:r>
    </w:p>
    <w:p>
      <w:pPr>
        <w:spacing w:after="0" w:line="18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u w:val="single" w:color="auto"/>
          <w:color w:val="auto"/>
        </w:rPr>
        <w:t>Adjustment of CEO Target Incentives</w:t>
      </w:r>
      <w:r>
        <w:rPr>
          <w:rFonts w:ascii="Arial" w:cs="Arial" w:eastAsia="Arial" w:hAnsi="Arial"/>
          <w:sz w:val="16"/>
          <w:szCs w:val="16"/>
          <w:color w:val="auto"/>
        </w:rPr>
        <w:t>. In connection with the elimination of the ROE Incentive Plan, the Committee revised Mr. Warzala’s target incentives (as a percentage of base salary) under the Company’s Annual Cash Incentive; Performance Share Plan; Time-Based Awards for 2021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2020 Target as Percentage of</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2021 Target as Percentage of</w:t>
            </w:r>
          </w:p>
        </w:tc>
      </w:tr>
      <w:tr>
        <w:trPr>
          <w:trHeight w:val="230"/>
        </w:trPr>
        <w:tc>
          <w:tcPr>
            <w:tcW w:w="646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Element of Compensation</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Base Salary</w:t>
            </w:r>
          </w:p>
        </w:tc>
        <w:tc>
          <w:tcPr>
            <w:tcW w:w="28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Base Salary</w:t>
            </w:r>
          </w:p>
        </w:tc>
        <w:tc>
          <w:tcPr>
            <w:tcW w:w="160" w:type="dxa"/>
            <w:vAlign w:val="bottom"/>
            <w:tcBorders>
              <w:bottom w:val="single" w:sz="8" w:color="CCEEFF"/>
            </w:tcBorders>
          </w:tcPr>
          <w:p>
            <w:pPr>
              <w:spacing w:after="0"/>
              <w:rPr>
                <w:sz w:val="20"/>
                <w:szCs w:val="20"/>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ROE Incentive Plan</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Annual Cash Incentive</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 Plan</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Time-Based Awards</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u w:val="single" w:color="auto"/>
          <w:color w:val="auto"/>
        </w:rPr>
        <w:t>LTIP Sales Target</w:t>
      </w:r>
      <w:r>
        <w:rPr>
          <w:rFonts w:ascii="Arial" w:cs="Arial" w:eastAsia="Arial" w:hAnsi="Arial"/>
          <w:sz w:val="18"/>
          <w:szCs w:val="18"/>
          <w:color w:val="auto"/>
        </w:rPr>
        <w:t>. To take account of adverse impacts on the Company’s growth in 2020 resulting from the global COVID-19 pandemic, the LTIP Sales Target was reduced from $500 million to $450 million. Other than the revision to the LTIP Sales Target, the terms and conditions of the LTIP were unchanged and remain in full force and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2020</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Under the Company’s director compensation program, each non-employee director receives an annual cash retainer of $51,000, paid quarterly. The chairperson of the Audit Committee receives an additional $15,000 annual cash retainer and other members of the Audit Committee receive an additional annual cash retainer in the amount of $8,000. The chairperson of the Compensation Committee and the Corporate Governance and Nominating Committee each receive an additional $12,000 annual cash retainer and other members of those committees will receive an additional annual cash retainer in the amount of $6,000. The Lead Director receives an additional $10,300 annual cash retainer. All cash retainers are payable ratably on a quarterly basis. Additionally, each non-employee director is reimbursed for his or her expenses in connection with attendance at each meeting.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140" w:firstLine="648"/>
        <w:spacing w:after="0" w:line="257" w:lineRule="auto"/>
        <w:rPr>
          <w:sz w:val="20"/>
          <w:szCs w:val="20"/>
          <w:color w:val="auto"/>
        </w:rPr>
      </w:pPr>
      <w:r>
        <w:rPr>
          <w:rFonts w:ascii="Arial" w:cs="Arial" w:eastAsia="Arial" w:hAnsi="Arial"/>
          <w:sz w:val="18"/>
          <w:szCs w:val="18"/>
          <w:color w:val="auto"/>
        </w:rPr>
        <w:t>Non-employee directors also receive an annual award of restricted stock under the 2017 Omnibus Incentive Plan. The annual award consists of shares of the Company’s common stock with a value of $55,000 as of the date of grant. The Lead Director receives an additional award of restricted stock with a value of $20,600 as of the date of grant.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compensation paid by the Company to each non-employee director for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Fees Earned</w:t>
            </w:r>
          </w:p>
        </w:tc>
        <w:tc>
          <w:tcPr>
            <w:tcW w:w="120" w:type="dxa"/>
            <w:vAlign w:val="bottom"/>
          </w:tcPr>
          <w:p>
            <w:pPr>
              <w:spacing w:after="0"/>
              <w:rPr>
                <w:sz w:val="18"/>
                <w:szCs w:val="18"/>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20"/>
              <w:spacing w:after="0" w:line="176" w:lineRule="exact"/>
              <w:rPr>
                <w:sz w:val="20"/>
                <w:szCs w:val="20"/>
                <w:color w:val="auto"/>
              </w:rPr>
            </w:pPr>
            <w:r>
              <w:rPr>
                <w:rFonts w:ascii="Arial" w:cs="Arial" w:eastAsia="Arial" w:hAnsi="Arial"/>
                <w:sz w:val="18"/>
                <w:szCs w:val="18"/>
                <w:color w:val="auto"/>
                <w:w w:val="87"/>
              </w:rPr>
              <w:t>or Paid</w:t>
            </w: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 Cash</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Directors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line="256" w:lineRule="exact"/>
              <w:rPr>
                <w:sz w:val="20"/>
                <w:szCs w:val="20"/>
                <w:color w:val="auto"/>
              </w:rPr>
            </w:pPr>
            <w:r>
              <w:rPr>
                <w:rFonts w:ascii="Arial" w:cs="Arial" w:eastAsia="Arial" w:hAnsi="Arial"/>
                <w:sz w:val="18"/>
                <w:szCs w:val="18"/>
                <w:color w:val="auto"/>
                <w:w w:val="82"/>
              </w:rPr>
              <w:t xml:space="preserve">($) </w:t>
            </w:r>
            <w:r>
              <w:rPr>
                <w:rFonts w:ascii="Arial" w:cs="Arial" w:eastAsia="Arial" w:hAnsi="Arial"/>
                <w:sz w:val="29"/>
                <w:szCs w:val="29"/>
                <w:color w:val="auto"/>
                <w:w w:val="82"/>
                <w:vertAlign w:val="superscript"/>
              </w:rPr>
              <w:t>(1)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Linda P. Duch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Robert B. Engel</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121,837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78,129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157,429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Gerald J. (Bud) Laber</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117,837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127,837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Michael R. Winter</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128,837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Former Director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200" w:type="dxa"/>
            <w:vAlign w:val="bottom"/>
          </w:tcPr>
          <w:p>
            <w:pPr>
              <w:spacing w:after="0"/>
              <w:rPr>
                <w:sz w:val="20"/>
                <w:szCs w:val="20"/>
                <w:color w:val="auto"/>
              </w:rPr>
            </w:pPr>
            <w:r>
              <w:rPr>
                <w:rFonts w:ascii="Arial" w:cs="Arial" w:eastAsia="Arial" w:hAnsi="Arial"/>
                <w:sz w:val="18"/>
                <w:szCs w:val="18"/>
                <w:color w:val="auto"/>
              </w:rPr>
              <w:t xml:space="preserve">Richard D. Smith </w:t>
            </w:r>
            <w:r>
              <w:rPr>
                <w:rFonts w:ascii="Arial" w:cs="Arial" w:eastAsia="Arial" w:hAnsi="Arial"/>
                <w:sz w:val="29"/>
                <w:szCs w:val="29"/>
                <w:color w:val="auto"/>
                <w:vertAlign w:val="superscript"/>
              </w:rPr>
              <w:t>(2)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25,500</w:t>
            </w:r>
          </w:p>
        </w:tc>
        <w:tc>
          <w:tcPr>
            <w:tcW w:w="12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9" w:lineRule="exact"/>
        <w:rPr>
          <w:sz w:val="20"/>
          <w:szCs w:val="20"/>
          <w:color w:val="auto"/>
        </w:rPr>
      </w:pPr>
    </w:p>
    <w:p>
      <w:pPr>
        <w:ind w:left="980" w:right="3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as reported on the Nasdaq Global Market on the date of grant.</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Smith did not stand for re-election at the Company’s annual meeting of shareholders held on May 6, 2020, and therefore ceased to be a director of the Company as of that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2020 is shown below:</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Unvested</w:t>
            </w:r>
          </w:p>
        </w:tc>
      </w:tr>
      <w:tr>
        <w:trPr>
          <w:trHeight w:val="216"/>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Stock Awards</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Name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20"/>
                <w:szCs w:val="20"/>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Linda P. Duch</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Robert B. Engel</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Michael R. Winter</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Related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party to the following employment agreements with our Named Executive Officers:</w:t>
      </w:r>
    </w:p>
    <w:p>
      <w:pPr>
        <w:spacing w:after="0" w:line="225" w:lineRule="exact"/>
        <w:rPr>
          <w:sz w:val="20"/>
          <w:szCs w:val="20"/>
          <w:color w:val="auto"/>
        </w:rPr>
      </w:pPr>
    </w:p>
    <w:p>
      <w:pPr>
        <w:ind w:left="1300" w:right="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Richard S. Warzala. Pursuant to an employment agreement whereby Richard S. Warzala serves as President and Chief Executive Officer, Mr. Warzala is entitled to an annual base salary of not less than $586,500 effective March 1, 2021.</w:t>
      </w:r>
    </w:p>
    <w:p>
      <w:pPr>
        <w:spacing w:after="0" w:line="170"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Michael R. Leach. Pursuant to an employment agreement whereby Michael R. Leach serves as Senior Vice President and Chief Financial Officer, Mr. Leach is entitled to an annual base salary of not less than $351,900 effective March 1, 2021.</w:t>
      </w:r>
    </w:p>
    <w:p>
      <w:pPr>
        <w:spacing w:after="0" w:line="170" w:lineRule="exact"/>
        <w:rPr>
          <w:rFonts w:ascii="Arial" w:cs="Arial" w:eastAsia="Arial" w:hAnsi="Arial"/>
          <w:sz w:val="18"/>
          <w:szCs w:val="18"/>
          <w:color w:val="auto"/>
        </w:rPr>
      </w:pPr>
    </w:p>
    <w:p>
      <w:pPr>
        <w:ind w:left="1300" w:right="40" w:hanging="320"/>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Robert P. Maida. Pursuant to an employment agreement whereby Robert P. Maida serves as Senior Vice President and President of Allied Innovum Group, Mr. Maida is entitled to an annual base salary of not less than $321,300 effective March 1, 2021.</w:t>
      </w:r>
    </w:p>
    <w:p>
      <w:pPr>
        <w:spacing w:after="0" w:line="146" w:lineRule="exact"/>
        <w:rPr>
          <w:rFonts w:ascii="Arial" w:cs="Arial" w:eastAsia="Arial" w:hAnsi="Arial"/>
          <w:sz w:val="17"/>
          <w:szCs w:val="17"/>
          <w:color w:val="auto"/>
        </w:rPr>
      </w:pPr>
    </w:p>
    <w:p>
      <w:pPr>
        <w:ind w:left="1300" w:right="380" w:hanging="320"/>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Ashish R Bendre. Pursuant to an employment agreement whereby Ashish R. Bendre serves as Vice President and President of Allied Orion Group, Mr. Bendre is entitled to an annual base salary of not less than $378,000 effective March 1, 2021.</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1300" w:right="460" w:hanging="320"/>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Allied Dynamos Group, Mr. Pirthauer is entitled to an annual base salary of not less than €280,000 effective March 1, 2021.</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Unless terminated earlier in accordance with its terms, Mr. Warzala’s employment agreement will remain effective until January 2, 2023. Pursuant to the employment agreements with each of Messrs. Leach, Maida and Bendre, each executive serves for a term ending on December 31, 2021, which is automatically extended for additional one-year periods unless either party gives notice of nonrenewal 180 days in advance of the annual renewal date. Pursuant to Mr. Pirthauer’s employment agreement,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our Named Executive Officers is eligible to receive annual incentive bonuses as our Compensation Committee may determine based upon our results of operations and other relevant factors. For 2020, Mr. Warzala was also eligible to receive a performance award under the Company’s ROE Incentive Plan. Our Named Executive Officers also 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 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16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D. Federico, Chair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B. Engel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Gerald J. Laber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Allied Motion and its subsidiaries have approximately 1,800 employees worldwide, with approximately 48% in North America and 40% are located in Europe and the balance are located in Asia-Pacific. Our philosophy is to pay our employees competitively with similar positions in the applicable labor market. By doing so, we believe we maintain a high-quality, stable workforce.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60" w:firstLine="648"/>
        <w:spacing w:after="0" w:line="263" w:lineRule="auto"/>
        <w:rPr>
          <w:sz w:val="20"/>
          <w:szCs w:val="20"/>
          <w:color w:val="auto"/>
        </w:rPr>
      </w:pPr>
      <w:r>
        <w:rPr>
          <w:rFonts w:ascii="Arial" w:cs="Arial" w:eastAsia="Arial" w:hAnsi="Arial"/>
          <w:sz w:val="18"/>
          <w:szCs w:val="18"/>
          <w:color w:val="auto"/>
        </w:rPr>
        <w:t>To identify the employee with compensation at the median of all employees, we used taxable income for 2020 and applied this method consistently across our global employee population. We did not make any cost-of-living adjustments despite the large variety of labor markets in which our employees work nor did we use any statistical sampling to determine the median employee.</w:t>
      </w:r>
    </w:p>
    <w:p>
      <w:pPr>
        <w:spacing w:after="0" w:line="18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This median employee had a total compensation for 2020 of $34,821. Our Chief Executive Officers’ total 2020 compensation was $3,425,574 as reported in the summary compensation table. Based on this information, the ratio of the annual total compensation was 98:1.</w:t>
      </w:r>
    </w:p>
    <w:p>
      <w:pPr>
        <w:spacing w:after="0" w:line="146"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information relating to total compensation of the Named Executive Officers for the fiscal years ended December 31, 2020,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Non-Equity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Stock</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rPr>
              <w:t>Incentive Plan</w:t>
            </w:r>
          </w:p>
        </w:tc>
        <w:tc>
          <w:tcPr>
            <w:tcW w:w="1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4"/>
        </w:trPr>
        <w:tc>
          <w:tcPr>
            <w:tcW w:w="262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Salary</w:t>
            </w:r>
          </w:p>
        </w:tc>
        <w:tc>
          <w:tcPr>
            <w:tcW w:w="200" w:type="dxa"/>
            <w:vAlign w:val="bottom"/>
          </w:tcPr>
          <w:p>
            <w:pPr>
              <w:spacing w:after="0"/>
              <w:rPr>
                <w:sz w:val="23"/>
                <w:szCs w:val="23"/>
                <w:color w:val="auto"/>
              </w:rPr>
            </w:pPr>
          </w:p>
        </w:tc>
        <w:tc>
          <w:tcPr>
            <w:tcW w:w="1260" w:type="dxa"/>
            <w:vAlign w:val="bottom"/>
            <w:gridSpan w:val="2"/>
          </w:tcPr>
          <w:p>
            <w:pPr>
              <w:jc w:val="center"/>
              <w:ind w:right="420"/>
              <w:spacing w:after="0" w:line="267" w:lineRule="exact"/>
              <w:rPr>
                <w:sz w:val="20"/>
                <w:szCs w:val="20"/>
                <w:color w:val="auto"/>
              </w:rPr>
            </w:pPr>
            <w:r>
              <w:rPr>
                <w:rFonts w:ascii="Arial" w:cs="Arial" w:eastAsia="Arial" w:hAnsi="Arial"/>
                <w:sz w:val="18"/>
                <w:szCs w:val="18"/>
                <w:color w:val="auto"/>
                <w:w w:val="86"/>
              </w:rPr>
              <w:t>Awards</w:t>
            </w:r>
            <w:r>
              <w:rPr>
                <w:rFonts w:ascii="Arial" w:cs="Arial" w:eastAsia="Arial" w:hAnsi="Arial"/>
                <w:sz w:val="29"/>
                <w:szCs w:val="29"/>
                <w:color w:val="auto"/>
                <w:w w:val="86"/>
                <w:vertAlign w:val="superscript"/>
              </w:rPr>
              <w:t>(1)</w:t>
            </w:r>
          </w:p>
        </w:tc>
        <w:tc>
          <w:tcPr>
            <w:tcW w:w="1440" w:type="dxa"/>
            <w:vAlign w:val="bottom"/>
            <w:gridSpan w:val="3"/>
          </w:tcPr>
          <w:p>
            <w:pPr>
              <w:spacing w:after="0" w:line="267" w:lineRule="exact"/>
              <w:rPr>
                <w:sz w:val="20"/>
                <w:szCs w:val="20"/>
                <w:color w:val="auto"/>
              </w:rPr>
            </w:pPr>
            <w:r>
              <w:rPr>
                <w:rFonts w:ascii="Arial" w:cs="Arial" w:eastAsia="Arial" w:hAnsi="Arial"/>
                <w:sz w:val="18"/>
                <w:szCs w:val="18"/>
                <w:color w:val="auto"/>
              </w:rPr>
              <w:t>Compensation</w:t>
            </w:r>
            <w:r>
              <w:rPr>
                <w:rFonts w:ascii="Arial" w:cs="Arial" w:eastAsia="Arial" w:hAnsi="Arial"/>
                <w:sz w:val="29"/>
                <w:szCs w:val="29"/>
                <w:color w:val="auto"/>
                <w:vertAlign w:val="superscript"/>
              </w:rPr>
              <w:t>(2)</w:t>
            </w:r>
          </w:p>
        </w:tc>
        <w:tc>
          <w:tcPr>
            <w:tcW w:w="1440" w:type="dxa"/>
            <w:vAlign w:val="bottom"/>
            <w:gridSpan w:val="3"/>
          </w:tcPr>
          <w:p>
            <w:pPr>
              <w:spacing w:after="0" w:line="267" w:lineRule="exact"/>
              <w:rPr>
                <w:sz w:val="20"/>
                <w:szCs w:val="20"/>
                <w:color w:val="auto"/>
              </w:rPr>
            </w:pPr>
            <w:r>
              <w:rPr>
                <w:rFonts w:ascii="Arial" w:cs="Arial" w:eastAsia="Arial" w:hAnsi="Arial"/>
                <w:sz w:val="18"/>
                <w:szCs w:val="18"/>
                <w:color w:val="auto"/>
              </w:rPr>
              <w:t>Compensation</w:t>
            </w:r>
            <w:r>
              <w:rPr>
                <w:rFonts w:ascii="Arial" w:cs="Arial" w:eastAsia="Arial" w:hAnsi="Arial"/>
                <w:sz w:val="29"/>
                <w:szCs w:val="29"/>
                <w:color w:val="auto"/>
                <w:vertAlign w:val="superscript"/>
              </w:rPr>
              <w:t>(3)</w:t>
            </w:r>
          </w:p>
        </w:tc>
        <w:tc>
          <w:tcPr>
            <w:tcW w:w="280" w:type="dxa"/>
            <w:vAlign w:val="bottom"/>
          </w:tcPr>
          <w:p>
            <w:pPr>
              <w:spacing w:after="0"/>
              <w:rPr>
                <w:sz w:val="23"/>
                <w:szCs w:val="23"/>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02"/>
        </w:trPr>
        <w:tc>
          <w:tcPr>
            <w:tcW w:w="2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880"/>
              <w:spacing w:after="0" w:line="201"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570,833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2,429,647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373,269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w w:val="83"/>
              </w:rPr>
              <w:t>51,824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3,425,573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544,583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2,351,581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1,339,314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43,945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4,279,423</w:t>
            </w: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514,167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514,184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1,317,603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43,750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2,389,704</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R. Leach</w:t>
            </w:r>
          </w:p>
        </w:tc>
        <w:tc>
          <w:tcPr>
            <w:tcW w:w="150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340,000</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488,624</w:t>
            </w:r>
          </w:p>
        </w:tc>
        <w:tc>
          <w:tcPr>
            <w:tcW w:w="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148,218</w:t>
            </w:r>
          </w:p>
        </w:tc>
        <w:tc>
          <w:tcPr>
            <w:tcW w:w="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rPr>
              <w:t>17,206</w:t>
            </w:r>
          </w:p>
        </w:tc>
        <w:tc>
          <w:tcPr>
            <w:tcW w:w="2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994,048</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Senior Vice President and Chief</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340,446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302,602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19,445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972,518</w:t>
            </w: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Officer</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114,009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253,194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19,250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669,953</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P. Maida</w:t>
            </w:r>
          </w:p>
        </w:tc>
        <w:tc>
          <w:tcPr>
            <w:tcW w:w="150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308,334</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413,349</w:t>
            </w:r>
          </w:p>
        </w:tc>
        <w:tc>
          <w:tcPr>
            <w:tcW w:w="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111,134</w:t>
            </w:r>
          </w:p>
        </w:tc>
        <w:tc>
          <w:tcPr>
            <w:tcW w:w="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rPr>
              <w:t>17,206</w:t>
            </w:r>
          </w:p>
        </w:tc>
        <w:tc>
          <w:tcPr>
            <w:tcW w:w="2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850,023</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 President and</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312,294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263,535</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19,445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865,274</w:t>
            </w: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Group President</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216,130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19,250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658,280</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26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Ashish R. Bendre</w:t>
            </w:r>
            <w:r>
              <w:rPr>
                <w:rFonts w:ascii="Arial" w:cs="Arial" w:eastAsia="Arial" w:hAnsi="Arial"/>
                <w:sz w:val="28"/>
                <w:szCs w:val="28"/>
                <w:color w:val="auto"/>
                <w:vertAlign w:val="superscript"/>
              </w:rPr>
              <w:t>(4)</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390,993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117,086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36,057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28,124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572,260</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and Group</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26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Helmut D. Pirthauer</w:t>
            </w:r>
            <w:r>
              <w:rPr>
                <w:rFonts w:ascii="Arial" w:cs="Arial" w:eastAsia="Arial" w:hAnsi="Arial"/>
                <w:sz w:val="28"/>
                <w:szCs w:val="28"/>
                <w:color w:val="auto"/>
                <w:vertAlign w:val="superscript"/>
              </w:rPr>
              <w:t>(4)</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124,491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12,328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558,017</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and Group</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3" w:lineRule="exact"/>
        <w:rPr>
          <w:sz w:val="20"/>
          <w:szCs w:val="20"/>
          <w:color w:val="auto"/>
        </w:rPr>
      </w:pPr>
    </w:p>
    <w:p>
      <w:pPr>
        <w:ind w:left="660" w:right="3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spacing w:after="0" w:line="146" w:lineRule="exact"/>
        <w:rPr>
          <w:rFonts w:ascii="Arial" w:cs="Arial" w:eastAsia="Arial" w:hAnsi="Arial"/>
          <w:sz w:val="17"/>
          <w:szCs w:val="17"/>
          <w:color w:val="auto"/>
        </w:rPr>
      </w:pPr>
    </w:p>
    <w:p>
      <w:pPr>
        <w:ind w:left="660" w:right="260" w:hanging="652"/>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this column represent the awards earned under the Company’s Annual Cash Incentive Plan for the applicable fiscal year. For Mr. Warzala, this column also includes awards earned under the Company ROE Incentive Plan. For 2018 the ROE incentive was reported as “Bonus” due to unique circumstances that year as the Company transitioned from a deferred compensation payment to currently paid incentive compensation. Such amount has been reclassified as non-equity incentive plan compensation to allow for better comparison across the reported years.</w:t>
      </w:r>
    </w:p>
    <w:p>
      <w:pPr>
        <w:spacing w:after="0" w:line="187" w:lineRule="exact"/>
        <w:rPr>
          <w:rFonts w:ascii="Arial" w:cs="Arial" w:eastAsia="Arial" w:hAnsi="Arial"/>
          <w:sz w:val="18"/>
          <w:szCs w:val="18"/>
          <w:color w:val="auto"/>
        </w:rPr>
      </w:pPr>
    </w:p>
    <w:p>
      <w:pPr>
        <w:ind w:left="660" w:right="360" w:hanging="652"/>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in this column represent the Company’s contributions under its 401(k) Plan and Employee Stock Ownership Plan for the Named Executive Officer’s benefit. For Mr. Warzala, the amount also includes Company paid life insurance premiums of $24,500 and perquisites of $10,118. This column excludes perquisites, which did not exceed $10,000 in the aggregate for each other Named Executive Officer.</w:t>
      </w:r>
    </w:p>
    <w:p>
      <w:pPr>
        <w:spacing w:after="0" w:line="148"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Messrs. Bendre and Pirthauer were each named Vice President &amp; Group President in July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w w:val="92"/>
              </w:rPr>
              <w:t>Grants of Plan-Based Awards in 2020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0" w:type="dxa"/>
            <w:vAlign w:val="bottom"/>
            <w:gridSpan w:val="13"/>
          </w:tcPr>
          <w:p>
            <w:pPr>
              <w:spacing w:after="0"/>
              <w:rPr>
                <w:sz w:val="20"/>
                <w:szCs w:val="20"/>
                <w:color w:val="auto"/>
              </w:rPr>
            </w:pPr>
            <w:r>
              <w:rPr>
                <w:rFonts w:ascii="Arial" w:cs="Arial" w:eastAsia="Arial" w:hAnsi="Arial"/>
                <w:sz w:val="18"/>
                <w:szCs w:val="18"/>
                <w:color w:val="auto"/>
                <w:w w:val="94"/>
              </w:rPr>
              <w:t>The following table summarizes the grants of plan-based awards to each of the Named Executive Officers during fiscal year 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Estimated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Possible Payouts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Under Non-</w:t>
            </w:r>
          </w:p>
        </w:tc>
        <w:tc>
          <w:tcPr>
            <w:tcW w:w="266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Estimated Possible Payouts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Equity Incentive</w:t>
            </w:r>
          </w:p>
        </w:tc>
        <w:tc>
          <w:tcPr>
            <w:tcW w:w="2660" w:type="dxa"/>
            <w:vAlign w:val="bottom"/>
            <w:gridSpan w:val="4"/>
          </w:tcPr>
          <w:p>
            <w:pPr>
              <w:jc w:val="center"/>
              <w:ind w:right="240"/>
              <w:spacing w:after="0"/>
              <w:rPr>
                <w:sz w:val="20"/>
                <w:szCs w:val="20"/>
                <w:color w:val="auto"/>
              </w:rPr>
            </w:pPr>
            <w:r>
              <w:rPr>
                <w:rFonts w:ascii="Arial" w:cs="Arial" w:eastAsia="Arial" w:hAnsi="Arial"/>
                <w:sz w:val="18"/>
                <w:szCs w:val="18"/>
                <w:color w:val="auto"/>
                <w:w w:val="93"/>
              </w:rPr>
              <w:t>Under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 Fair</w:t>
            </w:r>
          </w:p>
        </w:tc>
      </w:tr>
      <w:tr>
        <w:trPr>
          <w:trHeight w:val="230"/>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Plan Awards</w:t>
            </w:r>
          </w:p>
        </w:tc>
        <w:tc>
          <w:tcPr>
            <w:tcW w:w="26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Equity Incentive Plan Awards</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All Other Stock</w:t>
            </w:r>
          </w:p>
        </w:tc>
        <w:tc>
          <w:tcPr>
            <w:tcW w:w="10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Value of Stock</w:t>
            </w:r>
          </w:p>
        </w:tc>
      </w:tr>
      <w:tr>
        <w:trPr>
          <w:trHeight w:val="237"/>
        </w:trPr>
        <w:tc>
          <w:tcPr>
            <w:tcW w:w="2960" w:type="dxa"/>
            <w:vAlign w:val="bottom"/>
            <w:gridSpan w:val="2"/>
          </w:tcPr>
          <w:p>
            <w:pPr>
              <w:ind w:left="1200"/>
              <w:spacing w:after="0"/>
              <w:rPr>
                <w:sz w:val="20"/>
                <w:szCs w:val="20"/>
                <w:color w:val="auto"/>
              </w:rPr>
            </w:pPr>
            <w:r>
              <w:rPr>
                <w:rFonts w:ascii="Arial" w:cs="Arial" w:eastAsia="Arial" w:hAnsi="Arial"/>
                <w:sz w:val="18"/>
                <w:szCs w:val="18"/>
                <w:color w:val="auto"/>
              </w:rPr>
              <w:t>Name</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Grant Date</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Target($)</w:t>
            </w: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Target(#)</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Maximum(#)</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Awards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40"/>
              <w:spacing w:after="0" w:line="236" w:lineRule="exact"/>
              <w:rPr>
                <w:sz w:val="20"/>
                <w:szCs w:val="20"/>
                <w:color w:val="auto"/>
              </w:rPr>
            </w:pPr>
            <w:r>
              <w:rPr>
                <w:rFonts w:ascii="Arial" w:cs="Arial" w:eastAsia="Arial" w:hAnsi="Arial"/>
                <w:sz w:val="17"/>
                <w:szCs w:val="17"/>
                <w:color w:val="auto"/>
                <w:w w:val="91"/>
              </w:rPr>
              <w:t xml:space="preserve">Awards </w:t>
            </w:r>
            <w:r>
              <w:rPr>
                <w:rFonts w:ascii="Arial" w:cs="Arial" w:eastAsia="Arial" w:hAnsi="Arial"/>
                <w:sz w:val="27"/>
                <w:szCs w:val="27"/>
                <w:color w:val="auto"/>
                <w:w w:val="91"/>
                <w:vertAlign w:val="superscript"/>
              </w:rPr>
              <w:t>(8)</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428,125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ROE Incentive Plan </w:t>
            </w:r>
            <w:r>
              <w:rPr>
                <w:rFonts w:ascii="Arial" w:cs="Arial" w:eastAsia="Arial" w:hAnsi="Arial"/>
                <w:sz w:val="29"/>
                <w:szCs w:val="29"/>
                <w:color w:val="auto"/>
                <w:vertAlign w:val="superscript"/>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570,833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287,523</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287,523</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02/12/20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13,075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609,164</w:t>
            </w:r>
          </w:p>
        </w:tc>
      </w:tr>
      <w:tr>
        <w:trPr>
          <w:trHeight w:val="257"/>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1,245,437</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77,653</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77,653</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02/12/20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83,443</w:t>
            </w:r>
          </w:p>
        </w:tc>
      </w:tr>
      <w:tr>
        <w:trPr>
          <w:trHeight w:val="257"/>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170,615</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08/05/20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79,260</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154,167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70,888</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2,232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70,888</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02/12/20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63,176</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129,137</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08/05/20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79,260</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Ashish R. Bendre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47,250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12,609</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25,217</w:t>
            </w: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08/05/20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79,260</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Helmut D. Pirthauer</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96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92,033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96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03/11/20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56,565</w:t>
            </w:r>
          </w:p>
        </w:tc>
      </w:tr>
      <w:tr>
        <w:trPr>
          <w:trHeight w:val="390"/>
        </w:trPr>
        <w:tc>
          <w:tcPr>
            <w:tcW w:w="2960" w:type="dxa"/>
            <w:vAlign w:val="bottom"/>
            <w:gridSpan w:val="2"/>
          </w:tcPr>
          <w:p>
            <w:pPr>
              <w:ind w:left="200"/>
              <w:spacing w:after="0"/>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08/05/20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5" w:lineRule="exact"/>
        <w:rPr>
          <w:sz w:val="20"/>
          <w:szCs w:val="20"/>
          <w:color w:val="auto"/>
        </w:rPr>
      </w:pPr>
    </w:p>
    <w:p>
      <w:pPr>
        <w:ind w:left="660" w:right="40" w:hanging="652"/>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Compensation—Annual Cash Incentive Plan, the executive officers were eligible for a possible cash incentive award for 2020 pursuant to the Plan based on corporate performance. The table reflects the possible target incentive awards based on corporate performance. The target incentive is a percentage of the actual salary earned for the year and was set as follows: Mr. Warzala (75%), Mr. Leach (50%) and Mr. Maida (50%), Mr. Bendre (12.5%) and Mr. Pirthauer (30%) There is no maximum amount under the Plan. The actual amount earned by each Named Executive Officer in 2020 is reported under the Non-Equity Incentive Plan Compensation column in the Summary Compensation Table.</w:t>
      </w:r>
    </w:p>
    <w:p>
      <w:pPr>
        <w:spacing w:after="0" w:line="177" w:lineRule="exact"/>
        <w:rPr>
          <w:rFonts w:ascii="Arial" w:cs="Arial" w:eastAsia="Arial" w:hAnsi="Arial"/>
          <w:sz w:val="17"/>
          <w:szCs w:val="17"/>
          <w:color w:val="auto"/>
        </w:rPr>
      </w:pPr>
    </w:p>
    <w:p>
      <w:pPr>
        <w:ind w:left="660" w:right="20" w:hanging="652"/>
        <w:spacing w:after="0" w:line="30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further explained in Compensation Discussion and Analysis—Elements of Compensation—ROE Incentive Plan, Mr. Warzala was eligible for a possible cash incentive award for 2020 pursuant to the Plan based on the Company’s return on equity. The table reflects the maximum incentive award available, which is capped at an amount equal to Mr. Warzala’s base compensation for 2020. The Company did not achieve ROE Incentive Performance Target in 2020 and thus no incentive compensation was paid to Mr. Warzala with respect to the ROE Incentive Plan.</w:t>
      </w:r>
    </w:p>
    <w:p>
      <w:pPr>
        <w:spacing w:after="0" w:line="157" w:lineRule="exact"/>
        <w:rPr>
          <w:rFonts w:ascii="Arial" w:cs="Arial" w:eastAsia="Arial" w:hAnsi="Arial"/>
          <w:sz w:val="16"/>
          <w:szCs w:val="16"/>
          <w:color w:val="auto"/>
        </w:rPr>
      </w:pPr>
    </w:p>
    <w:p>
      <w:pPr>
        <w:ind w:left="660" w:right="1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Compensation—Equity Incentive Compensation, consists of Time-Based Awards that will vest in three equal annual installments beginning in April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right="20" w:hanging="652"/>
        <w:spacing w:after="0" w:line="29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2020. For 2020, the performance goals were fully achieved and 100% of the share award was earned for Mr. Warzala, Mr. Leach and Mr. Maida. Only a portion of the performance goals were achieved by Mr. Bendre and 38% of his share award was earned. The award vested one-third on April 1, 2021 with the remainder vesting one-third in each of 2022 and 2023, subject to continued employment.</w:t>
      </w:r>
    </w:p>
    <w:p>
      <w:pPr>
        <w:spacing w:after="0" w:line="161" w:lineRule="exact"/>
        <w:rPr>
          <w:rFonts w:ascii="Arial" w:cs="Arial" w:eastAsia="Arial" w:hAnsi="Arial"/>
          <w:sz w:val="16"/>
          <w:szCs w:val="16"/>
          <w:color w:val="auto"/>
        </w:rPr>
      </w:pPr>
    </w:p>
    <w:p>
      <w:pPr>
        <w:ind w:left="660" w:right="4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Compensation—Equity Incentive Compensation, consists of restricted stock awarded in connection with the Company’s Long-Term Incentive Plan for organic sales growth in 2019. The awards will vest two-thirds on April 1, 2021 and one-third on April 1, 2022.</w:t>
      </w:r>
    </w:p>
    <w:p>
      <w:pPr>
        <w:spacing w:after="0" w:line="183" w:lineRule="exact"/>
        <w:rPr>
          <w:rFonts w:ascii="Arial" w:cs="Arial" w:eastAsia="Arial" w:hAnsi="Arial"/>
          <w:sz w:val="18"/>
          <w:szCs w:val="18"/>
          <w:color w:val="auto"/>
        </w:rPr>
      </w:pPr>
    </w:p>
    <w:p>
      <w:pPr>
        <w:ind w:left="660" w:right="34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Compensation—Equity Incentive Compensation—LTIP above, certain executive officers were eligible for restricted stock incentive performance based equity awards based on achievement of longer term performance goals for 2022. All or a portion of the performance shares will be earned if the performance goal is met for any year in the period ending December 31, 2022. For 2020, a portion of the performance goal was met related to acquired sales growth and the share award amount earned vested 1/5 on March 11, 2021 and the remainder will vest 1/5 on each of March 7, 2022, 2023, 2024 and 2025 subject to continued employment.</w:t>
      </w:r>
    </w:p>
    <w:p>
      <w:pPr>
        <w:spacing w:after="0" w:line="19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Time-Based Awards that were granted in connection with the executive officer’s promotion in August 2020 that will vest in three equal annual installments beginning in September 2021.</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5"/>
          </w:tcPr>
          <w:p>
            <w:pPr>
              <w:jc w:val="right"/>
              <w:ind w:right="1740"/>
              <w:spacing w:after="0"/>
              <w:rPr>
                <w:sz w:val="20"/>
                <w:szCs w:val="20"/>
                <w:color w:val="auto"/>
              </w:rPr>
            </w:pPr>
            <w:r>
              <w:rPr>
                <w:rFonts w:ascii="Arial" w:cs="Arial" w:eastAsia="Arial" w:hAnsi="Arial"/>
                <w:sz w:val="18"/>
                <w:szCs w:val="18"/>
                <w:color w:val="auto"/>
              </w:rPr>
              <w:t>Stock Awards</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5"/>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1"/>
              </w:rPr>
              <w:t>Incentive Plan</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Awards: Market</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Equity Incentive Plan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Value or Payout</w:t>
            </w: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90"/>
              </w:rPr>
              <w:t>Number of Shares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Market Value of</w:t>
            </w: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Awards: Number of</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Value of Unearned</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93"/>
              </w:rPr>
              <w:t>or Units of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Shares or Units of</w:t>
            </w: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Unearned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Shares, Units or</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93"/>
              </w:rPr>
              <w:t>That Have Not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Stock That Have</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Units or Other Rights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Other Rights That</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85"/>
              </w:rPr>
              <w:t>Vested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Not Vested</w:t>
            </w: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That Have Not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Have Not Vested</w:t>
            </w:r>
          </w:p>
        </w:tc>
      </w:tr>
      <w:tr>
        <w:trPr>
          <w:trHeight w:val="26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w:t>
            </w: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2"/>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10"/>
              <w:spacing w:after="0" w:line="256" w:lineRule="exact"/>
              <w:rPr>
                <w:sz w:val="20"/>
                <w:szCs w:val="20"/>
                <w:color w:val="auto"/>
              </w:rPr>
            </w:pPr>
            <w:r>
              <w:rPr>
                <w:rFonts w:ascii="Arial" w:cs="Arial" w:eastAsia="Arial" w:hAnsi="Arial"/>
                <w:sz w:val="18"/>
                <w:szCs w:val="18"/>
                <w:color w:val="auto"/>
                <w:w w:val="84"/>
              </w:rPr>
              <w:t>Vested (#)</w:t>
            </w:r>
            <w:r>
              <w:rPr>
                <w:rFonts w:ascii="Arial" w:cs="Arial" w:eastAsia="Arial" w:hAnsi="Arial"/>
                <w:sz w:val="29"/>
                <w:szCs w:val="29"/>
                <w:color w:val="auto"/>
                <w:w w:val="84"/>
                <w:vertAlign w:val="superscript"/>
              </w:rPr>
              <w:t>(2)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2"/>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r>
      <w:tr>
        <w:trPr>
          <w:trHeight w:val="25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4,649,589</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1,484,557</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960" w:type="dxa"/>
            <w:vAlign w:val="bottom"/>
          </w:tcPr>
          <w:p>
            <w:pPr>
              <w:jc w:val="right"/>
              <w:spacing w:after="0"/>
              <w:rPr>
                <w:sz w:val="20"/>
                <w:szCs w:val="20"/>
                <w:color w:val="auto"/>
              </w:rPr>
            </w:pPr>
            <w:r>
              <w:rPr>
                <w:rFonts w:ascii="Arial" w:cs="Arial" w:eastAsia="Arial" w:hAnsi="Arial"/>
                <w:sz w:val="18"/>
                <w:szCs w:val="18"/>
                <w:color w:val="auto"/>
              </w:rPr>
              <w:t>16,678</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w w:val="97"/>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852,246</w:t>
            </w:r>
          </w:p>
        </w:tc>
        <w:tc>
          <w:tcPr>
            <w:tcW w:w="100" w:type="dxa"/>
            <w:vAlign w:val="bottom"/>
          </w:tcPr>
          <w:p>
            <w:pPr>
              <w:spacing w:after="0"/>
              <w:rPr>
                <w:sz w:val="22"/>
                <w:szCs w:val="22"/>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5,184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364,903</w:t>
            </w:r>
          </w:p>
        </w:tc>
      </w:tr>
      <w:tr>
        <w:trPr>
          <w:trHeight w:val="25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7"/>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756,995</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219,985</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Ashish R. Bendre</w:t>
            </w:r>
          </w:p>
        </w:tc>
        <w:tc>
          <w:tcPr>
            <w:tcW w:w="1960" w:type="dxa"/>
            <w:vAlign w:val="bottom"/>
          </w:tcPr>
          <w:p>
            <w:pPr>
              <w:jc w:val="right"/>
              <w:spacing w:after="0"/>
              <w:rPr>
                <w:sz w:val="20"/>
                <w:szCs w:val="20"/>
                <w:color w:val="auto"/>
              </w:rPr>
            </w:pPr>
            <w:r>
              <w:rPr>
                <w:rFonts w:ascii="Arial" w:cs="Arial" w:eastAsia="Arial" w:hAnsi="Arial"/>
                <w:sz w:val="18"/>
                <w:szCs w:val="18"/>
                <w:color w:val="auto"/>
              </w:rPr>
              <w:t>4,454</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w w:val="97"/>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227,599</w:t>
            </w:r>
          </w:p>
        </w:tc>
        <w:tc>
          <w:tcPr>
            <w:tcW w:w="100" w:type="dxa"/>
            <w:vAlign w:val="bottom"/>
          </w:tcPr>
          <w:p>
            <w:pPr>
              <w:spacing w:after="0"/>
              <w:rPr>
                <w:sz w:val="22"/>
                <w:szCs w:val="22"/>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794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40,573</w:t>
            </w:r>
          </w:p>
        </w:tc>
      </w:tr>
      <w:tr>
        <w:trPr>
          <w:trHeight w:val="257"/>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Helmut D. Pirthauer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7"/>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267,917</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$51.10 on December 31, 2020, as reported on the Nasdaq Global Market.</w:t>
      </w:r>
    </w:p>
    <w:p>
      <w:pPr>
        <w:spacing w:after="0" w:line="248" w:lineRule="exact"/>
        <w:rPr>
          <w:rFonts w:ascii="Arial" w:cs="Arial" w:eastAsia="Arial" w:hAnsi="Arial"/>
          <w:sz w:val="16"/>
          <w:szCs w:val="16"/>
          <w:color w:val="auto"/>
        </w:rPr>
      </w:pPr>
    </w:p>
    <w:p>
      <w:pPr>
        <w:ind w:left="660" w:right="120" w:hanging="652"/>
        <w:spacing w:after="0" w:line="29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Comprised of shares of restricted stock granted that are subject to future performance goals under the Company’s Long-Term Equity Incentive Program. All or a portion of the performance shares will be earned if the performance goal is met for any year in the period ending December 31, 2022. Also includes shares of restricted stock granted in 2020 that are subject to future performance goals under the Company’s Performance Share Plan. These shares were earned or forfeited based on achievement of performance goals for 2020 and the earned award vested one-third on April 1, 2021 with the remainder vesting one-third in each of 2022 and 2023, subject to continued employment.</w:t>
      </w:r>
    </w:p>
    <w:p>
      <w:pPr>
        <w:spacing w:after="0" w:line="161" w:lineRule="exact"/>
        <w:rPr>
          <w:rFonts w:ascii="Arial" w:cs="Arial" w:eastAsia="Arial" w:hAnsi="Arial"/>
          <w:sz w:val="16"/>
          <w:szCs w:val="16"/>
          <w:color w:val="auto"/>
        </w:rPr>
      </w:pPr>
    </w:p>
    <w:p>
      <w:pPr>
        <w:ind w:left="660" w:right="14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46,681 shares vest in 2021; 22,708 shares vest in 2022, 13,915 shares vest in 2023; 3,843 shares vest in 2024; and 3,843 shares vest in 2025, in each case subject to continued employment.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8,054 shares vest in 2021; 4,658 shares vest in 2022, 2,914 shares vest in 2023; 527 shares vest in 2024; and 525 shares vest in 2025, in each case subject to continued employment.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right="4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7,487 shares vest in 2021; 3,991 shares vest in 2022; 2,540 shares vest in 2023; 399 shares vest in 2024; and 397 shares vest in 2025, in each case subject to continued employment.</w:t>
      </w:r>
    </w:p>
    <w:p>
      <w:pPr>
        <w:spacing w:after="0" w:line="183" w:lineRule="exact"/>
        <w:rPr>
          <w:rFonts w:ascii="Arial" w:cs="Arial" w:eastAsia="Arial" w:hAnsi="Arial"/>
          <w:sz w:val="18"/>
          <w:szCs w:val="18"/>
          <w:color w:val="auto"/>
        </w:rPr>
      </w:pPr>
    </w:p>
    <w:p>
      <w:pPr>
        <w:jc w:val="both"/>
        <w:ind w:left="660" w:right="360" w:hanging="652"/>
        <w:spacing w:after="0" w:line="381"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Consists of time-based awards, including performance-based awards that were previously earned but remain subject to time-based vesting. Of these shares, 2,630 shares vest in 2021; 1,026 shares vest in 2022, and 798 shares vest in 2023, in each case subject to continued employment.</w:t>
      </w:r>
    </w:p>
    <w:p>
      <w:pPr>
        <w:spacing w:after="0" w:line="100" w:lineRule="exact"/>
        <w:rPr>
          <w:rFonts w:ascii="Arial" w:cs="Arial" w:eastAsia="Arial" w:hAnsi="Arial"/>
          <w:sz w:val="15"/>
          <w:szCs w:val="15"/>
          <w:color w:val="auto"/>
        </w:rPr>
      </w:pPr>
    </w:p>
    <w:p>
      <w:pPr>
        <w:ind w:left="660" w:right="98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these shares, 2,284 shares vest in 2021; 1,700 shares vest in 2022, and 1,259 shares vest in 2023, in each case subject to continued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2020</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regarding restricted stock awards that vested during 2020 for each of the Named Officers. No options were owned or exercised by the Named Officers in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380" w:type="dxa"/>
            <w:vAlign w:val="bottom"/>
            <w:gridSpan w:val="5"/>
          </w:tcPr>
          <w:p>
            <w:pPr>
              <w:ind w:left="300"/>
              <w:spacing w:after="0"/>
              <w:rPr>
                <w:sz w:val="20"/>
                <w:szCs w:val="20"/>
                <w:color w:val="auto"/>
              </w:rPr>
            </w:pPr>
            <w:r>
              <w:rPr>
                <w:rFonts w:ascii="Arial" w:cs="Arial" w:eastAsia="Arial" w:hAnsi="Arial"/>
                <w:sz w:val="18"/>
                <w:szCs w:val="18"/>
                <w:color w:val="auto"/>
              </w:rPr>
              <w:t>Stock Awards</w:t>
            </w:r>
          </w:p>
        </w:tc>
      </w:tr>
      <w:tr>
        <w:trPr>
          <w:trHeight w:val="195"/>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Borders>
              <w:top w:val="single" w:sz="8" w:color="auto"/>
            </w:tcBorders>
            <w:gridSpan w:val="3"/>
          </w:tcPr>
          <w:p>
            <w:pPr>
              <w:jc w:val="center"/>
              <w:ind w:right="220"/>
              <w:spacing w:after="0" w:line="195" w:lineRule="exact"/>
              <w:rPr>
                <w:sz w:val="20"/>
                <w:szCs w:val="20"/>
                <w:color w:val="auto"/>
              </w:rPr>
            </w:pPr>
            <w:r>
              <w:rPr>
                <w:rFonts w:ascii="Arial" w:cs="Arial" w:eastAsia="Arial" w:hAnsi="Arial"/>
                <w:sz w:val="18"/>
                <w:szCs w:val="18"/>
                <w:color w:val="auto"/>
                <w:w w:val="90"/>
              </w:rPr>
              <w:t>Number of Shares Acquired on</w:t>
            </w:r>
          </w:p>
        </w:tc>
        <w:tc>
          <w:tcPr>
            <w:tcW w:w="16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ind w:left="590"/>
              <w:spacing w:after="0"/>
              <w:rPr>
                <w:sz w:val="20"/>
                <w:szCs w:val="20"/>
                <w:color w:val="auto"/>
              </w:rPr>
            </w:pPr>
            <w:r>
              <w:rPr>
                <w:rFonts w:ascii="Arial" w:cs="Arial" w:eastAsia="Arial" w:hAnsi="Arial"/>
                <w:sz w:val="18"/>
                <w:szCs w:val="18"/>
                <w:color w:val="auto"/>
                <w:w w:val="89"/>
              </w:rPr>
              <w:t>Vesting</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ind w:left="80"/>
              <w:spacing w:after="0"/>
              <w:rPr>
                <w:sz w:val="20"/>
                <w:szCs w:val="20"/>
                <w:color w:val="auto"/>
              </w:rPr>
            </w:pPr>
            <w:r>
              <w:rPr>
                <w:rFonts w:ascii="Arial" w:cs="Arial" w:eastAsia="Arial" w:hAnsi="Arial"/>
                <w:sz w:val="18"/>
                <w:szCs w:val="18"/>
                <w:color w:val="auto"/>
              </w:rPr>
              <w:t>Value Realized on Vesting</w:t>
            </w:r>
          </w:p>
        </w:tc>
      </w:tr>
      <w:tr>
        <w:trPr>
          <w:trHeight w:val="230"/>
        </w:trPr>
        <w:tc>
          <w:tcPr>
            <w:tcW w:w="6200" w:type="dxa"/>
            <w:vAlign w:val="bottom"/>
            <w:gridSpan w:val="2"/>
          </w:tcPr>
          <w:p>
            <w:pPr>
              <w:ind w:left="2780"/>
              <w:spacing w:after="0"/>
              <w:rPr>
                <w:sz w:val="20"/>
                <w:szCs w:val="20"/>
                <w:color w:val="auto"/>
              </w:rPr>
            </w:pPr>
            <w:r>
              <w:rPr>
                <w:rFonts w:ascii="Arial" w:cs="Arial" w:eastAsia="Arial" w:hAnsi="Arial"/>
                <w:sz w:val="18"/>
                <w:szCs w:val="18"/>
                <w:color w:val="auto"/>
              </w:rPr>
              <w:t>Name</w:t>
            </w:r>
          </w:p>
        </w:tc>
        <w:tc>
          <w:tcPr>
            <w:tcW w:w="1660" w:type="dxa"/>
            <w:vAlign w:val="bottom"/>
          </w:tcPr>
          <w:p>
            <w:pPr>
              <w:jc w:val="center"/>
              <w:ind w:left="610"/>
              <w:spacing w:after="0"/>
              <w:rPr>
                <w:sz w:val="20"/>
                <w:szCs w:val="20"/>
                <w:color w:val="auto"/>
              </w:rPr>
            </w:pPr>
            <w:r>
              <w:rPr>
                <w:rFonts w:ascii="Arial" w:cs="Arial" w:eastAsia="Arial" w:hAnsi="Arial"/>
                <w:sz w:val="18"/>
                <w:szCs w:val="18"/>
                <w:color w:val="auto"/>
                <w:w w:val="90"/>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3"/>
              </w:rPr>
              <w:t>50,028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6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7,739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229,599</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221,013</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Ashish R. Bendre</w:t>
            </w:r>
          </w:p>
        </w:tc>
        <w:tc>
          <w:tcPr>
            <w:tcW w:w="16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1,830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80,161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Helmut D. Pirthauer</w:t>
            </w: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Richard 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Michael 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Robert P.</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Ashish 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Helmut D.</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Event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Warzala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Leach</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Maida</w:t>
            </w: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Bendre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Pirthauer</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Death:</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143,750</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86,250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78,750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142,687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 Compensation</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428,125</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154,167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Performance-Based Stock Awards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462,608</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124,940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114,055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Time-Based Equity Awards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4,649,589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852,246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267,917</w:t>
            </w: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5,684,072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1,103,967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410,604</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Disability:</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142,687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 Compensation</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428,125</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154,167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Performance-Based Stock Awards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462,608</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124,940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114,055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Time-Based Equity Awards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4,649,589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852,246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267,917</w:t>
            </w:r>
          </w:p>
        </w:tc>
      </w:tr>
      <w:tr>
        <w:trPr>
          <w:trHeight w:val="263"/>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6,690,322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1,147,186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1,025,217</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410,604</w:t>
            </w:r>
          </w:p>
        </w:tc>
        <w:tc>
          <w:tcPr>
            <w:tcW w:w="100" w:type="dxa"/>
            <w:vAlign w:val="bottom"/>
            <w:tcBorders>
              <w:bottom w:val="single" w:sz="8" w:color="CCEEFF"/>
            </w:tcBorders>
          </w:tcPr>
          <w:p>
            <w:pPr>
              <w:spacing w:after="0"/>
              <w:rPr>
                <w:sz w:val="22"/>
                <w:szCs w:val="22"/>
                <w:color w:val="auto"/>
              </w:rPr>
            </w:pPr>
          </w:p>
        </w:tc>
      </w:tr>
      <w:tr>
        <w:trPr>
          <w:trHeight w:val="151"/>
        </w:trPr>
        <w:tc>
          <w:tcPr>
            <w:tcW w:w="394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Voluntary Resignation without Good Reason or</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for Cause:</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No payments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N/A</w:t>
            </w:r>
          </w:p>
        </w:tc>
      </w:tr>
      <w:tr>
        <w:trPr>
          <w:trHeight w:val="198"/>
        </w:trPr>
        <w:tc>
          <w:tcPr>
            <w:tcW w:w="3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Voluntary Resignation with Good Reason or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Involuntary Termination Without Cause:</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575,000</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345,000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315,000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428,060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 Compensation</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Performance-Based Stock Awards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462,608</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124,940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114,055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Time-Based Equity Awards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4,649,589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852,246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Healthcare and other Insurance Benefits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6,249,697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27</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Richard 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Michael 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Robert P.</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Ashish 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Helmut D.</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Event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Warzala</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Leach</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Maida</w:t>
            </w: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Bendre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Pirthauer</w:t>
            </w:r>
          </w:p>
        </w:tc>
      </w:tr>
      <w:tr>
        <w:trPr>
          <w:trHeight w:val="191"/>
        </w:trPr>
        <w:tc>
          <w:tcPr>
            <w:tcW w:w="39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Voluntary Resignation with Good Reason or</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Involuntary Termination Without Cause within 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days prior to or 24 months following a change 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control:</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3,446,508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647,602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578,535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445,309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428,060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 Compensation</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373,269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154,167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Performance-Based Stock Awards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462,608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124,940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114,055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Time-Based Equity Awards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4,649,589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852,246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Healthcare and other Insurance Benefits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287,500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172,500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157,500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189,000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9,219,474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1,761,252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section below for descriptions of terms used.</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 employment agreement with Messrs. Warzala, Leach, Maida and Bendre, if the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terminates as a result of retirement upon attaining age 65 years of age and 10 years of continual employment (or on or after January 2, 2023 for Mr.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time only (“Time-Based Awards”) or PSP and LTIP awards that vest on the basis of performance criteria (“Performance-Based Awards”) that have been earned but are still subject to time-based vesting outstanding on the date of retirement. At December 31, 2020, no Named Executive Officer was eligible for retirement under the terms of his respective employment agreement.</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Payments upon Death</w:t>
      </w:r>
      <w:r>
        <w:rPr>
          <w:rFonts w:ascii="Arial" w:cs="Arial" w:eastAsia="Arial" w:hAnsi="Arial"/>
          <w:sz w:val="18"/>
          <w:szCs w:val="18"/>
          <w:color w:val="auto"/>
        </w:rPr>
        <w:t>. Under the terms of the employment agreements with Messrs. Warzala, Leach, Maida and Bendre, in the event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Time Based Awards and Performance-Based Awards that have been earned but are still subject to time-based vesting, and prorated vesting of his unearned Performance-Based Awards. Under the terms of Mr. Pirthauer’s employment agreement, he is entitled to salary continuation to the end of the end of the month containing the date of death and for six subsequent months. In addition, pursuant to the award agreement under the 2017 Omnibus Incentive Plan, Mr. Pirthauer will receive immediate vesting of all of his outstanding Time Based Awards.</w:t>
      </w:r>
    </w:p>
    <w:p>
      <w:pPr>
        <w:spacing w:after="0" w:line="19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Payments upon Disability</w:t>
      </w:r>
      <w:r>
        <w:rPr>
          <w:rFonts w:ascii="Arial" w:cs="Arial" w:eastAsia="Arial" w:hAnsi="Arial"/>
          <w:sz w:val="16"/>
          <w:szCs w:val="16"/>
          <w:color w:val="auto"/>
        </w:rPr>
        <w:t>. Under the terms of Mr. Warzala’s employment agreement, in the case of disability, salary is continued until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the employment agreement, as adjusted for any compensation payable under any Company paid disability plan, or until long-term disability insurance becomes effective. Benefits are continued as generally provided by the Company to its employees in accordance with the Company’s disability plan. Under the terms of the employment agreements with Messrs. Leach, Maida and Bendre, the executive is entitled to the benefits under any disability insurance policies maintained by the Company for the benefit of the executive. In addition, Messrs. Warzala, Leach, Maida and Bendre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Time Based Awards.</w:t>
      </w:r>
    </w:p>
    <w:p>
      <w:pPr>
        <w:spacing w:after="0" w:line="16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Payments upon Voluntary Resignation without Good Reason or Involuntary Termination with Cause</w:t>
      </w:r>
      <w:r>
        <w:rPr>
          <w:rFonts w:ascii="Arial" w:cs="Arial" w:eastAsia="Arial" w:hAnsi="Arial"/>
          <w:sz w:val="18"/>
          <w:szCs w:val="18"/>
          <w:color w:val="auto"/>
        </w:rPr>
        <w:t>. A Named Executive Officer is not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any additional forms of severance payments or benefits upon his voluntary decision to terminate employment with the Company prior to being eligible for retirement or upon termination for cause.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Payments upon Voluntary Resignation with Good Reason or Involuntary Termination Without Cause</w:t>
      </w:r>
      <w:r>
        <w:rPr>
          <w:rFonts w:ascii="Arial" w:cs="Arial" w:eastAsia="Arial" w:hAnsi="Arial"/>
          <w:sz w:val="17"/>
          <w:szCs w:val="17"/>
          <w:color w:val="auto"/>
        </w:rPr>
        <w:t>. Under the terms of Mr. Warzala’s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if he is involuntarily terminated without cause or he terminates his employment for good reason, the employment agreement entitles him to: (i) 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Time-Based Awards and Performance-Based Awards that have been earned but are still subject to time-based vesting and, prorated vesting of his unearned Performance-Based Awards.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60" w:firstLine="648"/>
        <w:spacing w:after="0" w:line="257" w:lineRule="auto"/>
        <w:rPr>
          <w:sz w:val="20"/>
          <w:szCs w:val="20"/>
          <w:color w:val="auto"/>
        </w:rPr>
      </w:pPr>
      <w:r>
        <w:rPr>
          <w:rFonts w:ascii="Arial" w:cs="Arial" w:eastAsia="Arial" w:hAnsi="Arial"/>
          <w:sz w:val="18"/>
          <w:szCs w:val="18"/>
          <w:color w:val="auto"/>
        </w:rPr>
        <w:t>Under the terms of the employment agreements with Messrs. Leach, Maida and Bendre,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Time-Based Awards and Performance-Based Awards that have been earned but are still subject to time-based vesting, and prorated vesting of his unearned Performance-Based Awards.</w:t>
      </w:r>
    </w:p>
    <w:p>
      <w:pPr>
        <w:spacing w:after="0" w:line="18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18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Voluntary Resignation with Good Reason or Involuntary Termination Without Cause within 90 days prior to or 24 months following a change in control</w:t>
      </w:r>
      <w:r>
        <w:rPr>
          <w:rFonts w:ascii="Arial" w:cs="Arial" w:eastAsia="Arial" w:hAnsi="Arial"/>
          <w:sz w:val="17"/>
          <w:szCs w:val="17"/>
          <w:color w:val="auto"/>
        </w:rPr>
        <w:t>. Mr. Warzala’s change in control agreement and Messrs. Leach, Maida and Bendre’s employment agreements provide for certain payments upon</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of employment resulting within 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Under the terms of Mr. Warzala’s change in control agreement, he is entitled to (i) a severance payment equal to 2.5 times his annual Base Salary plus the highest amount paid or payable pursuant to the Annual Cash Incentive plan applicable to the executive for any of the 3 prior fiscal years; (ii) a benefit payment equal to 25% of annual salary for 24 months to purchase healthcare and other insurance benefits; (iii) payment of all legal fees and expenses incurred as a result of termination; and (iv) a prorata payment for the current year benefit pursuant to any annual or long-term incentive plan applicable to the executive for the year that includes the Date of Termination.</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terms of the employment agreements with Messrs. Leach, Maida and Bendre, the executive is entitled to (i) a cash payment equal to 100% of the executive’s then current Base Salary plus the target Annual Cash Incentive for the year of termination (or if greater, the year immediately preceding the year in which the Change in Control occurred); (ii) an additional amount equal to the executive’s target Annual Cash Incentive for the year of termination; (iii) a benefit payment equal to 25% of annual salary for 24 months to purchase healthcare and other insurance benefits; and (iv) immediate vesting of all of his outstanding Time-Based Awards and Performance-Based Awards that have been earned but are still subject to time-based vesting, and prorated vesting of his unearned Performance-Based Awards.</w:t>
      </w:r>
    </w:p>
    <w:p>
      <w:pPr>
        <w:spacing w:after="0" w:line="192"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means an amount equal to the annual base salary in effect immediately prior to the Notice of Termination.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ind w:right="20" w:firstLine="648"/>
        <w:spacing w:after="0" w:line="255" w:lineRule="auto"/>
        <w:rPr>
          <w:sz w:val="20"/>
          <w:szCs w:val="20"/>
          <w:color w:val="auto"/>
        </w:rPr>
      </w:pPr>
      <w:r>
        <w:rPr>
          <w:rFonts w:ascii="Arial" w:cs="Arial" w:eastAsia="Arial" w:hAnsi="Arial"/>
          <w:sz w:val="18"/>
          <w:szCs w:val="18"/>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9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w:t>
      </w:r>
    </w:p>
    <w:p>
      <w:pPr>
        <w:spacing w:after="0" w:line="6" w:lineRule="exact"/>
        <w:rPr>
          <w:sz w:val="20"/>
          <w:szCs w:val="20"/>
          <w:color w:val="auto"/>
        </w:rPr>
      </w:pPr>
    </w:p>
    <w:p>
      <w:pPr>
        <w:jc w:val="both"/>
        <w:ind w:firstLine="8"/>
        <w:spacing w:after="0" w:line="271" w:lineRule="auto"/>
        <w:tabs>
          <w:tab w:leader="none" w:pos="3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has entered into an employment agreement with each of the Company’s executive officers. See “Potential Payments Upon Termination or Change in Control”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 Policies and Procedures.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Corporate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jc w:val="both"/>
        <w:ind w:right="720" w:firstLine="648"/>
        <w:spacing w:after="0" w:line="263" w:lineRule="auto"/>
        <w:rPr>
          <w:sz w:val="20"/>
          <w:szCs w:val="20"/>
          <w:color w:val="auto"/>
        </w:rPr>
      </w:pPr>
      <w:r>
        <w:rPr>
          <w:rFonts w:ascii="Arial" w:cs="Arial" w:eastAsia="Arial" w:hAnsi="Arial"/>
          <w:sz w:val="18"/>
          <w:szCs w:val="18"/>
          <w:color w:val="auto"/>
        </w:rPr>
        <w:t>To the best of our knowledge, no person or group (as those terms are used in Section 13(d)(3) of the Securities Exchange Act of 1934, as amended) beneficially owned, as of March 10, 2021, more than five percent of the shares of Common Stock outstanding, except as set forth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Amount of Common Stock</w:t>
            </w:r>
          </w:p>
        </w:tc>
        <w:tc>
          <w:tcPr>
            <w:tcW w:w="1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56"/>
        </w:trPr>
        <w:tc>
          <w:tcPr>
            <w:tcW w:w="7480" w:type="dxa"/>
            <w:vAlign w:val="bottom"/>
          </w:tcPr>
          <w:p>
            <w:pPr>
              <w:spacing w:after="0"/>
              <w:rPr>
                <w:sz w:val="20"/>
                <w:szCs w:val="20"/>
                <w:color w:val="auto"/>
              </w:rPr>
            </w:pPr>
            <w:r>
              <w:rPr>
                <w:rFonts w:ascii="Arial" w:cs="Arial" w:eastAsia="Arial" w:hAnsi="Arial"/>
                <w:sz w:val="18"/>
                <w:szCs w:val="18"/>
                <w:color w:val="auto"/>
              </w:rPr>
              <w:t>Name and Address of Beneficial Owner</w:t>
            </w:r>
          </w:p>
        </w:tc>
        <w:tc>
          <w:tcPr>
            <w:tcW w:w="100" w:type="dxa"/>
            <w:vAlign w:val="bottom"/>
          </w:tcPr>
          <w:p>
            <w:pPr>
              <w:spacing w:after="0"/>
              <w:rPr>
                <w:sz w:val="22"/>
                <w:szCs w:val="22"/>
                <w:color w:val="auto"/>
              </w:rPr>
            </w:pPr>
          </w:p>
        </w:tc>
        <w:tc>
          <w:tcPr>
            <w:tcW w:w="1940" w:type="dxa"/>
            <w:vAlign w:val="bottom"/>
          </w:tcPr>
          <w:p>
            <w:pPr>
              <w:jc w:val="right"/>
              <w:ind w:right="151"/>
              <w:spacing w:after="0"/>
              <w:rPr>
                <w:sz w:val="20"/>
                <w:szCs w:val="20"/>
                <w:color w:val="auto"/>
              </w:rPr>
            </w:pPr>
            <w:r>
              <w:rPr>
                <w:rFonts w:ascii="Arial" w:cs="Arial" w:eastAsia="Arial" w:hAnsi="Arial"/>
                <w:sz w:val="18"/>
                <w:szCs w:val="18"/>
                <w:color w:val="auto"/>
              </w:rPr>
              <w:t>Beneficially Owned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w w:val="87"/>
              </w:rPr>
              <w:t xml:space="preserve">Common Stock </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7"/>
        </w:trPr>
        <w:tc>
          <w:tcPr>
            <w:tcW w:w="74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00" w:type="dxa"/>
            <w:vAlign w:val="bottom"/>
            <w:vMerge w:val="continue"/>
            <w:shd w:val="clear" w:color="auto" w:fill="CCEEFF"/>
          </w:tcPr>
          <w:p>
            <w:pPr>
              <w:spacing w:after="0"/>
              <w:rPr>
                <w:sz w:val="22"/>
                <w:szCs w:val="22"/>
                <w:color w:val="auto"/>
              </w:rPr>
            </w:pPr>
          </w:p>
        </w:tc>
        <w:tc>
          <w:tcPr>
            <w:tcW w:w="19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 xml:space="preserve">982,502 </w:t>
            </w:r>
            <w:r>
              <w:rPr>
                <w:rFonts w:ascii="Arial" w:cs="Arial" w:eastAsia="Arial" w:hAnsi="Arial"/>
                <w:sz w:val="29"/>
                <w:szCs w:val="29"/>
                <w:color w:val="auto"/>
                <w:vertAlign w:val="superscript"/>
              </w:rPr>
              <w:t>(2)</w:t>
            </w:r>
          </w:p>
        </w:tc>
        <w:tc>
          <w:tcPr>
            <w:tcW w:w="1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 Commerce Drive, Suite 3</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Amherst, NY 14228</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480" w:type="dxa"/>
            <w:vAlign w:val="bottom"/>
          </w:tcPr>
          <w:p>
            <w:pPr>
              <w:spacing w:after="0"/>
              <w:rPr>
                <w:sz w:val="20"/>
                <w:szCs w:val="20"/>
                <w:color w:val="auto"/>
              </w:rPr>
            </w:pPr>
            <w:r>
              <w:rPr>
                <w:rFonts w:ascii="Arial" w:cs="Arial" w:eastAsia="Arial" w:hAnsi="Arial"/>
                <w:sz w:val="18"/>
                <w:szCs w:val="18"/>
                <w:color w:val="auto"/>
              </w:rPr>
              <w:t>BlackRock, Inc.</w:t>
            </w:r>
          </w:p>
        </w:tc>
        <w:tc>
          <w:tcPr>
            <w:tcW w:w="100" w:type="dxa"/>
            <w:vAlign w:val="bottom"/>
          </w:tcPr>
          <w:p>
            <w:pPr>
              <w:spacing w:after="0"/>
              <w:rPr>
                <w:sz w:val="21"/>
                <w:szCs w:val="21"/>
                <w:color w:val="auto"/>
              </w:rPr>
            </w:pPr>
          </w:p>
        </w:tc>
        <w:tc>
          <w:tcPr>
            <w:tcW w:w="2060" w:type="dxa"/>
            <w:vAlign w:val="bottom"/>
            <w:gridSpan w:val="2"/>
          </w:tcPr>
          <w:p>
            <w:pPr>
              <w:jc w:val="right"/>
              <w:ind w:right="120"/>
              <w:spacing w:after="0" w:line="242" w:lineRule="exact"/>
              <w:rPr>
                <w:sz w:val="20"/>
                <w:szCs w:val="20"/>
                <w:color w:val="auto"/>
              </w:rPr>
            </w:pPr>
            <w:r>
              <w:rPr>
                <w:rFonts w:ascii="Arial" w:cs="Arial" w:eastAsia="Arial" w:hAnsi="Arial"/>
                <w:sz w:val="17"/>
                <w:szCs w:val="17"/>
                <w:color w:val="auto"/>
              </w:rPr>
              <w:t xml:space="preserve">525,381 </w:t>
            </w:r>
            <w:r>
              <w:rPr>
                <w:rFonts w:ascii="Arial" w:cs="Arial" w:eastAsia="Arial" w:hAnsi="Arial"/>
                <w:sz w:val="28"/>
                <w:szCs w:val="28"/>
                <w:color w:val="auto"/>
                <w:vertAlign w:val="superscript"/>
              </w:rPr>
              <w:t>(3)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55 East 52nd Street</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New York, NY 10055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percentages are based upon 9,772,519 shares of Common Stock outstanding as of the Record Date.</w:t>
      </w:r>
    </w:p>
    <w:p>
      <w:pPr>
        <w:spacing w:after="0" w:line="225" w:lineRule="exact"/>
        <w:rPr>
          <w:rFonts w:ascii="Arial" w:cs="Arial" w:eastAsia="Arial" w:hAnsi="Arial"/>
          <w:sz w:val="18"/>
          <w:szCs w:val="18"/>
          <w:color w:val="auto"/>
        </w:rPr>
      </w:pPr>
    </w:p>
    <w:p>
      <w:pPr>
        <w:ind w:left="660" w:right="420" w:hanging="652"/>
        <w:spacing w:after="0" w:line="31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114,022 shares of Common Stock granted as incentive restricted shares under the Company’s stock incentive plans that have not yet vested and 16,321 shares of Common Stock credited to the Company’s Employee Stock Ownership Plan (“ESOP”) account of Mr. Warzala. Except as set forth in this note (2), does not include shares held by the ESOP as to which Mr. Warzala serves as one of four trustees.</w:t>
      </w:r>
    </w:p>
    <w:p>
      <w:pPr>
        <w:spacing w:after="0" w:line="148" w:lineRule="exact"/>
        <w:rPr>
          <w:rFonts w:ascii="Arial" w:cs="Arial" w:eastAsia="Arial" w:hAnsi="Arial"/>
          <w:sz w:val="16"/>
          <w:szCs w:val="16"/>
          <w:color w:val="auto"/>
        </w:rPr>
      </w:pPr>
    </w:p>
    <w:p>
      <w:pPr>
        <w:ind w:left="660" w:right="60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upon a Statement on Schedule 13G filed with the SEC that indicated that BlackRock, Inc. has sole dispositive power with respect to 525,381 shares of Common Stock and sole voting power with respect to 521,941 shares of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159"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certain information available to the Company with respect to shares of Common Stock owned by each director, each nominee for director, each executive officer and all directors, nominees and executive officers as a group, as March 10,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color w:val="auto"/>
              </w:rPr>
              <w:t>Amount and Nature of Beneficial Ownership</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Percentage of</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90"/>
              </w:rPr>
              <w:t>Unvested Restricted</w:t>
            </w:r>
          </w:p>
        </w:tc>
        <w:tc>
          <w:tcPr>
            <w:tcW w:w="100" w:type="dxa"/>
            <w:vAlign w:val="bottom"/>
          </w:tcPr>
          <w:p>
            <w:pPr>
              <w:spacing w:after="0"/>
              <w:rPr>
                <w:sz w:val="17"/>
                <w:szCs w:val="17"/>
                <w:color w:val="auto"/>
              </w:rPr>
            </w:pPr>
          </w:p>
        </w:tc>
        <w:tc>
          <w:tcPr>
            <w:tcW w:w="13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Common Stock</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Stock</w:t>
            </w:r>
          </w:p>
        </w:tc>
        <w:tc>
          <w:tcPr>
            <w:tcW w:w="178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Beneficial Ownership</w:t>
            </w:r>
          </w:p>
        </w:tc>
        <w:tc>
          <w:tcPr>
            <w:tcW w:w="100" w:type="dxa"/>
            <w:vAlign w:val="bottom"/>
          </w:tcPr>
          <w:p>
            <w:pPr>
              <w:spacing w:after="0"/>
              <w:rPr>
                <w:sz w:val="24"/>
                <w:szCs w:val="24"/>
                <w:color w:val="auto"/>
              </w:rPr>
            </w:pPr>
          </w:p>
        </w:tc>
        <w:tc>
          <w:tcPr>
            <w:tcW w:w="150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w w:val="87"/>
              </w:rPr>
              <w:t xml:space="preserve">Common Stock </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03"/>
        </w:trPr>
        <w:tc>
          <w:tcPr>
            <w:tcW w:w="470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Ashish R. Bendre</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25,251</w:t>
            </w: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30,499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Arial" w:cs="Arial" w:eastAsia="Arial" w:hAnsi="Arial"/>
                <w:sz w:val="18"/>
                <w:szCs w:val="18"/>
                <w:color w:val="auto"/>
              </w:rPr>
              <w:t>Linda P. Duch</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3,613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4,113</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B. Engel</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13,731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Arial" w:cs="Arial" w:eastAsia="Arial" w:hAnsi="Arial"/>
                <w:sz w:val="18"/>
                <w:szCs w:val="18"/>
                <w:color w:val="auto"/>
              </w:rPr>
              <w:t>Richard D. Federico</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41,535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42,223</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Steven C. Finch</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tcPr>
          <w:p>
            <w:pPr>
              <w:spacing w:after="0"/>
              <w:rPr>
                <w:sz w:val="20"/>
                <w:szCs w:val="20"/>
                <w:color w:val="auto"/>
              </w:rPr>
            </w:pPr>
            <w:r>
              <w:rPr>
                <w:rFonts w:ascii="Arial" w:cs="Arial" w:eastAsia="Arial" w:hAnsi="Arial"/>
                <w:sz w:val="18"/>
                <w:szCs w:val="18"/>
                <w:color w:val="auto"/>
              </w:rPr>
              <w:t>Gerald J. (Bud) Laber</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39,908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40,408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(3)</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tcPr>
          <w:p>
            <w:pPr>
              <w:spacing w:after="0"/>
              <w:rPr>
                <w:sz w:val="20"/>
                <w:szCs w:val="20"/>
                <w:color w:val="auto"/>
              </w:rPr>
            </w:pPr>
            <w:r>
              <w:rPr>
                <w:rFonts w:ascii="Arial" w:cs="Arial" w:eastAsia="Arial" w:hAnsi="Arial"/>
                <w:sz w:val="18"/>
                <w:szCs w:val="18"/>
                <w:color w:val="auto"/>
              </w:rPr>
              <w:t>Robert P. Maida</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48,027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18,487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66,514</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Helmut D. Pirthauer</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5,243</w:t>
            </w:r>
          </w:p>
        </w:tc>
        <w:tc>
          <w:tcPr>
            <w:tcW w:w="1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26,348</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tcPr>
          <w:p>
            <w:pPr>
              <w:spacing w:after="0"/>
              <w:rPr>
                <w:sz w:val="20"/>
                <w:szCs w:val="20"/>
                <w:color w:val="auto"/>
              </w:rPr>
            </w:pPr>
            <w:r>
              <w:rPr>
                <w:rFonts w:ascii="Arial" w:cs="Arial" w:eastAsia="Arial" w:hAnsi="Arial"/>
                <w:sz w:val="18"/>
                <w:szCs w:val="18"/>
                <w:color w:val="auto"/>
              </w:rPr>
              <w:t>Geoffery C. Rondeau</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3,543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4,536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8,079</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(5)</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18,147</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Arial" w:cs="Arial" w:eastAsia="Arial" w:hAnsi="Arial"/>
                <w:sz w:val="18"/>
                <w:szCs w:val="18"/>
                <w:color w:val="auto"/>
              </w:rPr>
              <w:t>Nicole R. Tzetzo</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868,480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982,502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(6)</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Arial" w:cs="Arial" w:eastAsia="Arial" w:hAnsi="Arial"/>
                <w:sz w:val="18"/>
                <w:szCs w:val="18"/>
                <w:color w:val="auto"/>
              </w:rPr>
              <w:t>Michael R. Winter</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17,622</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18,122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430,103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430,103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820" w:type="dxa"/>
            <w:vAlign w:val="bottom"/>
            <w:gridSpan w:val="4"/>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1,529,275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172,101</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1,701,376</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428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Less than 1.0%.</w:t>
            </w:r>
          </w:p>
        </w:tc>
        <w:tc>
          <w:tcPr>
            <w:tcW w:w="200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percentages are based upon 9,772,519 shares of Common Stock outstanding as of the Record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12,000 shares of Common Stock held by Mr. Laber’s 401k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1,036 shares of Common Stock credited to the ESOP account of Mr. Leach.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2,699 shares of Common Stock credited to the ESOP account of Mr. Maida.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1,045 shares of Common Stock credited to the ESOP account of Mr. Rondeau.</w:t>
      </w:r>
    </w:p>
    <w:p>
      <w:pPr>
        <w:spacing w:after="0" w:line="225" w:lineRule="exact"/>
        <w:rPr>
          <w:rFonts w:ascii="Arial" w:cs="Arial" w:eastAsia="Arial" w:hAnsi="Arial"/>
          <w:sz w:val="18"/>
          <w:szCs w:val="18"/>
          <w:color w:val="auto"/>
        </w:rPr>
      </w:pPr>
    </w:p>
    <w:p>
      <w:pPr>
        <w:ind w:left="660" w:right="34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114,022 shares of Common Stock granted as incentive restricted shares under the Company’s stock incentive plans that have not yet vested and 16,321 shares of Common Stock credited to the ESOP account of Mr. Warzala. Except as set forth in this note (2), does not include shares held by the ESOP as to which Mr. Warzala serves as one of four trustees.</w:t>
      </w:r>
    </w:p>
    <w:p>
      <w:pPr>
        <w:spacing w:after="0" w:line="183" w:lineRule="exact"/>
        <w:rPr>
          <w:rFonts w:ascii="Arial" w:cs="Arial" w:eastAsia="Arial" w:hAnsi="Arial"/>
          <w:sz w:val="18"/>
          <w:szCs w:val="18"/>
          <w:color w:val="auto"/>
        </w:rPr>
      </w:pPr>
    </w:p>
    <w:p>
      <w:pPr>
        <w:ind w:left="660" w:right="40" w:hanging="652"/>
        <w:spacing w:after="0" w:line="28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Messrs. Warzala and Leach are trustees of the ESOP and could be deemed to have shared investment power over those shares. The ESOP holds an aggregate of 430,143 shares of Common Stock, including 1,036 shares credited to the ESOP account of Mr. Leach, 2,699 shares credited to the ESOP account of Mr. Maida, 1,045 shares credited to the ESOP account of Mr. Rondeau and 16,321 shares credited to the ESOP account of</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Mr. Warzala, previously reported in this table.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2020 with the exception of certain filings to report (i) the withholding of shares to pay taxes upon the vesting of restricted stock awards to two executive officers, (ii) the acquisition of shares by one executive officer and one director pursuant to a broker-administered dividend reinvestment program and</w:t>
      </w:r>
    </w:p>
    <w:p>
      <w:pPr>
        <w:spacing w:after="0" w:line="2" w:lineRule="exact"/>
        <w:rPr>
          <w:sz w:val="20"/>
          <w:szCs w:val="20"/>
          <w:color w:val="auto"/>
        </w:rPr>
      </w:pPr>
    </w:p>
    <w:p>
      <w:pPr>
        <w:ind w:right="220" w:firstLine="8"/>
        <w:spacing w:after="0" w:line="260"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grant of restricted stock awards to three executive officers upon being promoted as executive officers due to a delay in receiving EDGAR access codes.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14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2020 prior to year-end and all Charter tasks scheduled to be performed in 2021 prior to the filing of this proxy statement. Our work included, among other procedures:</w:t>
      </w:r>
    </w:p>
    <w:p>
      <w:pPr>
        <w:spacing w:after="0" w:line="165" w:lineRule="exact"/>
        <w:rPr>
          <w:sz w:val="20"/>
          <w:szCs w:val="20"/>
          <w:color w:val="auto"/>
        </w:rPr>
      </w:pPr>
    </w:p>
    <w:p>
      <w:pPr>
        <w:ind w:left="1400" w:hanging="744"/>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240" w:firstLine="656"/>
        <w:spacing w:after="0" w:line="277" w:lineRule="auto"/>
        <w:tabs>
          <w:tab w:leader="none" w:pos="13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Auditing Standards</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No. 1301, “Communications with Audit Committees.” We received the written disclosures from the independent auditors required by PCAOB Rule 3526, “Communication with Audit Committees Concerning Independence.”</w:t>
      </w:r>
    </w:p>
    <w:p>
      <w:pPr>
        <w:spacing w:after="0" w:line="185" w:lineRule="exact"/>
        <w:rPr>
          <w:sz w:val="20"/>
          <w:szCs w:val="20"/>
          <w:color w:val="auto"/>
        </w:rPr>
      </w:pPr>
    </w:p>
    <w:p>
      <w:pPr>
        <w:ind w:right="340" w:firstLine="656"/>
        <w:spacing w:after="0" w:line="277" w:lineRule="auto"/>
        <w:tabs>
          <w:tab w:leader="none" w:pos="13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2020, audited financial statements, the related audit report, and the applicable management’s discussion and analysis.</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2020, for filing with the SEC.</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R. Winter, Chairman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B. Engel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Tanous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Permitted Non-Audit Services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full Audit Committee.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Auditor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fees for the audit and other services provided by Deloitte &amp; Touche LLP for 2020 and 2019.</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7"/>
        </w:trPr>
        <w:tc>
          <w:tcPr>
            <w:tcW w:w="38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1,011,836</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1,163,000</w:t>
            </w:r>
          </w:p>
        </w:tc>
        <w:tc>
          <w:tcPr>
            <w:tcW w:w="60" w:type="dxa"/>
            <w:vAlign w:val="bottom"/>
            <w:shd w:val="clear" w:color="auto" w:fill="CCEEFF"/>
          </w:tcPr>
          <w:p>
            <w:pPr>
              <w:spacing w:after="0"/>
              <w:rPr>
                <w:sz w:val="20"/>
                <w:szCs w:val="20"/>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81,000</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64,000</w:t>
            </w:r>
          </w:p>
        </w:tc>
        <w:tc>
          <w:tcPr>
            <w:tcW w:w="60" w:type="dxa"/>
            <w:vAlign w:val="bottom"/>
            <w:shd w:val="clear" w:color="auto" w:fill="CCEEFF"/>
          </w:tcPr>
          <w:p>
            <w:pPr>
              <w:spacing w:after="0"/>
              <w:rPr>
                <w:sz w:val="22"/>
                <w:szCs w:val="22"/>
                <w:color w:val="auto"/>
              </w:rPr>
            </w:pPr>
          </w:p>
        </w:tc>
      </w:tr>
      <w:tr>
        <w:trPr>
          <w:trHeight w:val="216"/>
        </w:trPr>
        <w:tc>
          <w:tcPr>
            <w:tcW w:w="3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1,092,836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1,227,000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1300" w:right="18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consists of fees for tax consulting services.</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Deloitte &amp; Touche LLP’s independence.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management does not know of any other matters to come before the 2021 Annual Meeting. However, if any other matters come before the Annual Meeting, it is the intention of the persons designated as proxies to vote in accordance with their judgment on such matters.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2022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2022 Annual Meeting of Shareholders must submit such proposal to the Company at its office at 495 Commerce Drive, Suite 3, Amherst, New York 14228, Attention: Secretary, no later than December 7, 2021, in order to be considered for inclusion, if appropriate, in the Company’s proxy statement and form of proxy relating to its 2022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For any shareholder proposal to be presented in connection with the 2022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a meeting date of May 5, 2021 for the 2021 Annual Meeting of Shareholders, a qualified shareholder intending to introduce a proposal or nominate a director at the 2022 Annual Meeting of Shareholders should give written notice to the Company’s Secretary not later than March 6, 2022 and not earlier than February 4, 2022.</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Such requests and any shareholder proposals should be sent to the Secretary of the Company at Allied Motion Technologies Inc., 495 Commerce Drive, Suite 3, Amherst, New York 14228.</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362710" cy="6000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627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7, 2021</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495 Commerce Drive, Suite 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Amherst, New York 14228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5, 2021, and at all adjournments thereof, and directs that the shares represented by this proxy should be voted as indicated on the reverse: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the reverse side.)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9" w:name="page40"/>
    <w:bookmarkEnd w:id="39"/>
    <w:p>
      <w:pPr>
        <w:jc w:val="center"/>
        <w:ind w:right="-299"/>
        <w:spacing w:after="0"/>
        <w:rPr>
          <w:sz w:val="20"/>
          <w:szCs w:val="20"/>
          <w:color w:val="auto"/>
        </w:rPr>
      </w:pPr>
      <w:r>
        <w:rPr>
          <w:rFonts w:ascii="Arial" w:cs="Arial" w:eastAsia="Arial" w:hAnsi="Arial"/>
          <w:sz w:val="18"/>
          <w:szCs w:val="18"/>
          <w:color w:val="auto"/>
        </w:rPr>
        <w:t>ANNUAL MEETING OF SHAREHOLDERS OF</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ALLIED MOTION TECHNOLOGIES INC.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MAY 5, 2021</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NOTICE OF INTERNET AVAILABILITY OF PROXY MATERIAL:</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Notice of Meeting, proxy statement and proxy card are available at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www.proxyvote.com</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NOMINEE:</w:t>
            </w: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R.B. Engel</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R.D. Federico</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S.C. Finch</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J.J. Tanous</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N.R. Tzetzo</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R.S. Warzala</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230"/>
        </w:trPr>
        <w:tc>
          <w:tcPr>
            <w:tcW w:w="660" w:type="dxa"/>
            <w:vAlign w:val="bottom"/>
          </w:tcPr>
          <w:p>
            <w:pPr>
              <w:spacing w:after="0"/>
              <w:rPr>
                <w:sz w:val="20"/>
                <w:szCs w:val="20"/>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M.R. Winter</w:t>
            </w: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4"/>
          </w:tcPr>
          <w:p>
            <w:pPr>
              <w:ind w:left="140"/>
              <w:spacing w:after="0"/>
              <w:rPr>
                <w:sz w:val="20"/>
                <w:szCs w:val="20"/>
                <w:color w:val="auto"/>
              </w:rPr>
            </w:pPr>
            <w:r>
              <w:rPr>
                <w:rFonts w:ascii="Arial" w:cs="Arial" w:eastAsia="Arial" w:hAnsi="Arial"/>
                <w:sz w:val="18"/>
                <w:szCs w:val="18"/>
                <w:color w:val="auto"/>
              </w:rPr>
              <w:t>ADVISORY VOTE TO APPROVE THE COMPENSATION OF OUR NAMED EXECUTIVE OFFICERS.</w:t>
            </w:r>
          </w:p>
        </w:tc>
      </w:tr>
      <w:tr>
        <w:trPr>
          <w:trHeight w:val="230"/>
        </w:trPr>
        <w:tc>
          <w:tcPr>
            <w:tcW w:w="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4"/>
          </w:tcPr>
          <w:p>
            <w:pPr>
              <w:ind w:left="140"/>
              <w:spacing w:after="0"/>
              <w:rPr>
                <w:sz w:val="20"/>
                <w:szCs w:val="20"/>
                <w:color w:val="auto"/>
              </w:rPr>
            </w:pPr>
            <w:r>
              <w:rPr>
                <w:rFonts w:ascii="Arial" w:cs="Arial" w:eastAsia="Arial" w:hAnsi="Arial"/>
                <w:sz w:val="18"/>
                <w:szCs w:val="18"/>
                <w:color w:val="auto"/>
                <w:w w:val="96"/>
              </w:rPr>
              <w:t>RATIFICATION OF THE APPOINTMENT OF THE COMPANY’S INDEPENDENT PUBLIC ACCOUNTING FIRM FOR 2021</w:t>
            </w:r>
          </w:p>
        </w:tc>
      </w:tr>
      <w:tr>
        <w:trPr>
          <w:trHeight w:val="230"/>
        </w:trPr>
        <w:tc>
          <w:tcPr>
            <w:tcW w:w="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o FOR</w:t>
            </w:r>
          </w:p>
        </w:tc>
        <w:tc>
          <w:tcPr>
            <w:tcW w:w="1900" w:type="dxa"/>
            <w:vAlign w:val="bottom"/>
          </w:tcPr>
          <w:p>
            <w:pPr>
              <w:ind w:left="580"/>
              <w:spacing w:after="0"/>
              <w:rPr>
                <w:sz w:val="20"/>
                <w:szCs w:val="20"/>
                <w:color w:val="auto"/>
              </w:rPr>
            </w:pPr>
            <w:r>
              <w:rPr>
                <w:rFonts w:ascii="Arial" w:cs="Arial" w:eastAsia="Arial" w:hAnsi="Arial"/>
                <w:sz w:val="18"/>
                <w:szCs w:val="18"/>
                <w:color w:val="auto"/>
              </w:rPr>
              <w:t>o AGAINST</w:t>
            </w:r>
          </w:p>
        </w:tc>
        <w:tc>
          <w:tcPr>
            <w:tcW w:w="3960" w:type="dxa"/>
            <w:vAlign w:val="bottom"/>
          </w:tcPr>
          <w:p>
            <w:pPr>
              <w:ind w:left="360"/>
              <w:spacing w:after="0"/>
              <w:rPr>
                <w:sz w:val="20"/>
                <w:szCs w:val="20"/>
                <w:color w:val="auto"/>
              </w:rPr>
            </w:pPr>
            <w:r>
              <w:rPr>
                <w:rFonts w:ascii="Arial" w:cs="Arial" w:eastAsia="Arial" w:hAnsi="Arial"/>
                <w:sz w:val="18"/>
                <w:szCs w:val="18"/>
                <w:color w:val="auto"/>
              </w:rPr>
              <w:t>o ABSTAIN</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proposal 1 and FOR proposals 2 and 3. In their discretion, the proxies are authorized to vote upon such other business as may properly come before the Annual Meeting.</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320" w:val="left"/>
          <w:tab w:leader="none" w:pos="6180" w:val="left"/>
          <w:tab w:leader="none" w:pos="8380" w:val="left"/>
        </w:tabs>
        <w:rPr>
          <w:sz w:val="20"/>
          <w:szCs w:val="20"/>
          <w:color w:val="auto"/>
        </w:rPr>
      </w:pPr>
      <w:r>
        <w:rPr>
          <w:rFonts w:ascii="Arial" w:cs="Arial" w:eastAsia="Arial" w:hAnsi="Arial"/>
          <w:sz w:val="18"/>
          <w:szCs w:val="18"/>
          <w:color w:val="auto"/>
        </w:rPr>
        <w:t>Signature (PLEASE SIGN WITHIN BOX)</w:t>
        <w:tab/>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40"/>
      </w:cols>
      <w:pgMar w:left="320" w:top="9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lvl w:ilvl="1">
      <w:lvlJc w:val="left"/>
      <w:lvlText w:val="-"/>
      <w:numFmt w:val="bullet"/>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1)"/>
      <w:numFmt w:val="lowerRoman"/>
      <w:start w:val="3"/>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4"/>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Roman"/>
      <w:start w:val="7"/>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Roman"/>
      <w:start w:val="3"/>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4"/>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2021-04-07T08:02:48Z</dcterms:created>
  <dcterms:modified xsi:type="dcterms:W3CDTF">2021-04-07T08:02:48Z</dcterms:modified>
</cp:coreProperties>
</file>