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SCHEDULE 14A</w:t>
      </w:r>
    </w:p>
    <w:p>
      <w:pPr>
        <w:spacing w:after="0" w:line="3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the Securities Exchange Act of 1934 (Amendment No.</w:t>
        <w:tab/>
        <w:t>)</w:t>
      </w:r>
    </w:p>
    <w:p>
      <w:pPr>
        <w:spacing w:after="0" w:line="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54"/>
          <w:szCs w:val="54"/>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right="100" w:hanging="425"/>
        <w:spacing w:after="0" w:line="271" w:lineRule="auto"/>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9"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00" w:hanging="392"/>
        <w:spacing w:after="0" w:line="25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MS PGothic" w:cs="MS PGothic" w:eastAsia="MS PGothic" w:hAnsi="MS PGothic"/>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hanging="425"/>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20" w:right="180"/>
        <w:spacing w:after="0" w:line="271" w:lineRule="auto"/>
        <w:rPr>
          <w:rFonts w:ascii="Arial" w:cs="Arial" w:eastAsia="Arial" w:hAnsi="Arial"/>
          <w:sz w:val="18"/>
          <w:szCs w:val="18"/>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340995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-335915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-738505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-1141730</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-1544320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-2564765</wp:posOffset>
            </wp:positionV>
            <wp:extent cx="5657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-2967355</wp:posOffset>
            </wp:positionV>
            <wp:extent cx="5657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-3370580</wp:posOffset>
            </wp:positionV>
            <wp:extent cx="5657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-3902075</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-4304665</wp:posOffset>
            </wp:positionV>
            <wp:extent cx="5657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203835</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417" w:gutter="0" w:footer="0" w:header="0"/>
        </w:sectPr>
      </w:pPr>
    </w:p>
    <w:bookmarkStart w:id="1" w:name="page2"/>
    <w:bookmarkEnd w:id="1"/>
    <w:p>
      <w:pPr>
        <w:ind w:left="1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243459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34590" cy="3429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50" w:right="80"/>
        <w:spacing w:after="0" w:line="266" w:lineRule="auto"/>
        <w:rPr>
          <w:sz w:val="20"/>
          <w:szCs w:val="20"/>
          <w:color w:val="auto"/>
        </w:rPr>
      </w:pPr>
      <w:r>
        <w:rPr>
          <w:rFonts w:ascii="Arial" w:cs="Arial" w:eastAsia="Arial" w:hAnsi="Arial"/>
          <w:sz w:val="16"/>
          <w:szCs w:val="16"/>
          <w:color w:val="auto"/>
        </w:rPr>
        <w:t>ALLIED MOTION TECHNOLOGIES INC. 495 Commerce Drive, Suite 3 Amherst, New York 14228</w:t>
      </w:r>
    </w:p>
    <w:p>
      <w:pPr>
        <w:spacing w:after="0" w:line="43"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ANNUAL MEETING OF SHAREHOLDERS</w:t>
      </w:r>
    </w:p>
    <w:p>
      <w:pPr>
        <w:spacing w:after="0" w:line="213"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F5DA8"/>
        </w:rPr>
        <w:t>DATE:</w:t>
      </w:r>
      <w:r>
        <w:rPr>
          <w:sz w:val="20"/>
          <w:szCs w:val="20"/>
          <w:color w:val="auto"/>
        </w:rPr>
        <w:tab/>
      </w:r>
      <w:r>
        <w:rPr>
          <w:rFonts w:ascii="Arial" w:cs="Arial" w:eastAsia="Arial" w:hAnsi="Arial"/>
          <w:sz w:val="16"/>
          <w:szCs w:val="16"/>
          <w:color w:val="auto"/>
        </w:rPr>
        <w:t>May 4, 2022</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F5DA8"/>
        </w:rPr>
        <w:t>TIME:</w:t>
      </w:r>
      <w:r>
        <w:rPr>
          <w:sz w:val="20"/>
          <w:szCs w:val="20"/>
          <w:color w:val="auto"/>
        </w:rPr>
        <w:tab/>
      </w:r>
      <w:r>
        <w:rPr>
          <w:rFonts w:ascii="Arial" w:cs="Arial" w:eastAsia="Arial" w:hAnsi="Arial"/>
          <w:sz w:val="16"/>
          <w:szCs w:val="16"/>
          <w:color w:val="auto"/>
        </w:rPr>
        <w:t>9:00 a.m. Eastern Time</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F5DA8"/>
        </w:rPr>
        <w:t>ONLINE:</w:t>
      </w:r>
      <w:r>
        <w:rPr>
          <w:sz w:val="20"/>
          <w:szCs w:val="20"/>
          <w:color w:val="auto"/>
        </w:rPr>
        <w:tab/>
      </w:r>
      <w:r>
        <w:rPr>
          <w:rFonts w:ascii="Arial" w:cs="Arial" w:eastAsia="Arial" w:hAnsi="Arial"/>
          <w:sz w:val="16"/>
          <w:szCs w:val="16"/>
          <w:u w:val="single" w:color="auto"/>
          <w:color w:val="auto"/>
        </w:rPr>
        <w:t>www.virtualshareholdermeeting.com/AMOT2022</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Allied Motion Technologies Inc.:</w:t>
      </w:r>
    </w:p>
    <w:p>
      <w:pPr>
        <w:spacing w:after="0" w:line="128" w:lineRule="exact"/>
        <w:rPr>
          <w:sz w:val="20"/>
          <w:szCs w:val="20"/>
          <w:color w:val="auto"/>
        </w:rPr>
      </w:pPr>
    </w:p>
    <w:p>
      <w:pPr>
        <w:ind w:left="10"/>
        <w:spacing w:after="0" w:line="259" w:lineRule="auto"/>
        <w:rPr>
          <w:sz w:val="20"/>
          <w:szCs w:val="20"/>
          <w:color w:val="auto"/>
        </w:rPr>
      </w:pPr>
      <w:r>
        <w:rPr>
          <w:rFonts w:ascii="Arial" w:cs="Arial" w:eastAsia="Arial" w:hAnsi="Arial"/>
          <w:sz w:val="16"/>
          <w:szCs w:val="16"/>
          <w:color w:val="auto"/>
        </w:rPr>
        <w:t xml:space="preserve">You are hereby notified that the 2022 Annual Meeting of Shareholders of Allied Motion Technologies Inc. (the “Company”) will be held virtually on Wednesday, May 4, 2022 at 9:00 a.m. (Eastern Time). The meeting can be accessed by visiting </w:t>
      </w:r>
      <w:r>
        <w:rPr>
          <w:rFonts w:ascii="Arial" w:cs="Arial" w:eastAsia="Arial" w:hAnsi="Arial"/>
          <w:sz w:val="16"/>
          <w:szCs w:val="16"/>
          <w:u w:val="single" w:color="auto"/>
          <w:color w:val="auto"/>
        </w:rPr>
        <w:t>www.virtualshareholdermeeting.com/AMOT2022</w:t>
      </w:r>
      <w:r>
        <w:rPr>
          <w:rFonts w:ascii="Arial" w:cs="Arial" w:eastAsia="Arial" w:hAnsi="Arial"/>
          <w:sz w:val="16"/>
          <w:szCs w:val="16"/>
          <w:color w:val="auto"/>
        </w:rPr>
        <w:t>, where you will be able to listen to the meeting live, submit questions and vote online.</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elect seven directors of the Company;</w:t>
      </w:r>
    </w:p>
    <w:p>
      <w:pPr>
        <w:spacing w:after="0" w:line="113"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provide an advisory approval of the compensation of our Named Executive Officers;</w:t>
      </w:r>
    </w:p>
    <w:p>
      <w:pPr>
        <w:spacing w:after="0" w:line="113" w:lineRule="exact"/>
        <w:rPr>
          <w:rFonts w:ascii="Arial" w:cs="Arial" w:eastAsia="Arial" w:hAnsi="Arial"/>
          <w:sz w:val="16"/>
          <w:szCs w:val="16"/>
          <w:b w:val="1"/>
          <w:bCs w:val="1"/>
          <w:color w:val="auto"/>
        </w:rPr>
      </w:pPr>
    </w:p>
    <w:p>
      <w:pPr>
        <w:ind w:left="170" w:right="160" w:hanging="170"/>
        <w:spacing w:after="0" w:line="286"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&amp; Touche LLP as the Company’s independent registered public accounting firm for the 2022 fiscal year; and</w:t>
      </w:r>
    </w:p>
    <w:p>
      <w:pPr>
        <w:spacing w:after="0" w:line="47"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2022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57778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Arial" w:cs="Arial" w:eastAsia="Arial" w:hAnsi="Arial"/>
                <w:sz w:val="16"/>
                <w:szCs w:val="16"/>
                <w:b w:val="1"/>
                <w:bCs w:val="1"/>
                <w:color w:val="2F5DA8"/>
              </w:rPr>
              <w:t>Voting can be completed in one of four ways:</w:t>
            </w:r>
          </w:p>
        </w:tc>
        <w:tc>
          <w:tcPr>
            <w:tcW w:w="3480" w:type="dxa"/>
            <w:vAlign w:val="bottom"/>
          </w:tcPr>
          <w:p>
            <w:pPr>
              <w:spacing w:after="0"/>
              <w:rPr>
                <w:sz w:val="19"/>
                <w:szCs w:val="19"/>
                <w:color w:val="auto"/>
              </w:rPr>
            </w:pPr>
          </w:p>
        </w:tc>
      </w:tr>
      <w:tr>
        <w:trPr>
          <w:trHeight w:val="424"/>
        </w:trPr>
        <w:tc>
          <w:tcPr>
            <w:tcW w:w="4820" w:type="dxa"/>
            <w:vAlign w:val="bottom"/>
          </w:tcPr>
          <w:p>
            <w:pPr>
              <w:ind w:left="780"/>
              <w:spacing w:after="0"/>
              <w:rPr>
                <w:sz w:val="20"/>
                <w:szCs w:val="20"/>
                <w:color w:val="auto"/>
              </w:rPr>
            </w:pPr>
            <w:r>
              <w:rPr>
                <w:rFonts w:ascii="Arial" w:cs="Arial" w:eastAsia="Arial" w:hAnsi="Arial"/>
                <w:sz w:val="16"/>
                <w:szCs w:val="16"/>
                <w:color w:val="auto"/>
              </w:rPr>
              <w:t>Returning the proxy card by mail</w:t>
            </w:r>
          </w:p>
        </w:tc>
        <w:tc>
          <w:tcPr>
            <w:tcW w:w="3480" w:type="dxa"/>
            <w:vAlign w:val="bottom"/>
          </w:tcPr>
          <w:p>
            <w:pPr>
              <w:spacing w:after="0"/>
              <w:rPr>
                <w:sz w:val="20"/>
                <w:szCs w:val="20"/>
                <w:color w:val="auto"/>
              </w:rPr>
            </w:pPr>
            <w:r>
              <w:rPr>
                <w:rFonts w:ascii="Arial" w:cs="Arial" w:eastAsia="Arial" w:hAnsi="Arial"/>
                <w:sz w:val="16"/>
                <w:szCs w:val="16"/>
                <w:color w:val="auto"/>
              </w:rPr>
              <w:t>Online at www.proxyvote.com</w:t>
            </w:r>
          </w:p>
        </w:tc>
      </w:tr>
      <w:tr>
        <w:trPr>
          <w:trHeight w:val="514"/>
        </w:trPr>
        <w:tc>
          <w:tcPr>
            <w:tcW w:w="4820" w:type="dxa"/>
            <w:vAlign w:val="bottom"/>
          </w:tcPr>
          <w:p>
            <w:pPr>
              <w:ind w:left="780"/>
              <w:spacing w:after="0"/>
              <w:rPr>
                <w:sz w:val="20"/>
                <w:szCs w:val="20"/>
                <w:color w:val="auto"/>
              </w:rPr>
            </w:pPr>
            <w:r>
              <w:rPr>
                <w:rFonts w:ascii="Arial" w:cs="Arial" w:eastAsia="Arial" w:hAnsi="Arial"/>
                <w:sz w:val="16"/>
                <w:szCs w:val="16"/>
                <w:color w:val="auto"/>
              </w:rPr>
              <w:t>Through the telephone at</w:t>
            </w:r>
          </w:p>
        </w:tc>
        <w:tc>
          <w:tcPr>
            <w:tcW w:w="3480" w:type="dxa"/>
            <w:vAlign w:val="bottom"/>
          </w:tcPr>
          <w:p>
            <w:pPr>
              <w:spacing w:after="0"/>
              <w:rPr>
                <w:sz w:val="20"/>
                <w:szCs w:val="20"/>
                <w:color w:val="auto"/>
              </w:rPr>
            </w:pPr>
            <w:r>
              <w:rPr>
                <w:rFonts w:ascii="Arial" w:cs="Arial" w:eastAsia="Arial" w:hAnsi="Arial"/>
                <w:sz w:val="16"/>
                <w:szCs w:val="16"/>
                <w:color w:val="auto"/>
              </w:rPr>
              <w:t>Attend the annual meeting at:</w:t>
            </w:r>
          </w:p>
        </w:tc>
      </w:tr>
      <w:tr>
        <w:trPr>
          <w:trHeight w:val="176"/>
        </w:trPr>
        <w:tc>
          <w:tcPr>
            <w:tcW w:w="4820" w:type="dxa"/>
            <w:vAlign w:val="bottom"/>
          </w:tcPr>
          <w:p>
            <w:pPr>
              <w:ind w:left="780"/>
              <w:spacing w:after="0" w:line="176" w:lineRule="exact"/>
              <w:rPr>
                <w:sz w:val="20"/>
                <w:szCs w:val="20"/>
                <w:color w:val="auto"/>
              </w:rPr>
            </w:pPr>
            <w:r>
              <w:rPr>
                <w:rFonts w:ascii="Arial" w:cs="Arial" w:eastAsia="Arial" w:hAnsi="Arial"/>
                <w:sz w:val="16"/>
                <w:szCs w:val="16"/>
                <w:color w:val="auto"/>
              </w:rPr>
              <w:t>1-800-690-6903</w:t>
            </w:r>
          </w:p>
        </w:tc>
        <w:tc>
          <w:tcPr>
            <w:tcW w:w="34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www.virtualshareholdermeeting.com/AMOT2022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-694055</wp:posOffset>
            </wp:positionV>
            <wp:extent cx="24828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-694055</wp:posOffset>
            </wp:positionV>
            <wp:extent cx="24828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-290830</wp:posOffset>
            </wp:positionV>
            <wp:extent cx="28257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24892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-290830</wp:posOffset>
            </wp:positionV>
            <wp:extent cx="24828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63" w:lineRule="exact"/>
        <w:rPr>
          <w:sz w:val="20"/>
          <w:szCs w:val="20"/>
          <w:color w:val="auto"/>
        </w:rPr>
      </w:pPr>
    </w:p>
    <w:p>
      <w:pPr>
        <w:ind w:left="10" w:right="120"/>
        <w:spacing w:after="0" w:line="286" w:lineRule="auto"/>
        <w:rPr>
          <w:sz w:val="20"/>
          <w:szCs w:val="20"/>
          <w:color w:val="auto"/>
        </w:rPr>
      </w:pPr>
      <w:r>
        <w:rPr>
          <w:rFonts w:ascii="Arial" w:cs="Arial" w:eastAsia="Arial" w:hAnsi="Arial"/>
          <w:sz w:val="16"/>
          <w:szCs w:val="16"/>
          <w:color w:val="auto"/>
        </w:rPr>
        <w:t>Only shareholders of record at the close of business on March 9, 2022 are entitled to notice of and to vote at the 2022 Annual Meeting and any adjournment thereof.</w:t>
      </w:r>
    </w:p>
    <w:p>
      <w:pPr>
        <w:spacing w:after="0" w:line="48" w:lineRule="exact"/>
        <w:rPr>
          <w:sz w:val="20"/>
          <w:szCs w:val="20"/>
          <w:color w:val="auto"/>
        </w:rPr>
      </w:pPr>
    </w:p>
    <w:p>
      <w:pPr>
        <w:ind w:left="10"/>
        <w:spacing w:after="0" w:line="253" w:lineRule="auto"/>
        <w:rPr>
          <w:sz w:val="20"/>
          <w:szCs w:val="20"/>
          <w:color w:val="auto"/>
        </w:rPr>
      </w:pPr>
      <w:r>
        <w:rPr>
          <w:rFonts w:ascii="Arial" w:cs="Arial" w:eastAsia="Arial" w:hAnsi="Arial"/>
          <w:sz w:val="16"/>
          <w:szCs w:val="16"/>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73" w:lineRule="exact"/>
        <w:rPr>
          <w:sz w:val="20"/>
          <w:szCs w:val="20"/>
          <w:color w:val="auto"/>
        </w:rPr>
      </w:pPr>
    </w:p>
    <w:p>
      <w:pPr>
        <w:ind w:left="10" w:right="40"/>
        <w:spacing w:after="0" w:line="266" w:lineRule="auto"/>
        <w:rPr>
          <w:sz w:val="20"/>
          <w:szCs w:val="20"/>
          <w:color w:val="auto"/>
        </w:rPr>
      </w:pPr>
      <w:r>
        <w:rPr>
          <w:rFonts w:ascii="Arial" w:cs="Arial" w:eastAsia="Arial" w:hAnsi="Arial"/>
          <w:sz w:val="16"/>
          <w:szCs w:val="16"/>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90"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088390" cy="45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83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
        <w:spacing w:after="0"/>
        <w:rPr>
          <w:sz w:val="20"/>
          <w:szCs w:val="20"/>
          <w:color w:val="auto"/>
        </w:rPr>
      </w:pPr>
      <w:r>
        <w:rPr>
          <w:rFonts w:ascii="Arial" w:cs="Arial" w:eastAsia="Arial" w:hAnsi="Arial"/>
          <w:sz w:val="16"/>
          <w:szCs w:val="16"/>
          <w:color w:val="auto"/>
        </w:rPr>
        <w:t>Joseph P. Kubarek</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April 6, 2022</w:t>
      </w:r>
    </w:p>
    <w:p>
      <w:pPr>
        <w:spacing w:after="0" w:line="113" w:lineRule="exact"/>
        <w:rPr>
          <w:sz w:val="20"/>
          <w:szCs w:val="20"/>
          <w:color w:val="auto"/>
        </w:rPr>
      </w:pPr>
    </w:p>
    <w:p>
      <w:pPr>
        <w:ind w:left="10" w:right="460"/>
        <w:spacing w:after="0" w:line="286"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and the Company’s Annual Report are available on the Internet at </w:t>
      </w:r>
      <w:r>
        <w:rPr>
          <w:rFonts w:ascii="Arial" w:cs="Arial" w:eastAsia="Arial" w:hAnsi="Arial"/>
          <w:sz w:val="16"/>
          <w:szCs w:val="16"/>
          <w:u w:val="single" w:color="auto"/>
          <w:color w:val="auto"/>
        </w:rPr>
        <w:t>https://materials.proxyvote.com/019330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81915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0"/>
          </w:cols>
          <w:pgMar w:left="1390" w:top="263" w:right="1419" w:bottom="1440" w:gutter="0" w:footer="0" w:header="0"/>
        </w:sectPr>
      </w:pPr>
    </w:p>
    <w:bookmarkStart w:id="2" w:name="page3"/>
    <w:bookmarkEnd w:id="2"/>
    <w:p>
      <w:pPr>
        <w:ind w:left="96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6" w:lineRule="exact"/>
        <w:rPr>
          <w:sz w:val="20"/>
          <w:szCs w:val="20"/>
          <w:color w:val="auto"/>
        </w:rPr>
      </w:pPr>
    </w:p>
    <w:p>
      <w:pPr>
        <w:ind w:left="960"/>
        <w:spacing w:after="0"/>
        <w:rPr>
          <w:sz w:val="20"/>
          <w:szCs w:val="20"/>
          <w:color w:val="auto"/>
        </w:rPr>
      </w:pPr>
      <w:r>
        <w:rPr>
          <w:rFonts w:ascii="Arial" w:cs="Arial" w:eastAsia="Arial" w:hAnsi="Arial"/>
          <w:sz w:val="41"/>
          <w:szCs w:val="41"/>
          <w:color w:val="2F5DA8"/>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8"/>
          </w:tcPr>
          <w:p>
            <w:pPr>
              <w:ind w:left="580"/>
              <w:spacing w:after="0"/>
              <w:rPr>
                <w:sz w:val="20"/>
                <w:szCs w:val="20"/>
                <w:color w:val="auto"/>
              </w:rPr>
            </w:pPr>
            <w:r>
              <w:rPr>
                <w:rFonts w:ascii="Arial" w:cs="Arial" w:eastAsia="Arial" w:hAnsi="Arial"/>
                <w:sz w:val="15"/>
                <w:szCs w:val="15"/>
                <w:color w:val="auto"/>
              </w:rPr>
              <w:t>Page</w:t>
            </w:r>
          </w:p>
        </w:tc>
      </w:tr>
      <w:tr>
        <w:trPr>
          <w:trHeight w:val="478"/>
        </w:trPr>
        <w:tc>
          <w:tcPr>
            <w:tcW w:w="960" w:type="dxa"/>
            <w:vAlign w:val="bottom"/>
          </w:tcPr>
          <w:p>
            <w:pPr>
              <w:spacing w:after="0"/>
              <w:rPr>
                <w:sz w:val="24"/>
                <w:szCs w:val="24"/>
                <w:color w:val="auto"/>
              </w:rPr>
            </w:pPr>
          </w:p>
        </w:tc>
        <w:tc>
          <w:tcPr>
            <w:tcW w:w="8140" w:type="dxa"/>
            <w:vAlign w:val="bottom"/>
            <w:gridSpan w:val="30"/>
          </w:tcPr>
          <w:p>
            <w:pPr>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QUESTIONS AND ANSWERS ABOUT THE 2022 ANNUAL MEETING</w:t>
              </w:r>
            </w:hyperlink>
          </w:p>
        </w:tc>
        <w:tc>
          <w:tcPr>
            <w:tcW w:w="940" w:type="dxa"/>
            <w:vAlign w:val="bottom"/>
            <w:gridSpan w:val="6"/>
          </w:tcPr>
          <w:p>
            <w:pPr>
              <w:jc w:val="right"/>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1</w:t>
              </w:r>
            </w:hyperlink>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980" w:type="dxa"/>
            <w:vAlign w:val="bottom"/>
            <w:tcBorders>
              <w:top w:val="single" w:sz="8" w:color="0000EE"/>
              <w:bottom w:val="single" w:sz="8" w:color="2F5DA8"/>
            </w:tcBorders>
          </w:tcPr>
          <w:p>
            <w:pPr>
              <w:spacing w:after="0"/>
              <w:rPr>
                <w:sz w:val="7"/>
                <w:szCs w:val="7"/>
                <w:color w:val="auto"/>
              </w:rPr>
            </w:pPr>
          </w:p>
        </w:tc>
        <w:tc>
          <w:tcPr>
            <w:tcW w:w="46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200" w:type="dxa"/>
            <w:vAlign w:val="bottom"/>
            <w:tcBorders>
              <w:top w:val="single" w:sz="8" w:color="0000EE"/>
              <w:bottom w:val="single" w:sz="8" w:color="2F5DA8"/>
            </w:tcBorders>
          </w:tcPr>
          <w:p>
            <w:pPr>
              <w:spacing w:after="0"/>
              <w:rPr>
                <w:sz w:val="7"/>
                <w:szCs w:val="7"/>
                <w:color w:val="auto"/>
              </w:rPr>
            </w:pPr>
          </w:p>
        </w:tc>
        <w:tc>
          <w:tcPr>
            <w:tcW w:w="30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44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720" w:type="dxa"/>
            <w:vAlign w:val="bottom"/>
            <w:tcBorders>
              <w:bottom w:val="single" w:sz="8" w:color="2F5DA8"/>
            </w:tcBorders>
          </w:tcPr>
          <w:p>
            <w:pPr>
              <w:spacing w:after="0"/>
              <w:rPr>
                <w:sz w:val="7"/>
                <w:szCs w:val="7"/>
                <w:color w:val="auto"/>
              </w:rPr>
            </w:pPr>
          </w:p>
        </w:tc>
        <w:tc>
          <w:tcPr>
            <w:tcW w:w="580" w:type="dxa"/>
            <w:vAlign w:val="bottom"/>
            <w:tcBorders>
              <w:bottom w:val="single" w:sz="8" w:color="2F5DA8"/>
            </w:tcBorders>
          </w:tcPr>
          <w:p>
            <w:pPr>
              <w:spacing w:after="0"/>
              <w:rPr>
                <w:sz w:val="7"/>
                <w:szCs w:val="7"/>
                <w:color w:val="auto"/>
              </w:rPr>
            </w:pPr>
          </w:p>
        </w:tc>
        <w:tc>
          <w:tcPr>
            <w:tcW w:w="700" w:type="dxa"/>
            <w:vAlign w:val="bottom"/>
            <w:tcBorders>
              <w:bottom w:val="single" w:sz="8" w:color="2F5DA8"/>
            </w:tcBorders>
          </w:tcPr>
          <w:p>
            <w:pPr>
              <w:spacing w:after="0"/>
              <w:rPr>
                <w:sz w:val="7"/>
                <w:szCs w:val="7"/>
                <w:color w:val="auto"/>
              </w:rPr>
            </w:pPr>
          </w:p>
        </w:tc>
        <w:tc>
          <w:tcPr>
            <w:tcW w:w="60" w:type="dxa"/>
            <w:vAlign w:val="bottom"/>
            <w:tcBorders>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60" w:type="dxa"/>
            <w:vAlign w:val="bottom"/>
            <w:gridSpan w:val="29"/>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Why did I receive this proxy?</w:t>
              </w:r>
            </w:hyperlink>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6"/>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Who is entitled to vote?</w:t>
              </w:r>
            </w:hyperlink>
          </w:p>
        </w:tc>
        <w:tc>
          <w:tcPr>
            <w:tcW w:w="6020" w:type="dxa"/>
            <w:vAlign w:val="bottom"/>
            <w:gridSpan w:val="23"/>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12"/>
          </w:tcPr>
          <w:p>
            <w:pPr>
              <w:spacing w:after="0"/>
              <w:rPr>
                <w:rFonts w:ascii="Arial" w:cs="Arial" w:eastAsia="Arial" w:hAnsi="Arial"/>
                <w:sz w:val="15"/>
                <w:szCs w:val="15"/>
                <w:color w:val="0000EE"/>
                <w:w w:val="99"/>
              </w:rPr>
            </w:pPr>
            <w:hyperlink w:anchor="page5">
              <w:r>
                <w:rPr>
                  <w:rFonts w:ascii="Arial" w:cs="Arial" w:eastAsia="Arial" w:hAnsi="Arial"/>
                  <w:sz w:val="15"/>
                  <w:szCs w:val="15"/>
                  <w:color w:val="0000EE"/>
                  <w:w w:val="99"/>
                </w:rPr>
                <w:t>What is the quorum for the Annual Meeting?</w:t>
              </w:r>
            </w:hyperlink>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12"/>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How many votes do I have?</w:t>
              </w:r>
            </w:hyperlink>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What is the difference between a shareholder of record and a beneficial owner of shares held in street name?</w:t>
              </w:r>
            </w:hyperlink>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80" w:type="dxa"/>
            <w:vAlign w:val="bottom"/>
            <w:gridSpan w:val="28"/>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If I am a shareholder of record of Common Stock, how do I vote?</w:t>
              </w:r>
            </w:hyperlink>
          </w:p>
        </w:tc>
        <w:tc>
          <w:tcPr>
            <w:tcW w:w="580" w:type="dxa"/>
            <w:vAlign w:val="bottom"/>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If I am a beneficial owner of shares held in street name, how do I vote?</w:t>
              </w:r>
            </w:hyperlink>
          </w:p>
        </w:tc>
        <w:tc>
          <w:tcPr>
            <w:tcW w:w="940" w:type="dxa"/>
            <w:vAlign w:val="bottom"/>
            <w:gridSpan w:val="6"/>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80" w:type="dxa"/>
            <w:vAlign w:val="bottom"/>
            <w:gridSpan w:val="15"/>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How can I participate in the virtual Annual Meeting?</w:t>
              </w:r>
            </w:hyperlink>
          </w:p>
        </w:tc>
        <w:tc>
          <w:tcPr>
            <w:tcW w:w="1300" w:type="dxa"/>
            <w:vAlign w:val="bottom"/>
            <w:gridSpan w:val="8"/>
          </w:tcPr>
          <w:p>
            <w:pPr>
              <w:spacing w:after="0"/>
              <w:rPr>
                <w:sz w:val="19"/>
                <w:szCs w:val="19"/>
                <w:color w:val="auto"/>
              </w:rPr>
            </w:pPr>
          </w:p>
        </w:tc>
        <w:tc>
          <w:tcPr>
            <w:tcW w:w="3180" w:type="dxa"/>
            <w:vAlign w:val="bottom"/>
            <w:gridSpan w:val="6"/>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6">
              <w:r>
                <w:rPr>
                  <w:rFonts w:ascii="Arial" w:cs="Arial" w:eastAsia="Arial" w:hAnsi="Arial"/>
                  <w:sz w:val="15"/>
                  <w:szCs w:val="15"/>
                  <w:color w:val="0000EE"/>
                </w:rPr>
                <w:t>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spacing w:after="0"/>
              <w:rPr>
                <w:rFonts w:ascii="Arial" w:cs="Arial" w:eastAsia="Arial" w:hAnsi="Arial"/>
                <w:sz w:val="15"/>
                <w:szCs w:val="15"/>
                <w:color w:val="0000EE"/>
                <w:w w:val="98"/>
              </w:rPr>
            </w:pPr>
            <w:hyperlink w:anchor="page6">
              <w:r>
                <w:rPr>
                  <w:rFonts w:ascii="Arial" w:cs="Arial" w:eastAsia="Arial" w:hAnsi="Arial"/>
                  <w:sz w:val="15"/>
                  <w:szCs w:val="15"/>
                  <w:color w:val="0000EE"/>
                  <w:w w:val="98"/>
                </w:rPr>
                <w:t>What am I voting on?</w:t>
              </w:r>
            </w:hyperlink>
          </w:p>
        </w:tc>
        <w:tc>
          <w:tcPr>
            <w:tcW w:w="2040" w:type="dxa"/>
            <w:vAlign w:val="bottom"/>
            <w:gridSpan w:val="13"/>
          </w:tcPr>
          <w:p>
            <w:pPr>
              <w:spacing w:after="0"/>
              <w:rPr>
                <w:sz w:val="19"/>
                <w:szCs w:val="19"/>
                <w:color w:val="auto"/>
              </w:rPr>
            </w:pPr>
          </w:p>
        </w:tc>
        <w:tc>
          <w:tcPr>
            <w:tcW w:w="4480" w:type="dxa"/>
            <w:vAlign w:val="bottom"/>
            <w:gridSpan w:val="14"/>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6">
              <w:r>
                <w:rPr>
                  <w:rFonts w:ascii="Arial" w:cs="Arial" w:eastAsia="Arial" w:hAnsi="Arial"/>
                  <w:sz w:val="15"/>
                  <w:szCs w:val="15"/>
                  <w:color w:val="0000EE"/>
                </w:rPr>
                <w:t>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18"/>
          </w:tcPr>
          <w:p>
            <w:pPr>
              <w:spacing w:after="0"/>
              <w:rPr>
                <w:rFonts w:ascii="Arial" w:cs="Arial" w:eastAsia="Arial" w:hAnsi="Arial"/>
                <w:sz w:val="15"/>
                <w:szCs w:val="15"/>
                <w:color w:val="0000EE"/>
                <w:w w:val="99"/>
              </w:rPr>
            </w:pPr>
            <w:hyperlink w:anchor="page6">
              <w:r>
                <w:rPr>
                  <w:rFonts w:ascii="Arial" w:cs="Arial" w:eastAsia="Arial" w:hAnsi="Arial"/>
                  <w:sz w:val="15"/>
                  <w:szCs w:val="15"/>
                  <w:color w:val="0000EE"/>
                  <w:w w:val="99"/>
                </w:rPr>
                <w:t>Will there be any other items of business on the agenda?</w:t>
              </w:r>
            </w:hyperlink>
          </w:p>
        </w:tc>
        <w:tc>
          <w:tcPr>
            <w:tcW w:w="4140" w:type="dxa"/>
            <w:vAlign w:val="bottom"/>
            <w:gridSpan w:val="11"/>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6">
              <w:r>
                <w:rPr>
                  <w:rFonts w:ascii="Arial" w:cs="Arial" w:eastAsia="Arial" w:hAnsi="Arial"/>
                  <w:sz w:val="15"/>
                  <w:szCs w:val="15"/>
                  <w:color w:val="0000EE"/>
                </w:rPr>
                <w:t>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18"/>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How many votes are required to act on the proposals?</w:t>
              </w:r>
            </w:hyperlink>
          </w:p>
        </w:tc>
        <w:tc>
          <w:tcPr>
            <w:tcW w:w="4140" w:type="dxa"/>
            <w:vAlign w:val="bottom"/>
            <w:gridSpan w:val="11"/>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6">
              <w:r>
                <w:rPr>
                  <w:rFonts w:ascii="Arial" w:cs="Arial" w:eastAsia="Arial" w:hAnsi="Arial"/>
                  <w:sz w:val="15"/>
                  <w:szCs w:val="15"/>
                  <w:color w:val="0000EE"/>
                </w:rPr>
                <w:t>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60" w:type="dxa"/>
            <w:vAlign w:val="bottom"/>
            <w:gridSpan w:val="17"/>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How are votes counted?</w:t>
              </w:r>
            </w:hyperlink>
          </w:p>
        </w:tc>
        <w:tc>
          <w:tcPr>
            <w:tcW w:w="4300" w:type="dxa"/>
            <w:vAlign w:val="bottom"/>
            <w:gridSpan w:val="12"/>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6">
              <w:r>
                <w:rPr>
                  <w:rFonts w:ascii="Arial" w:cs="Arial" w:eastAsia="Arial" w:hAnsi="Arial"/>
                  <w:sz w:val="15"/>
                  <w:szCs w:val="15"/>
                  <w:color w:val="0000EE"/>
                </w:rPr>
                <w:t>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11"/>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Can I change my vote after I have voted?</w:t>
              </w:r>
            </w:hyperlink>
          </w:p>
        </w:tc>
        <w:tc>
          <w:tcPr>
            <w:tcW w:w="5160" w:type="dxa"/>
            <w:vAlign w:val="bottom"/>
            <w:gridSpan w:val="18"/>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12"/>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Will anyone contact me regarding this vote?</w:t>
              </w:r>
            </w:hyperlink>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10"/>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Who has paid for this proxy solicitation?</w:t>
              </w:r>
            </w:hyperlink>
          </w:p>
        </w:tc>
        <w:tc>
          <w:tcPr>
            <w:tcW w:w="260" w:type="dxa"/>
            <w:vAlign w:val="bottom"/>
            <w:gridSpan w:val="2"/>
          </w:tcPr>
          <w:p>
            <w:pPr>
              <w:spacing w:after="0"/>
              <w:rPr>
                <w:sz w:val="19"/>
                <w:szCs w:val="19"/>
                <w:color w:val="auto"/>
              </w:rPr>
            </w:pPr>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20" w:type="dxa"/>
            <w:vAlign w:val="bottom"/>
            <w:gridSpan w:val="22"/>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How can I obtain a copy of this year’s Annual Report on Form 10-K?</w:t>
              </w:r>
            </w:hyperlink>
          </w:p>
        </w:tc>
        <w:tc>
          <w:tcPr>
            <w:tcW w:w="3340" w:type="dxa"/>
            <w:vAlign w:val="bottom"/>
            <w:gridSpan w:val="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18"/>
          </w:tcPr>
          <w:p>
            <w:pPr>
              <w:spacing w:after="0"/>
              <w:rPr>
                <w:rFonts w:ascii="Arial" w:cs="Arial" w:eastAsia="Arial" w:hAnsi="Arial"/>
                <w:sz w:val="15"/>
                <w:szCs w:val="15"/>
                <w:color w:val="0000EE"/>
                <w:w w:val="99"/>
              </w:rPr>
            </w:pPr>
            <w:hyperlink w:anchor="page7">
              <w:r>
                <w:rPr>
                  <w:rFonts w:ascii="Arial" w:cs="Arial" w:eastAsia="Arial" w:hAnsi="Arial"/>
                  <w:sz w:val="15"/>
                  <w:szCs w:val="15"/>
                  <w:color w:val="0000EE"/>
                  <w:w w:val="99"/>
                </w:rPr>
                <w:t>What does it mean if I receive more than one proxy card?</w:t>
              </w:r>
            </w:hyperlink>
          </w:p>
        </w:tc>
        <w:tc>
          <w:tcPr>
            <w:tcW w:w="800" w:type="dxa"/>
            <w:vAlign w:val="bottom"/>
            <w:gridSpan w:val="4"/>
          </w:tcPr>
          <w:p>
            <w:pPr>
              <w:spacing w:after="0"/>
              <w:rPr>
                <w:sz w:val="19"/>
                <w:szCs w:val="19"/>
                <w:color w:val="auto"/>
              </w:rPr>
            </w:pPr>
          </w:p>
        </w:tc>
        <w:tc>
          <w:tcPr>
            <w:tcW w:w="3340" w:type="dxa"/>
            <w:vAlign w:val="bottom"/>
            <w:gridSpan w:val="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10"/>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When was this proxy statement mailed?</w:t>
              </w:r>
            </w:hyperlink>
          </w:p>
        </w:tc>
        <w:tc>
          <w:tcPr>
            <w:tcW w:w="1120" w:type="dxa"/>
            <w:vAlign w:val="bottom"/>
            <w:gridSpan w:val="8"/>
          </w:tcPr>
          <w:p>
            <w:pPr>
              <w:spacing w:after="0"/>
              <w:rPr>
                <w:sz w:val="19"/>
                <w:szCs w:val="19"/>
                <w:color w:val="auto"/>
              </w:rPr>
            </w:pPr>
          </w:p>
        </w:tc>
        <w:tc>
          <w:tcPr>
            <w:tcW w:w="4140" w:type="dxa"/>
            <w:vAlign w:val="bottom"/>
            <w:gridSpan w:val="11"/>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Can I find additional information on the Company’s website?</w:t>
              </w:r>
            </w:hyperlink>
          </w:p>
        </w:tc>
        <w:tc>
          <w:tcPr>
            <w:tcW w:w="940" w:type="dxa"/>
            <w:vAlign w:val="bottom"/>
            <w:gridSpan w:val="6"/>
          </w:tcPr>
          <w:p>
            <w:pPr>
              <w:jc w:val="right"/>
              <w:spacing w:after="0"/>
              <w:rPr>
                <w:rFonts w:ascii="Arial" w:cs="Arial" w:eastAsia="Arial" w:hAnsi="Arial"/>
                <w:sz w:val="15"/>
                <w:szCs w:val="15"/>
                <w:color w:val="0000EE"/>
              </w:rPr>
            </w:pPr>
            <w:hyperlink w:anchor="page7">
              <w:r>
                <w:rPr>
                  <w:rFonts w:ascii="Arial" w:cs="Arial" w:eastAsia="Arial" w:hAnsi="Arial"/>
                  <w:sz w:val="15"/>
                  <w:szCs w:val="15"/>
                  <w:color w:val="0000EE"/>
                </w:rPr>
                <w:t>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140" w:type="dxa"/>
            <w:vAlign w:val="bottom"/>
            <w:gridSpan w:val="30"/>
          </w:tcPr>
          <w:p>
            <w:pPr>
              <w:spacing w:after="0"/>
              <w:rPr>
                <w:rFonts w:ascii="Arial" w:cs="Arial" w:eastAsia="Arial" w:hAnsi="Arial"/>
                <w:sz w:val="22"/>
                <w:szCs w:val="22"/>
                <w:b w:val="1"/>
                <w:bCs w:val="1"/>
                <w:color w:val="0000EE"/>
              </w:rPr>
            </w:pPr>
            <w:hyperlink w:anchor="page8">
              <w:r>
                <w:rPr>
                  <w:rFonts w:ascii="Arial" w:cs="Arial" w:eastAsia="Arial" w:hAnsi="Arial"/>
                  <w:sz w:val="22"/>
                  <w:szCs w:val="22"/>
                  <w:b w:val="1"/>
                  <w:bCs w:val="1"/>
                  <w:color w:val="0000EE"/>
                </w:rPr>
                <w:t>CORPORATE GOVERNANCE AND BOARD MATTERS</w:t>
              </w:r>
            </w:hyperlink>
          </w:p>
        </w:tc>
        <w:tc>
          <w:tcPr>
            <w:tcW w:w="940" w:type="dxa"/>
            <w:vAlign w:val="bottom"/>
            <w:gridSpan w:val="6"/>
          </w:tcPr>
          <w:p>
            <w:pPr>
              <w:jc w:val="right"/>
              <w:spacing w:after="0"/>
              <w:rPr>
                <w:rFonts w:ascii="Arial" w:cs="Arial" w:eastAsia="Arial" w:hAnsi="Arial"/>
                <w:sz w:val="22"/>
                <w:szCs w:val="22"/>
                <w:b w:val="1"/>
                <w:bCs w:val="1"/>
                <w:color w:val="0000EE"/>
              </w:rPr>
            </w:pPr>
            <w:hyperlink w:anchor="page8">
              <w:r>
                <w:rPr>
                  <w:rFonts w:ascii="Arial" w:cs="Arial" w:eastAsia="Arial" w:hAnsi="Arial"/>
                  <w:sz w:val="22"/>
                  <w:szCs w:val="22"/>
                  <w:b w:val="1"/>
                  <w:bCs w:val="1"/>
                  <w:color w:val="0000EE"/>
                </w:rPr>
                <w:t>4</w:t>
              </w:r>
            </w:hyperlink>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980" w:type="dxa"/>
            <w:vAlign w:val="bottom"/>
            <w:tcBorders>
              <w:top w:val="single" w:sz="8" w:color="0000EE"/>
              <w:bottom w:val="single" w:sz="8" w:color="2F5DA8"/>
            </w:tcBorders>
          </w:tcPr>
          <w:p>
            <w:pPr>
              <w:spacing w:after="0"/>
              <w:rPr>
                <w:sz w:val="7"/>
                <w:szCs w:val="7"/>
                <w:color w:val="auto"/>
              </w:rPr>
            </w:pPr>
          </w:p>
        </w:tc>
        <w:tc>
          <w:tcPr>
            <w:tcW w:w="46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200" w:type="dxa"/>
            <w:vAlign w:val="bottom"/>
            <w:tcBorders>
              <w:top w:val="single" w:sz="8" w:color="0000EE"/>
              <w:bottom w:val="single" w:sz="8" w:color="2F5DA8"/>
            </w:tcBorders>
          </w:tcPr>
          <w:p>
            <w:pPr>
              <w:spacing w:after="0"/>
              <w:rPr>
                <w:sz w:val="7"/>
                <w:szCs w:val="7"/>
                <w:color w:val="auto"/>
              </w:rPr>
            </w:pPr>
          </w:p>
        </w:tc>
        <w:tc>
          <w:tcPr>
            <w:tcW w:w="30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44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720" w:type="dxa"/>
            <w:vAlign w:val="bottom"/>
            <w:tcBorders>
              <w:bottom w:val="single" w:sz="8" w:color="2F5DA8"/>
            </w:tcBorders>
          </w:tcPr>
          <w:p>
            <w:pPr>
              <w:spacing w:after="0"/>
              <w:rPr>
                <w:sz w:val="7"/>
                <w:szCs w:val="7"/>
                <w:color w:val="auto"/>
              </w:rPr>
            </w:pPr>
          </w:p>
        </w:tc>
        <w:tc>
          <w:tcPr>
            <w:tcW w:w="580" w:type="dxa"/>
            <w:vAlign w:val="bottom"/>
            <w:tcBorders>
              <w:bottom w:val="single" w:sz="8" w:color="2F5DA8"/>
            </w:tcBorders>
          </w:tcPr>
          <w:p>
            <w:pPr>
              <w:spacing w:after="0"/>
              <w:rPr>
                <w:sz w:val="7"/>
                <w:szCs w:val="7"/>
                <w:color w:val="auto"/>
              </w:rPr>
            </w:pPr>
          </w:p>
        </w:tc>
        <w:tc>
          <w:tcPr>
            <w:tcW w:w="700" w:type="dxa"/>
            <w:vAlign w:val="bottom"/>
            <w:tcBorders>
              <w:bottom w:val="single" w:sz="8" w:color="2F5DA8"/>
            </w:tcBorders>
          </w:tcPr>
          <w:p>
            <w:pPr>
              <w:spacing w:after="0"/>
              <w:rPr>
                <w:sz w:val="7"/>
                <w:szCs w:val="7"/>
                <w:color w:val="auto"/>
              </w:rPr>
            </w:pPr>
          </w:p>
        </w:tc>
        <w:tc>
          <w:tcPr>
            <w:tcW w:w="60" w:type="dxa"/>
            <w:vAlign w:val="bottom"/>
            <w:tcBorders>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15"/>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Director Qualifications and Biographical Information</w:t>
              </w:r>
            </w:hyperlink>
          </w:p>
        </w:tc>
        <w:tc>
          <w:tcPr>
            <w:tcW w:w="4480" w:type="dxa"/>
            <w:vAlign w:val="bottom"/>
            <w:gridSpan w:val="14"/>
          </w:tcPr>
          <w:p>
            <w:pPr>
              <w:spacing w:after="0"/>
              <w:rPr>
                <w:sz w:val="18"/>
                <w:szCs w:val="18"/>
                <w:color w:val="auto"/>
              </w:rPr>
            </w:pPr>
          </w:p>
        </w:tc>
        <w:tc>
          <w:tcPr>
            <w:tcW w:w="940" w:type="dxa"/>
            <w:vAlign w:val="bottom"/>
            <w:gridSpan w:val="6"/>
          </w:tcPr>
          <w:p>
            <w:pPr>
              <w:jc w:val="right"/>
              <w:spacing w:after="0"/>
              <w:rPr>
                <w:rFonts w:ascii="Arial" w:cs="Arial" w:eastAsia="Arial" w:hAnsi="Arial"/>
                <w:sz w:val="15"/>
                <w:szCs w:val="15"/>
                <w:color w:val="0000EE"/>
              </w:rPr>
            </w:pPr>
            <w:hyperlink w:anchor="page8">
              <w:r>
                <w:rPr>
                  <w:rFonts w:ascii="Arial" w:cs="Arial" w:eastAsia="Arial" w:hAnsi="Arial"/>
                  <w:sz w:val="15"/>
                  <w:szCs w:val="15"/>
                  <w:color w:val="0000EE"/>
                </w:rPr>
                <w:t>4</w:t>
              </w:r>
            </w:hyperlink>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rFonts w:ascii="Arial" w:cs="Arial" w:eastAsia="Arial" w:hAnsi="Arial"/>
                <w:sz w:val="15"/>
                <w:szCs w:val="15"/>
                <w:color w:val="0000EE"/>
                <w:w w:val="92"/>
              </w:rPr>
            </w:pPr>
            <w:hyperlink w:anchor="page11">
              <w:r>
                <w:rPr>
                  <w:rFonts w:ascii="Arial" w:cs="Arial" w:eastAsia="Arial" w:hAnsi="Arial"/>
                  <w:sz w:val="15"/>
                  <w:szCs w:val="15"/>
                  <w:color w:val="0000EE"/>
                  <w:w w:val="92"/>
                </w:rPr>
                <w:t>Board Diversity</w:t>
              </w:r>
            </w:hyperlink>
          </w:p>
        </w:tc>
        <w:tc>
          <w:tcPr>
            <w:tcW w:w="2500" w:type="dxa"/>
            <w:vAlign w:val="bottom"/>
            <w:gridSpan w:val="14"/>
          </w:tcPr>
          <w:p>
            <w:pPr>
              <w:spacing w:after="0"/>
              <w:rPr>
                <w:sz w:val="19"/>
                <w:szCs w:val="19"/>
                <w:color w:val="auto"/>
              </w:rPr>
            </w:pPr>
          </w:p>
        </w:tc>
        <w:tc>
          <w:tcPr>
            <w:tcW w:w="4480" w:type="dxa"/>
            <w:vAlign w:val="bottom"/>
            <w:gridSpan w:val="14"/>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spacing w:after="0"/>
              <w:rPr>
                <w:rFonts w:ascii="Arial" w:cs="Arial" w:eastAsia="Arial" w:hAnsi="Arial"/>
                <w:sz w:val="15"/>
                <w:szCs w:val="15"/>
                <w:color w:val="0000EE"/>
                <w:w w:val="94"/>
              </w:rPr>
            </w:pPr>
            <w:hyperlink w:anchor="page11">
              <w:r>
                <w:rPr>
                  <w:rFonts w:ascii="Arial" w:cs="Arial" w:eastAsia="Arial" w:hAnsi="Arial"/>
                  <w:sz w:val="15"/>
                  <w:szCs w:val="15"/>
                  <w:color w:val="0000EE"/>
                  <w:w w:val="94"/>
                </w:rPr>
                <w:t>Independent Directors</w:t>
              </w:r>
            </w:hyperlink>
          </w:p>
        </w:tc>
        <w:tc>
          <w:tcPr>
            <w:tcW w:w="6520" w:type="dxa"/>
            <w:vAlign w:val="bottom"/>
            <w:gridSpan w:val="2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Board Leadership Structure</w:t>
              </w:r>
            </w:hyperlink>
          </w:p>
        </w:tc>
        <w:tc>
          <w:tcPr>
            <w:tcW w:w="940" w:type="dxa"/>
            <w:vAlign w:val="bottom"/>
            <w:gridSpan w:val="6"/>
          </w:tcPr>
          <w:p>
            <w:pPr>
              <w:jc w:val="right"/>
              <w:spacing w:after="0"/>
              <w:rPr>
                <w:rFonts w:ascii="Arial" w:cs="Arial" w:eastAsia="Arial" w:hAnsi="Arial"/>
                <w:sz w:val="15"/>
                <w:szCs w:val="15"/>
                <w:color w:val="0000EE"/>
              </w:rPr>
            </w:pPr>
            <w:hyperlink w:anchor="page11">
              <w:r>
                <w:rPr>
                  <w:rFonts w:ascii="Arial" w:cs="Arial" w:eastAsia="Arial" w:hAnsi="Arial"/>
                  <w:sz w:val="15"/>
                  <w:szCs w:val="15"/>
                  <w:color w:val="0000EE"/>
                </w:rPr>
                <w:t>7</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12"/>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Shareholder Communication with the Board</w:t>
              </w:r>
            </w:hyperlink>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2">
              <w:r>
                <w:rPr>
                  <w:rFonts w:ascii="Arial" w:cs="Arial" w:eastAsia="Arial" w:hAnsi="Arial"/>
                  <w:sz w:val="15"/>
                  <w:szCs w:val="15"/>
                  <w:color w:val="0000EE"/>
                </w:rPr>
                <w:t>8</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7"/>
          </w:tcPr>
          <w:p>
            <w:pPr>
              <w:spacing w:after="0"/>
              <w:rPr>
                <w:rFonts w:ascii="Arial" w:cs="Arial" w:eastAsia="Arial" w:hAnsi="Arial"/>
                <w:sz w:val="15"/>
                <w:szCs w:val="15"/>
                <w:color w:val="0000EE"/>
                <w:w w:val="99"/>
              </w:rPr>
            </w:pPr>
            <w:hyperlink w:anchor="page12">
              <w:r>
                <w:rPr>
                  <w:rFonts w:ascii="Arial" w:cs="Arial" w:eastAsia="Arial" w:hAnsi="Arial"/>
                  <w:sz w:val="15"/>
                  <w:szCs w:val="15"/>
                  <w:color w:val="0000EE"/>
                  <w:w w:val="99"/>
                </w:rPr>
                <w:t>Committees and Meeting Data</w:t>
              </w:r>
            </w:hyperlink>
          </w:p>
        </w:tc>
        <w:tc>
          <w:tcPr>
            <w:tcW w:w="900" w:type="dxa"/>
            <w:vAlign w:val="bottom"/>
            <w:gridSpan w:val="5"/>
          </w:tcPr>
          <w:p>
            <w:pPr>
              <w:spacing w:after="0"/>
              <w:rPr>
                <w:sz w:val="19"/>
                <w:szCs w:val="19"/>
                <w:color w:val="auto"/>
              </w:rPr>
            </w:pPr>
          </w:p>
        </w:tc>
        <w:tc>
          <w:tcPr>
            <w:tcW w:w="5000" w:type="dxa"/>
            <w:vAlign w:val="bottom"/>
            <w:gridSpan w:val="17"/>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2">
              <w:r>
                <w:rPr>
                  <w:rFonts w:ascii="Arial" w:cs="Arial" w:eastAsia="Arial" w:hAnsi="Arial"/>
                  <w:sz w:val="15"/>
                  <w:szCs w:val="15"/>
                  <w:color w:val="0000EE"/>
                </w:rPr>
                <w:t>8</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7"/>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Risk Oversight</w:t>
              </w:r>
            </w:hyperlink>
          </w:p>
        </w:tc>
        <w:tc>
          <w:tcPr>
            <w:tcW w:w="5900" w:type="dxa"/>
            <w:vAlign w:val="bottom"/>
            <w:gridSpan w:val="22"/>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2">
              <w:r>
                <w:rPr>
                  <w:rFonts w:ascii="Arial" w:cs="Arial" w:eastAsia="Arial" w:hAnsi="Arial"/>
                  <w:sz w:val="15"/>
                  <w:szCs w:val="15"/>
                  <w:color w:val="0000EE"/>
                </w:rPr>
                <w:t>8</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18"/>
          </w:tcPr>
          <w:p>
            <w:pPr>
              <w:spacing w:after="0"/>
              <w:rPr>
                <w:rFonts w:ascii="Arial" w:cs="Arial" w:eastAsia="Arial" w:hAnsi="Arial"/>
                <w:sz w:val="15"/>
                <w:szCs w:val="15"/>
                <w:color w:val="0000EE"/>
              </w:rPr>
            </w:pPr>
            <w:hyperlink w:anchor="page13">
              <w:r>
                <w:rPr>
                  <w:rFonts w:ascii="Arial" w:cs="Arial" w:eastAsia="Arial" w:hAnsi="Arial"/>
                  <w:sz w:val="15"/>
                  <w:szCs w:val="15"/>
                  <w:color w:val="0000EE"/>
                </w:rPr>
                <w:t>Environmental, Social and Governance (“ESG”) Matters.</w:t>
              </w:r>
            </w:hyperlink>
          </w:p>
        </w:tc>
        <w:tc>
          <w:tcPr>
            <w:tcW w:w="4140" w:type="dxa"/>
            <w:vAlign w:val="bottom"/>
            <w:gridSpan w:val="11"/>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3">
              <w:r>
                <w:rPr>
                  <w:rFonts w:ascii="Arial" w:cs="Arial" w:eastAsia="Arial" w:hAnsi="Arial"/>
                  <w:sz w:val="15"/>
                  <w:szCs w:val="15"/>
                  <w:color w:val="0000EE"/>
                </w:rPr>
                <w:t>9</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4"/>
          </w:tcPr>
          <w:p>
            <w:pPr>
              <w:spacing w:after="0"/>
              <w:rPr>
                <w:rFonts w:ascii="Arial" w:cs="Arial" w:eastAsia="Arial" w:hAnsi="Arial"/>
                <w:sz w:val="15"/>
                <w:szCs w:val="15"/>
                <w:color w:val="0000EE"/>
                <w:w w:val="99"/>
              </w:rPr>
            </w:pPr>
            <w:hyperlink w:anchor="page15">
              <w:r>
                <w:rPr>
                  <w:rFonts w:ascii="Arial" w:cs="Arial" w:eastAsia="Arial" w:hAnsi="Arial"/>
                  <w:sz w:val="15"/>
                  <w:szCs w:val="15"/>
                  <w:color w:val="0000EE"/>
                  <w:w w:val="99"/>
                </w:rPr>
                <w:t>Nominating Procedures</w:t>
              </w:r>
            </w:hyperlink>
          </w:p>
        </w:tc>
        <w:tc>
          <w:tcPr>
            <w:tcW w:w="2220" w:type="dxa"/>
            <w:vAlign w:val="bottom"/>
            <w:gridSpan w:val="14"/>
          </w:tcPr>
          <w:p>
            <w:pPr>
              <w:spacing w:after="0"/>
              <w:rPr>
                <w:sz w:val="19"/>
                <w:szCs w:val="19"/>
                <w:color w:val="auto"/>
              </w:rPr>
            </w:pPr>
          </w:p>
        </w:tc>
        <w:tc>
          <w:tcPr>
            <w:tcW w:w="4140" w:type="dxa"/>
            <w:vAlign w:val="bottom"/>
            <w:gridSpan w:val="11"/>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5">
              <w:r>
                <w:rPr>
                  <w:rFonts w:ascii="Arial" w:cs="Arial" w:eastAsia="Arial" w:hAnsi="Arial"/>
                  <w:sz w:val="15"/>
                  <w:szCs w:val="15"/>
                  <w:color w:val="0000EE"/>
                </w:rPr>
                <w:t>11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7"/>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Board Attendance at Meetings</w:t>
              </w:r>
            </w:hyperlink>
          </w:p>
        </w:tc>
        <w:tc>
          <w:tcPr>
            <w:tcW w:w="5900" w:type="dxa"/>
            <w:vAlign w:val="bottom"/>
            <w:gridSpan w:val="22"/>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5">
              <w:r>
                <w:rPr>
                  <w:rFonts w:ascii="Arial" w:cs="Arial" w:eastAsia="Arial" w:hAnsi="Arial"/>
                  <w:sz w:val="15"/>
                  <w:szCs w:val="15"/>
                  <w:color w:val="0000EE"/>
                </w:rPr>
                <w:t>11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Compensation Committee Interlocks and Insider Participation</w:t>
              </w:r>
            </w:hyperlink>
          </w:p>
        </w:tc>
        <w:tc>
          <w:tcPr>
            <w:tcW w:w="940" w:type="dxa"/>
            <w:vAlign w:val="bottom"/>
            <w:gridSpan w:val="6"/>
          </w:tcPr>
          <w:p>
            <w:pPr>
              <w:jc w:val="right"/>
              <w:spacing w:after="0"/>
              <w:rPr>
                <w:rFonts w:ascii="Arial" w:cs="Arial" w:eastAsia="Arial" w:hAnsi="Arial"/>
                <w:sz w:val="15"/>
                <w:szCs w:val="15"/>
                <w:color w:val="0000EE"/>
              </w:rPr>
            </w:pPr>
            <w:hyperlink w:anchor="page15">
              <w:r>
                <w:rPr>
                  <w:rFonts w:ascii="Arial" w:cs="Arial" w:eastAsia="Arial" w:hAnsi="Arial"/>
                  <w:sz w:val="15"/>
                  <w:szCs w:val="15"/>
                  <w:color w:val="0000EE"/>
                </w:rPr>
                <w:t>11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40" w:type="dxa"/>
            <w:vAlign w:val="bottom"/>
            <w:gridSpan w:val="20"/>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Ownership Guidelines for Directors and Officers</w:t>
              </w:r>
            </w:hyperlink>
          </w:p>
        </w:tc>
        <w:tc>
          <w:tcPr>
            <w:tcW w:w="3820" w:type="dxa"/>
            <w:vAlign w:val="bottom"/>
            <w:gridSpan w:val="9"/>
          </w:tcPr>
          <w:p>
            <w:pPr>
              <w:spacing w:after="0"/>
              <w:rPr>
                <w:sz w:val="19"/>
                <w:szCs w:val="19"/>
                <w:color w:val="auto"/>
              </w:rPr>
            </w:pPr>
          </w:p>
        </w:tc>
        <w:tc>
          <w:tcPr>
            <w:tcW w:w="940" w:type="dxa"/>
            <w:vAlign w:val="bottom"/>
            <w:gridSpan w:val="6"/>
          </w:tcPr>
          <w:p>
            <w:pPr>
              <w:jc w:val="right"/>
              <w:spacing w:after="0"/>
              <w:rPr>
                <w:rFonts w:ascii="Arial" w:cs="Arial" w:eastAsia="Arial" w:hAnsi="Arial"/>
                <w:sz w:val="15"/>
                <w:szCs w:val="15"/>
                <w:color w:val="0000EE"/>
              </w:rPr>
            </w:pPr>
            <w:hyperlink w:anchor="page15">
              <w:r>
                <w:rPr>
                  <w:rFonts w:ascii="Arial" w:cs="Arial" w:eastAsia="Arial" w:hAnsi="Arial"/>
                  <w:sz w:val="15"/>
                  <w:szCs w:val="15"/>
                  <w:color w:val="0000EE"/>
                </w:rPr>
                <w:t>11</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140" w:type="dxa"/>
            <w:vAlign w:val="bottom"/>
            <w:gridSpan w:val="30"/>
          </w:tcPr>
          <w:p>
            <w:pPr>
              <w:spacing w:after="0"/>
              <w:rPr>
                <w:rFonts w:ascii="Arial" w:cs="Arial" w:eastAsia="Arial" w:hAnsi="Arial"/>
                <w:sz w:val="22"/>
                <w:szCs w:val="22"/>
                <w:b w:val="1"/>
                <w:bCs w:val="1"/>
                <w:color w:val="0000EE"/>
              </w:rPr>
            </w:pPr>
            <w:hyperlink w:anchor="page16">
              <w:r>
                <w:rPr>
                  <w:rFonts w:ascii="Arial" w:cs="Arial" w:eastAsia="Arial" w:hAnsi="Arial"/>
                  <w:sz w:val="22"/>
                  <w:szCs w:val="22"/>
                  <w:b w:val="1"/>
                  <w:bCs w:val="1"/>
                  <w:color w:val="0000EE"/>
                </w:rPr>
                <w:t>PROPOSALS TO BE VOTED ON</w:t>
              </w:r>
            </w:hyperlink>
          </w:p>
        </w:tc>
        <w:tc>
          <w:tcPr>
            <w:tcW w:w="940" w:type="dxa"/>
            <w:vAlign w:val="bottom"/>
            <w:gridSpan w:val="6"/>
          </w:tcPr>
          <w:p>
            <w:pPr>
              <w:jc w:val="right"/>
              <w:spacing w:after="0"/>
              <w:rPr>
                <w:rFonts w:ascii="Arial" w:cs="Arial" w:eastAsia="Arial" w:hAnsi="Arial"/>
                <w:sz w:val="22"/>
                <w:szCs w:val="22"/>
                <w:b w:val="1"/>
                <w:bCs w:val="1"/>
                <w:color w:val="0000EE"/>
              </w:rPr>
            </w:pPr>
            <w:hyperlink w:anchor="page16">
              <w:r>
                <w:rPr>
                  <w:rFonts w:ascii="Arial" w:cs="Arial" w:eastAsia="Arial" w:hAnsi="Arial"/>
                  <w:sz w:val="22"/>
                  <w:szCs w:val="22"/>
                  <w:b w:val="1"/>
                  <w:bCs w:val="1"/>
                  <w:color w:val="0000EE"/>
                </w:rPr>
                <w:t>12</w:t>
              </w:r>
            </w:hyperlink>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980" w:type="dxa"/>
            <w:vAlign w:val="bottom"/>
            <w:tcBorders>
              <w:top w:val="single" w:sz="8" w:color="0000EE"/>
              <w:bottom w:val="single" w:sz="8" w:color="2F5DA8"/>
            </w:tcBorders>
          </w:tcPr>
          <w:p>
            <w:pPr>
              <w:spacing w:after="0"/>
              <w:rPr>
                <w:sz w:val="7"/>
                <w:szCs w:val="7"/>
                <w:color w:val="auto"/>
              </w:rPr>
            </w:pPr>
          </w:p>
        </w:tc>
        <w:tc>
          <w:tcPr>
            <w:tcW w:w="46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200" w:type="dxa"/>
            <w:vAlign w:val="bottom"/>
            <w:tcBorders>
              <w:top w:val="single" w:sz="8" w:color="0000EE"/>
              <w:bottom w:val="single" w:sz="8" w:color="2F5DA8"/>
            </w:tcBorders>
          </w:tcPr>
          <w:p>
            <w:pPr>
              <w:spacing w:after="0"/>
              <w:rPr>
                <w:sz w:val="7"/>
                <w:szCs w:val="7"/>
                <w:color w:val="auto"/>
              </w:rPr>
            </w:pPr>
          </w:p>
        </w:tc>
        <w:tc>
          <w:tcPr>
            <w:tcW w:w="30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140" w:type="dxa"/>
            <w:vAlign w:val="bottom"/>
            <w:tcBorders>
              <w:bottom w:val="single" w:sz="8" w:color="2F5DA8"/>
            </w:tcBorders>
          </w:tcPr>
          <w:p>
            <w:pPr>
              <w:spacing w:after="0"/>
              <w:rPr>
                <w:sz w:val="7"/>
                <w:szCs w:val="7"/>
                <w:color w:val="auto"/>
              </w:rPr>
            </w:pPr>
          </w:p>
        </w:tc>
        <w:tc>
          <w:tcPr>
            <w:tcW w:w="26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16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160" w:type="dxa"/>
            <w:vAlign w:val="bottom"/>
            <w:tcBorders>
              <w:bottom w:val="single" w:sz="8" w:color="2F5DA8"/>
            </w:tcBorders>
          </w:tcPr>
          <w:p>
            <w:pPr>
              <w:spacing w:after="0"/>
              <w:rPr>
                <w:sz w:val="7"/>
                <w:szCs w:val="7"/>
                <w:color w:val="auto"/>
              </w:rPr>
            </w:pPr>
          </w:p>
        </w:tc>
        <w:tc>
          <w:tcPr>
            <w:tcW w:w="440" w:type="dxa"/>
            <w:vAlign w:val="bottom"/>
            <w:tcBorders>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720" w:type="dxa"/>
            <w:vAlign w:val="bottom"/>
            <w:tcBorders>
              <w:bottom w:val="single" w:sz="8" w:color="2F5DA8"/>
            </w:tcBorders>
          </w:tcPr>
          <w:p>
            <w:pPr>
              <w:spacing w:after="0"/>
              <w:rPr>
                <w:sz w:val="7"/>
                <w:szCs w:val="7"/>
                <w:color w:val="auto"/>
              </w:rPr>
            </w:pPr>
          </w:p>
        </w:tc>
        <w:tc>
          <w:tcPr>
            <w:tcW w:w="580" w:type="dxa"/>
            <w:vAlign w:val="bottom"/>
            <w:tcBorders>
              <w:bottom w:val="single" w:sz="8" w:color="2F5DA8"/>
            </w:tcBorders>
          </w:tcPr>
          <w:p>
            <w:pPr>
              <w:spacing w:after="0"/>
              <w:rPr>
                <w:sz w:val="7"/>
                <w:szCs w:val="7"/>
                <w:color w:val="auto"/>
              </w:rPr>
            </w:pPr>
          </w:p>
        </w:tc>
        <w:tc>
          <w:tcPr>
            <w:tcW w:w="70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60" w:type="dxa"/>
            <w:vAlign w:val="bottom"/>
            <w:gridSpan w:val="29"/>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Proposal 1 – Election of Directors</w:t>
              </w:r>
            </w:hyperlink>
          </w:p>
        </w:tc>
        <w:tc>
          <w:tcPr>
            <w:tcW w:w="940" w:type="dxa"/>
            <w:vAlign w:val="bottom"/>
            <w:gridSpan w:val="6"/>
          </w:tcPr>
          <w:p>
            <w:pPr>
              <w:jc w:val="right"/>
              <w:spacing w:after="0"/>
              <w:rPr>
                <w:rFonts w:ascii="Arial" w:cs="Arial" w:eastAsia="Arial" w:hAnsi="Arial"/>
                <w:sz w:val="15"/>
                <w:szCs w:val="15"/>
                <w:color w:val="0000EE"/>
              </w:rPr>
            </w:pPr>
            <w:hyperlink w:anchor="page16">
              <w:r>
                <w:rPr>
                  <w:rFonts w:ascii="Arial" w:cs="Arial" w:eastAsia="Arial" w:hAnsi="Arial"/>
                  <w:sz w:val="15"/>
                  <w:szCs w:val="15"/>
                  <w:color w:val="0000EE"/>
                </w:rPr>
                <w:t>12</w:t>
              </w:r>
            </w:hyperlink>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tcBorders>
              <w:bottom w:val="single" w:sz="8" w:color="0000EE"/>
            </w:tcBorders>
            <w:gridSpan w:val="18"/>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Proposal 2 – Advisory Vote on Executive Compensation</w:t>
              </w:r>
            </w:hyperlink>
          </w:p>
        </w:tc>
        <w:tc>
          <w:tcPr>
            <w:tcW w:w="4140" w:type="dxa"/>
            <w:vAlign w:val="bottom"/>
            <w:gridSpan w:val="11"/>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EE"/>
            </w:tcBorders>
            <w:gridSpan w:val="4"/>
          </w:tcPr>
          <w:p>
            <w:pPr>
              <w:jc w:val="right"/>
              <w:spacing w:after="0"/>
              <w:rPr>
                <w:rFonts w:ascii="Arial" w:cs="Arial" w:eastAsia="Arial" w:hAnsi="Arial"/>
                <w:sz w:val="15"/>
                <w:szCs w:val="15"/>
                <w:color w:val="0000EE"/>
                <w:w w:val="95"/>
              </w:rPr>
            </w:pPr>
            <w:hyperlink w:anchor="page16">
              <w:r>
                <w:rPr>
                  <w:rFonts w:ascii="Arial" w:cs="Arial" w:eastAsia="Arial" w:hAnsi="Arial"/>
                  <w:sz w:val="15"/>
                  <w:szCs w:val="15"/>
                  <w:color w:val="0000EE"/>
                  <w:w w:val="95"/>
                </w:rPr>
                <w:t>12</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Proposal 3 – Advisory Vote on the Ratification of Independent Registered Public Accounting Firm</w:t>
              </w:r>
            </w:hyperlink>
          </w:p>
        </w:tc>
        <w:tc>
          <w:tcPr>
            <w:tcW w:w="940" w:type="dxa"/>
            <w:vAlign w:val="bottom"/>
            <w:gridSpan w:val="6"/>
          </w:tcPr>
          <w:p>
            <w:pPr>
              <w:jc w:val="right"/>
              <w:spacing w:after="0"/>
              <w:rPr>
                <w:rFonts w:ascii="Arial" w:cs="Arial" w:eastAsia="Arial" w:hAnsi="Arial"/>
                <w:sz w:val="15"/>
                <w:szCs w:val="15"/>
                <w:color w:val="0000EE"/>
              </w:rPr>
            </w:pPr>
            <w:hyperlink w:anchor="page17">
              <w:r>
                <w:rPr>
                  <w:rFonts w:ascii="Arial" w:cs="Arial" w:eastAsia="Arial" w:hAnsi="Arial"/>
                  <w:sz w:val="15"/>
                  <w:szCs w:val="15"/>
                  <w:color w:val="0000EE"/>
                </w:rPr>
                <w:t>13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140" w:type="dxa"/>
            <w:vAlign w:val="bottom"/>
            <w:gridSpan w:val="30"/>
          </w:tcPr>
          <w:p>
            <w:pPr>
              <w:spacing w:after="0"/>
              <w:rPr>
                <w:rFonts w:ascii="Arial" w:cs="Arial" w:eastAsia="Arial" w:hAnsi="Arial"/>
                <w:sz w:val="22"/>
                <w:szCs w:val="22"/>
                <w:b w:val="1"/>
                <w:bCs w:val="1"/>
                <w:color w:val="0000EE"/>
              </w:rPr>
            </w:pPr>
            <w:hyperlink w:anchor="page18">
              <w:r>
                <w:rPr>
                  <w:rFonts w:ascii="Arial" w:cs="Arial" w:eastAsia="Arial" w:hAnsi="Arial"/>
                  <w:sz w:val="22"/>
                  <w:szCs w:val="22"/>
                  <w:b w:val="1"/>
                  <w:bCs w:val="1"/>
                  <w:color w:val="0000EE"/>
                </w:rPr>
                <w:t>EXECUTIVE OFFICERS</w:t>
              </w:r>
            </w:hyperlink>
          </w:p>
        </w:tc>
        <w:tc>
          <w:tcPr>
            <w:tcW w:w="940" w:type="dxa"/>
            <w:vAlign w:val="bottom"/>
            <w:gridSpan w:val="6"/>
          </w:tcPr>
          <w:p>
            <w:pPr>
              <w:jc w:val="right"/>
              <w:spacing w:after="0"/>
              <w:rPr>
                <w:rFonts w:ascii="Arial" w:cs="Arial" w:eastAsia="Arial" w:hAnsi="Arial"/>
                <w:sz w:val="22"/>
                <w:szCs w:val="22"/>
                <w:b w:val="1"/>
                <w:bCs w:val="1"/>
                <w:color w:val="0000EE"/>
              </w:rPr>
            </w:pPr>
            <w:hyperlink w:anchor="page18">
              <w:r>
                <w:rPr>
                  <w:rFonts w:ascii="Arial" w:cs="Arial" w:eastAsia="Arial" w:hAnsi="Arial"/>
                  <w:sz w:val="22"/>
                  <w:szCs w:val="22"/>
                  <w:b w:val="1"/>
                  <w:bCs w:val="1"/>
                  <w:color w:val="0000EE"/>
                </w:rPr>
                <w:t>14</w:t>
              </w:r>
            </w:hyperlink>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980" w:type="dxa"/>
            <w:vAlign w:val="bottom"/>
            <w:tcBorders>
              <w:top w:val="single" w:sz="8" w:color="0000EE"/>
              <w:bottom w:val="single" w:sz="8" w:color="2F5DA8"/>
            </w:tcBorders>
          </w:tcPr>
          <w:p>
            <w:pPr>
              <w:spacing w:after="0"/>
              <w:rPr>
                <w:sz w:val="7"/>
                <w:szCs w:val="7"/>
                <w:color w:val="auto"/>
              </w:rPr>
            </w:pPr>
          </w:p>
        </w:tc>
        <w:tc>
          <w:tcPr>
            <w:tcW w:w="46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200" w:type="dxa"/>
            <w:vAlign w:val="bottom"/>
            <w:tcBorders>
              <w:top w:val="single" w:sz="8" w:color="0000EE"/>
              <w:bottom w:val="single" w:sz="8" w:color="2F5DA8"/>
            </w:tcBorders>
          </w:tcPr>
          <w:p>
            <w:pPr>
              <w:spacing w:after="0"/>
              <w:rPr>
                <w:sz w:val="7"/>
                <w:szCs w:val="7"/>
                <w:color w:val="auto"/>
              </w:rPr>
            </w:pPr>
          </w:p>
        </w:tc>
        <w:tc>
          <w:tcPr>
            <w:tcW w:w="300" w:type="dxa"/>
            <w:vAlign w:val="bottom"/>
            <w:tcBorders>
              <w:bottom w:val="single" w:sz="8" w:color="2F5DA8"/>
            </w:tcBorders>
          </w:tcPr>
          <w:p>
            <w:pPr>
              <w:spacing w:after="0"/>
              <w:rPr>
                <w:sz w:val="7"/>
                <w:szCs w:val="7"/>
                <w:color w:val="auto"/>
              </w:rPr>
            </w:pPr>
          </w:p>
        </w:tc>
        <w:tc>
          <w:tcPr>
            <w:tcW w:w="14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160" w:type="dxa"/>
            <w:vAlign w:val="bottom"/>
            <w:tcBorders>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140" w:type="dxa"/>
            <w:vAlign w:val="bottom"/>
            <w:tcBorders>
              <w:bottom w:val="single" w:sz="8" w:color="2F5DA8"/>
            </w:tcBorders>
          </w:tcPr>
          <w:p>
            <w:pPr>
              <w:spacing w:after="0"/>
              <w:rPr>
                <w:sz w:val="7"/>
                <w:szCs w:val="7"/>
                <w:color w:val="auto"/>
              </w:rPr>
            </w:pPr>
          </w:p>
        </w:tc>
        <w:tc>
          <w:tcPr>
            <w:tcW w:w="26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16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240" w:type="dxa"/>
            <w:vAlign w:val="bottom"/>
            <w:tcBorders>
              <w:bottom w:val="single" w:sz="8" w:color="2F5DA8"/>
            </w:tcBorders>
          </w:tcPr>
          <w:p>
            <w:pPr>
              <w:spacing w:after="0"/>
              <w:rPr>
                <w:sz w:val="7"/>
                <w:szCs w:val="7"/>
                <w:color w:val="auto"/>
              </w:rPr>
            </w:pPr>
          </w:p>
        </w:tc>
        <w:tc>
          <w:tcPr>
            <w:tcW w:w="160" w:type="dxa"/>
            <w:vAlign w:val="bottom"/>
            <w:tcBorders>
              <w:bottom w:val="single" w:sz="8" w:color="2F5DA8"/>
            </w:tcBorders>
          </w:tcPr>
          <w:p>
            <w:pPr>
              <w:spacing w:after="0"/>
              <w:rPr>
                <w:sz w:val="7"/>
                <w:szCs w:val="7"/>
                <w:color w:val="auto"/>
              </w:rPr>
            </w:pPr>
          </w:p>
        </w:tc>
        <w:tc>
          <w:tcPr>
            <w:tcW w:w="440" w:type="dxa"/>
            <w:vAlign w:val="bottom"/>
            <w:tcBorders>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720" w:type="dxa"/>
            <w:vAlign w:val="bottom"/>
            <w:tcBorders>
              <w:bottom w:val="single" w:sz="8" w:color="2F5DA8"/>
            </w:tcBorders>
          </w:tcPr>
          <w:p>
            <w:pPr>
              <w:spacing w:after="0"/>
              <w:rPr>
                <w:sz w:val="7"/>
                <w:szCs w:val="7"/>
                <w:color w:val="auto"/>
              </w:rPr>
            </w:pPr>
          </w:p>
        </w:tc>
        <w:tc>
          <w:tcPr>
            <w:tcW w:w="580" w:type="dxa"/>
            <w:vAlign w:val="bottom"/>
            <w:tcBorders>
              <w:bottom w:val="single" w:sz="8" w:color="2F5DA8"/>
            </w:tcBorders>
          </w:tcPr>
          <w:p>
            <w:pPr>
              <w:spacing w:after="0"/>
              <w:rPr>
                <w:sz w:val="7"/>
                <w:szCs w:val="7"/>
                <w:color w:val="auto"/>
              </w:rPr>
            </w:pPr>
          </w:p>
        </w:tc>
        <w:tc>
          <w:tcPr>
            <w:tcW w:w="70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480"/>
        </w:trPr>
        <w:tc>
          <w:tcPr>
            <w:tcW w:w="960" w:type="dxa"/>
            <w:vAlign w:val="bottom"/>
          </w:tcPr>
          <w:p>
            <w:pPr>
              <w:spacing w:after="0"/>
              <w:rPr>
                <w:sz w:val="24"/>
                <w:szCs w:val="24"/>
                <w:color w:val="auto"/>
              </w:rPr>
            </w:pPr>
          </w:p>
        </w:tc>
        <w:tc>
          <w:tcPr>
            <w:tcW w:w="8140" w:type="dxa"/>
            <w:vAlign w:val="bottom"/>
            <w:gridSpan w:val="30"/>
          </w:tcPr>
          <w:p>
            <w:pPr>
              <w:spacing w:after="0"/>
              <w:rPr>
                <w:rFonts w:ascii="Arial" w:cs="Arial" w:eastAsia="Arial" w:hAnsi="Arial"/>
                <w:sz w:val="22"/>
                <w:szCs w:val="22"/>
                <w:b w:val="1"/>
                <w:bCs w:val="1"/>
                <w:color w:val="0000EE"/>
              </w:rPr>
            </w:pPr>
            <w:hyperlink w:anchor="page19">
              <w:r>
                <w:rPr>
                  <w:rFonts w:ascii="Arial" w:cs="Arial" w:eastAsia="Arial" w:hAnsi="Arial"/>
                  <w:sz w:val="22"/>
                  <w:szCs w:val="22"/>
                  <w:b w:val="1"/>
                  <w:bCs w:val="1"/>
                  <w:color w:val="0000EE"/>
                </w:rPr>
                <w:t>COMPENSATION OF NAMED EXECUTIVE OFFICERS</w:t>
              </w:r>
            </w:hyperlink>
          </w:p>
        </w:tc>
        <w:tc>
          <w:tcPr>
            <w:tcW w:w="940" w:type="dxa"/>
            <w:vAlign w:val="bottom"/>
            <w:gridSpan w:val="6"/>
          </w:tcPr>
          <w:p>
            <w:pPr>
              <w:jc w:val="right"/>
              <w:spacing w:after="0"/>
              <w:rPr>
                <w:rFonts w:ascii="Arial" w:cs="Arial" w:eastAsia="Arial" w:hAnsi="Arial"/>
                <w:sz w:val="22"/>
                <w:szCs w:val="22"/>
                <w:b w:val="1"/>
                <w:bCs w:val="1"/>
                <w:color w:val="0000EE"/>
              </w:rPr>
            </w:pPr>
            <w:hyperlink w:anchor="page19">
              <w:r>
                <w:rPr>
                  <w:rFonts w:ascii="Arial" w:cs="Arial" w:eastAsia="Arial" w:hAnsi="Arial"/>
                  <w:sz w:val="22"/>
                  <w:szCs w:val="22"/>
                  <w:b w:val="1"/>
                  <w:bCs w:val="1"/>
                  <w:color w:val="0000EE"/>
                </w:rPr>
                <w:t>15</w:t>
              </w:r>
            </w:hyperlink>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980" w:type="dxa"/>
            <w:vAlign w:val="bottom"/>
            <w:tcBorders>
              <w:top w:val="single" w:sz="8" w:color="0000EE"/>
              <w:bottom w:val="single" w:sz="8" w:color="2F5DA8"/>
            </w:tcBorders>
          </w:tcPr>
          <w:p>
            <w:pPr>
              <w:spacing w:after="0"/>
              <w:rPr>
                <w:sz w:val="7"/>
                <w:szCs w:val="7"/>
                <w:color w:val="auto"/>
              </w:rPr>
            </w:pPr>
          </w:p>
        </w:tc>
        <w:tc>
          <w:tcPr>
            <w:tcW w:w="46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200" w:type="dxa"/>
            <w:vAlign w:val="bottom"/>
            <w:tcBorders>
              <w:top w:val="single" w:sz="8" w:color="0000EE"/>
              <w:bottom w:val="single" w:sz="8" w:color="2F5DA8"/>
            </w:tcBorders>
          </w:tcPr>
          <w:p>
            <w:pPr>
              <w:spacing w:after="0"/>
              <w:rPr>
                <w:sz w:val="7"/>
                <w:szCs w:val="7"/>
                <w:color w:val="auto"/>
              </w:rPr>
            </w:pPr>
          </w:p>
        </w:tc>
        <w:tc>
          <w:tcPr>
            <w:tcW w:w="30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14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240" w:type="dxa"/>
            <w:vAlign w:val="bottom"/>
            <w:tcBorders>
              <w:top w:val="single" w:sz="8" w:color="0000EE"/>
              <w:bottom w:val="single" w:sz="8" w:color="2F5DA8"/>
            </w:tcBorders>
          </w:tcPr>
          <w:p>
            <w:pPr>
              <w:spacing w:after="0"/>
              <w:rPr>
                <w:sz w:val="7"/>
                <w:szCs w:val="7"/>
                <w:color w:val="auto"/>
              </w:rPr>
            </w:pPr>
          </w:p>
        </w:tc>
        <w:tc>
          <w:tcPr>
            <w:tcW w:w="160" w:type="dxa"/>
            <w:vAlign w:val="bottom"/>
            <w:tcBorders>
              <w:top w:val="single" w:sz="8" w:color="0000EE"/>
              <w:bottom w:val="single" w:sz="8" w:color="2F5DA8"/>
            </w:tcBorders>
          </w:tcPr>
          <w:p>
            <w:pPr>
              <w:spacing w:after="0"/>
              <w:rPr>
                <w:sz w:val="7"/>
                <w:szCs w:val="7"/>
                <w:color w:val="auto"/>
              </w:rPr>
            </w:pPr>
          </w:p>
        </w:tc>
        <w:tc>
          <w:tcPr>
            <w:tcW w:w="44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720" w:type="dxa"/>
            <w:vAlign w:val="bottom"/>
            <w:tcBorders>
              <w:bottom w:val="single" w:sz="8" w:color="2F5DA8"/>
            </w:tcBorders>
          </w:tcPr>
          <w:p>
            <w:pPr>
              <w:spacing w:after="0"/>
              <w:rPr>
                <w:sz w:val="7"/>
                <w:szCs w:val="7"/>
                <w:color w:val="auto"/>
              </w:rPr>
            </w:pPr>
          </w:p>
        </w:tc>
        <w:tc>
          <w:tcPr>
            <w:tcW w:w="580" w:type="dxa"/>
            <w:vAlign w:val="bottom"/>
            <w:tcBorders>
              <w:bottom w:val="single" w:sz="8" w:color="2F5DA8"/>
            </w:tcBorders>
          </w:tcPr>
          <w:p>
            <w:pPr>
              <w:spacing w:after="0"/>
              <w:rPr>
                <w:sz w:val="7"/>
                <w:szCs w:val="7"/>
                <w:color w:val="auto"/>
              </w:rPr>
            </w:pPr>
          </w:p>
        </w:tc>
        <w:tc>
          <w:tcPr>
            <w:tcW w:w="70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2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Borders>
              <w:bottom w:val="single" w:sz="8" w:color="0000EE"/>
            </w:tcBorders>
            <w:gridSpan w:val="10"/>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Compensation Discussion and Analysis</w:t>
              </w:r>
            </w:hyperlink>
          </w:p>
        </w:tc>
        <w:tc>
          <w:tcPr>
            <w:tcW w:w="5260" w:type="dxa"/>
            <w:vAlign w:val="bottom"/>
            <w:gridSpan w:val="19"/>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EE"/>
            </w:tcBorders>
            <w:gridSpan w:val="4"/>
          </w:tcPr>
          <w:p>
            <w:pPr>
              <w:jc w:val="right"/>
              <w:spacing w:after="0"/>
              <w:rPr>
                <w:rFonts w:ascii="Arial" w:cs="Arial" w:eastAsia="Arial" w:hAnsi="Arial"/>
                <w:sz w:val="15"/>
                <w:szCs w:val="15"/>
                <w:color w:val="0000EE"/>
                <w:w w:val="95"/>
              </w:rPr>
            </w:pPr>
            <w:hyperlink w:anchor="page19">
              <w:r>
                <w:rPr>
                  <w:rFonts w:ascii="Arial" w:cs="Arial" w:eastAsia="Arial" w:hAnsi="Arial"/>
                  <w:sz w:val="15"/>
                  <w:szCs w:val="15"/>
                  <w:color w:val="0000EE"/>
                  <w:w w:val="95"/>
                </w:rPr>
                <w:t>15</w:t>
              </w:r>
            </w:hyperlink>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Director Compensation in 2021</w:t>
              </w:r>
            </w:hyperlink>
          </w:p>
        </w:tc>
        <w:tc>
          <w:tcPr>
            <w:tcW w:w="940" w:type="dxa"/>
            <w:vAlign w:val="bottom"/>
            <w:gridSpan w:val="6"/>
          </w:tcPr>
          <w:p>
            <w:pPr>
              <w:jc w:val="right"/>
              <w:spacing w:after="0"/>
              <w:rPr>
                <w:rFonts w:ascii="Arial" w:cs="Arial" w:eastAsia="Arial" w:hAnsi="Arial"/>
                <w:sz w:val="15"/>
                <w:szCs w:val="15"/>
                <w:color w:val="0000EE"/>
              </w:rPr>
            </w:pPr>
            <w:hyperlink w:anchor="page27">
              <w:r>
                <w:rPr>
                  <w:rFonts w:ascii="Arial" w:cs="Arial" w:eastAsia="Arial" w:hAnsi="Arial"/>
                  <w:sz w:val="15"/>
                  <w:szCs w:val="15"/>
                  <w:color w:val="0000EE"/>
                </w:rPr>
                <w:t>23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Employment Agreements and Related Arrangements</w:t>
              </w:r>
            </w:hyperlink>
          </w:p>
        </w:tc>
        <w:tc>
          <w:tcPr>
            <w:tcW w:w="940" w:type="dxa"/>
            <w:vAlign w:val="bottom"/>
            <w:gridSpan w:val="6"/>
          </w:tcPr>
          <w:p>
            <w:pPr>
              <w:jc w:val="right"/>
              <w:spacing w:after="0"/>
              <w:rPr>
                <w:rFonts w:ascii="Arial" w:cs="Arial" w:eastAsia="Arial" w:hAnsi="Arial"/>
                <w:sz w:val="15"/>
                <w:szCs w:val="15"/>
                <w:color w:val="0000EE"/>
              </w:rPr>
            </w:pPr>
            <w:hyperlink w:anchor="page27">
              <w:r>
                <w:rPr>
                  <w:rFonts w:ascii="Arial" w:cs="Arial" w:eastAsia="Arial" w:hAnsi="Arial"/>
                  <w:sz w:val="15"/>
                  <w:szCs w:val="15"/>
                  <w:color w:val="0000EE"/>
                </w:rPr>
                <w:t>23</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Report of the Human Capital and Compensation Committee</w:t>
              </w:r>
            </w:hyperlink>
          </w:p>
        </w:tc>
        <w:tc>
          <w:tcPr>
            <w:tcW w:w="940" w:type="dxa"/>
            <w:vAlign w:val="bottom"/>
            <w:gridSpan w:val="6"/>
          </w:tcPr>
          <w:p>
            <w:pPr>
              <w:jc w:val="right"/>
              <w:spacing w:after="0"/>
              <w:rPr>
                <w:rFonts w:ascii="Arial" w:cs="Arial" w:eastAsia="Arial" w:hAnsi="Arial"/>
                <w:sz w:val="15"/>
                <w:szCs w:val="15"/>
                <w:color w:val="0000EE"/>
              </w:rPr>
            </w:pPr>
            <w:hyperlink w:anchor="page28">
              <w:r>
                <w:rPr>
                  <w:rFonts w:ascii="Arial" w:cs="Arial" w:eastAsia="Arial" w:hAnsi="Arial"/>
                  <w:sz w:val="15"/>
                  <w:szCs w:val="15"/>
                  <w:color w:val="0000EE"/>
                </w:rPr>
                <w:t>24</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top w:val="single" w:sz="8" w:color="0000EE"/>
              <w:bottom w:val="single" w:sz="8" w:color="0000EE"/>
            </w:tcBorders>
            <w:gridSpan w:val="2"/>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Pay Ratio Disclosure</w:t>
              </w:r>
            </w:hyperlink>
          </w:p>
        </w:tc>
        <w:tc>
          <w:tcPr>
            <w:tcW w:w="2620" w:type="dxa"/>
            <w:vAlign w:val="bottom"/>
            <w:tcBorders>
              <w:top w:val="single" w:sz="8" w:color="0000EE"/>
            </w:tcBorders>
            <w:gridSpan w:val="17"/>
          </w:tcPr>
          <w:p>
            <w:pPr>
              <w:spacing w:after="0"/>
              <w:rPr>
                <w:sz w:val="19"/>
                <w:szCs w:val="19"/>
                <w:color w:val="auto"/>
              </w:rPr>
            </w:pPr>
          </w:p>
        </w:tc>
        <w:tc>
          <w:tcPr>
            <w:tcW w:w="3900" w:type="dxa"/>
            <w:vAlign w:val="bottom"/>
            <w:gridSpan w:val="10"/>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top w:val="single" w:sz="8" w:color="0000EE"/>
              <w:bottom w:val="single" w:sz="8" w:color="0000EE"/>
            </w:tcBorders>
            <w:gridSpan w:val="4"/>
          </w:tcPr>
          <w:p>
            <w:pPr>
              <w:jc w:val="right"/>
              <w:spacing w:after="0"/>
              <w:rPr>
                <w:rFonts w:ascii="Arial" w:cs="Arial" w:eastAsia="Arial" w:hAnsi="Arial"/>
                <w:sz w:val="15"/>
                <w:szCs w:val="15"/>
                <w:color w:val="0000EE"/>
                <w:w w:val="95"/>
              </w:rPr>
            </w:pPr>
            <w:hyperlink w:anchor="page29">
              <w:r>
                <w:rPr>
                  <w:rFonts w:ascii="Arial" w:cs="Arial" w:eastAsia="Arial" w:hAnsi="Arial"/>
                  <w:sz w:val="15"/>
                  <w:szCs w:val="15"/>
                  <w:color w:val="0000EE"/>
                  <w:w w:val="95"/>
                </w:rPr>
                <w:t>25</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Summary Compensation Table</w:t>
              </w:r>
            </w:hyperlink>
          </w:p>
        </w:tc>
        <w:tc>
          <w:tcPr>
            <w:tcW w:w="940" w:type="dxa"/>
            <w:vAlign w:val="bottom"/>
            <w:gridSpan w:val="6"/>
          </w:tcPr>
          <w:p>
            <w:pPr>
              <w:jc w:val="right"/>
              <w:spacing w:after="0"/>
              <w:rPr>
                <w:rFonts w:ascii="Arial" w:cs="Arial" w:eastAsia="Arial" w:hAnsi="Arial"/>
                <w:sz w:val="15"/>
                <w:szCs w:val="15"/>
                <w:color w:val="0000EE"/>
              </w:rPr>
            </w:pPr>
            <w:hyperlink w:anchor="page29">
              <w:r>
                <w:rPr>
                  <w:rFonts w:ascii="Arial" w:cs="Arial" w:eastAsia="Arial" w:hAnsi="Arial"/>
                  <w:sz w:val="15"/>
                  <w:szCs w:val="15"/>
                  <w:color w:val="0000EE"/>
                </w:rPr>
                <w:t>25</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tcBorders>
              <w:bottom w:val="single" w:sz="8" w:color="0000EE"/>
            </w:tcBorders>
            <w:gridSpan w:val="9"/>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Grants of Plan-Based Awards in 2021</w:t>
              </w:r>
            </w:hyperlink>
          </w:p>
        </w:tc>
        <w:tc>
          <w:tcPr>
            <w:tcW w:w="5400" w:type="dxa"/>
            <w:vAlign w:val="bottom"/>
            <w:gridSpan w:val="20"/>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EE"/>
            </w:tcBorders>
            <w:gridSpan w:val="4"/>
          </w:tcPr>
          <w:p>
            <w:pPr>
              <w:jc w:val="right"/>
              <w:spacing w:after="0"/>
              <w:rPr>
                <w:rFonts w:ascii="Arial" w:cs="Arial" w:eastAsia="Arial" w:hAnsi="Arial"/>
                <w:sz w:val="15"/>
                <w:szCs w:val="15"/>
                <w:color w:val="0000EE"/>
                <w:w w:val="95"/>
              </w:rPr>
            </w:pPr>
            <w:hyperlink w:anchor="page30">
              <w:r>
                <w:rPr>
                  <w:rFonts w:ascii="Arial" w:cs="Arial" w:eastAsia="Arial" w:hAnsi="Arial"/>
                  <w:sz w:val="15"/>
                  <w:szCs w:val="15"/>
                  <w:color w:val="0000EE"/>
                  <w:w w:val="95"/>
                </w:rPr>
                <w:t>26</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60" w:type="dxa"/>
            <w:vAlign w:val="bottom"/>
            <w:gridSpan w:val="29"/>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Outstanding Equity Awards at 2021 Fiscal Year End</w:t>
              </w:r>
            </w:hyperlink>
          </w:p>
        </w:tc>
        <w:tc>
          <w:tcPr>
            <w:tcW w:w="940" w:type="dxa"/>
            <w:vAlign w:val="bottom"/>
            <w:gridSpan w:val="6"/>
          </w:tcPr>
          <w:p>
            <w:pPr>
              <w:jc w:val="right"/>
              <w:spacing w:after="0"/>
              <w:rPr>
                <w:rFonts w:ascii="Arial" w:cs="Arial" w:eastAsia="Arial" w:hAnsi="Arial"/>
                <w:sz w:val="15"/>
                <w:szCs w:val="15"/>
                <w:color w:val="0000EE"/>
              </w:rPr>
            </w:pPr>
            <w:hyperlink w:anchor="page31">
              <w:r>
                <w:rPr>
                  <w:rFonts w:ascii="Arial" w:cs="Arial" w:eastAsia="Arial" w:hAnsi="Arial"/>
                  <w:sz w:val="15"/>
                  <w:szCs w:val="15"/>
                  <w:color w:val="0000EE"/>
                </w:rPr>
                <w:t>27</w:t>
              </w:r>
            </w:hyperlink>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top w:val="single" w:sz="8" w:color="0000EE"/>
              <w:bottom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19"/>
          </w:tcPr>
          <w:p>
            <w:pPr>
              <w:ind w:left="960"/>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17"/>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Option Exercises and Stock Vested in 2021</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32">
              <w:r>
                <w:rPr>
                  <w:rFonts w:ascii="Arial" w:cs="Arial" w:eastAsia="Arial" w:hAnsi="Arial"/>
                  <w:sz w:val="15"/>
                  <w:szCs w:val="15"/>
                  <w:color w:val="0000EE"/>
                </w:rPr>
                <w:t>28</w:t>
              </w:r>
            </w:hyperlink>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20" w:type="dxa"/>
            <w:vAlign w:val="bottom"/>
            <w:gridSpan w:val="17"/>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Potential Payments upon Termination or Change in Control</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32">
              <w:r>
                <w:rPr>
                  <w:rFonts w:ascii="Arial" w:cs="Arial" w:eastAsia="Arial" w:hAnsi="Arial"/>
                  <w:sz w:val="15"/>
                  <w:szCs w:val="15"/>
                  <w:color w:val="0000EE"/>
                </w:rPr>
                <w:t>28</w:t>
              </w:r>
            </w:hyperlink>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22"/>
                <w:szCs w:val="22"/>
                <w:b w:val="1"/>
                <w:bCs w:val="1"/>
                <w:color w:val="0000EE"/>
              </w:rPr>
            </w:pPr>
            <w:hyperlink w:anchor="page35">
              <w:r>
                <w:rPr>
                  <w:rFonts w:ascii="Arial" w:cs="Arial" w:eastAsia="Arial" w:hAnsi="Arial"/>
                  <w:sz w:val="22"/>
                  <w:szCs w:val="22"/>
                  <w:b w:val="1"/>
                  <w:bCs w:val="1"/>
                  <w:color w:val="0000EE"/>
                </w:rPr>
                <w:t>CERTAIN TRANSACTIONS AND RELATIONSHIPS</w:t>
              </w:r>
            </w:hyperlink>
          </w:p>
        </w:tc>
        <w:tc>
          <w:tcPr>
            <w:tcW w:w="300" w:type="dxa"/>
            <w:vAlign w:val="bottom"/>
            <w:gridSpan w:val="4"/>
          </w:tcPr>
          <w:p>
            <w:pPr>
              <w:jc w:val="right"/>
              <w:ind w:right="60"/>
              <w:spacing w:after="0"/>
              <w:rPr>
                <w:rFonts w:ascii="Arial" w:cs="Arial" w:eastAsia="Arial" w:hAnsi="Arial"/>
                <w:sz w:val="22"/>
                <w:szCs w:val="22"/>
                <w:b w:val="1"/>
                <w:bCs w:val="1"/>
                <w:color w:val="0000EE"/>
                <w:w w:val="89"/>
              </w:rPr>
            </w:pPr>
            <w:hyperlink w:anchor="page35">
              <w:r>
                <w:rPr>
                  <w:rFonts w:ascii="Arial" w:cs="Arial" w:eastAsia="Arial" w:hAnsi="Arial"/>
                  <w:sz w:val="22"/>
                  <w:szCs w:val="22"/>
                  <w:b w:val="1"/>
                  <w:bCs w:val="1"/>
                  <w:color w:val="0000EE"/>
                  <w:w w:val="89"/>
                </w:rPr>
                <w:t>31</w:t>
              </w:r>
            </w:hyperlink>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136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480" w:type="dxa"/>
            <w:vAlign w:val="bottom"/>
            <w:tcBorders>
              <w:top w:val="single" w:sz="8" w:color="0000EE"/>
              <w:bottom w:val="single" w:sz="8" w:color="2F5DA8"/>
            </w:tcBorders>
          </w:tcPr>
          <w:p>
            <w:pPr>
              <w:spacing w:after="0"/>
              <w:rPr>
                <w:sz w:val="7"/>
                <w:szCs w:val="7"/>
                <w:color w:val="auto"/>
              </w:rPr>
            </w:pPr>
          </w:p>
        </w:tc>
        <w:tc>
          <w:tcPr>
            <w:tcW w:w="660" w:type="dxa"/>
            <w:vAlign w:val="bottom"/>
            <w:tcBorders>
              <w:top w:val="single" w:sz="8" w:color="0000EE"/>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32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520" w:type="dxa"/>
            <w:vAlign w:val="bottom"/>
            <w:tcBorders>
              <w:top w:val="single" w:sz="8" w:color="0000EE"/>
              <w:bottom w:val="single" w:sz="8" w:color="2F5DA8"/>
            </w:tcBorders>
          </w:tcPr>
          <w:p>
            <w:pPr>
              <w:spacing w:after="0"/>
              <w:rPr>
                <w:sz w:val="7"/>
                <w:szCs w:val="7"/>
                <w:color w:val="auto"/>
              </w:rPr>
            </w:pPr>
          </w:p>
        </w:tc>
        <w:tc>
          <w:tcPr>
            <w:tcW w:w="38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400" w:type="dxa"/>
            <w:vAlign w:val="bottom"/>
            <w:tcBorders>
              <w:top w:val="single" w:sz="8" w:color="0000EE"/>
              <w:bottom w:val="single" w:sz="8" w:color="2F5DA8"/>
            </w:tcBorders>
          </w:tcPr>
          <w:p>
            <w:pPr>
              <w:spacing w:after="0"/>
              <w:rPr>
                <w:sz w:val="7"/>
                <w:szCs w:val="7"/>
                <w:color w:val="auto"/>
              </w:rPr>
            </w:pPr>
          </w:p>
        </w:tc>
        <w:tc>
          <w:tcPr>
            <w:tcW w:w="160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88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480"/>
        </w:trPr>
        <w:tc>
          <w:tcPr>
            <w:tcW w:w="96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22"/>
                <w:szCs w:val="22"/>
                <w:b w:val="1"/>
                <w:bCs w:val="1"/>
                <w:color w:val="0000EE"/>
              </w:rPr>
            </w:pPr>
            <w:hyperlink w:anchor="page36">
              <w:r>
                <w:rPr>
                  <w:rFonts w:ascii="Arial" w:cs="Arial" w:eastAsia="Arial" w:hAnsi="Arial"/>
                  <w:sz w:val="22"/>
                  <w:szCs w:val="22"/>
                  <w:b w:val="1"/>
                  <w:bCs w:val="1"/>
                  <w:color w:val="0000EE"/>
                </w:rPr>
                <w:t>OWNERSHIP OF COMPANY STOCK</w:t>
              </w:r>
            </w:hyperlink>
          </w:p>
        </w:tc>
        <w:tc>
          <w:tcPr>
            <w:tcW w:w="300" w:type="dxa"/>
            <w:vAlign w:val="bottom"/>
            <w:gridSpan w:val="4"/>
          </w:tcPr>
          <w:p>
            <w:pPr>
              <w:jc w:val="right"/>
              <w:ind w:right="60"/>
              <w:spacing w:after="0"/>
              <w:rPr>
                <w:rFonts w:ascii="Arial" w:cs="Arial" w:eastAsia="Arial" w:hAnsi="Arial"/>
                <w:sz w:val="22"/>
                <w:szCs w:val="22"/>
                <w:b w:val="1"/>
                <w:bCs w:val="1"/>
                <w:color w:val="0000EE"/>
                <w:w w:val="89"/>
              </w:rPr>
            </w:pPr>
            <w:hyperlink w:anchor="page36">
              <w:r>
                <w:rPr>
                  <w:rFonts w:ascii="Arial" w:cs="Arial" w:eastAsia="Arial" w:hAnsi="Arial"/>
                  <w:sz w:val="22"/>
                  <w:szCs w:val="22"/>
                  <w:b w:val="1"/>
                  <w:bCs w:val="1"/>
                  <w:color w:val="0000EE"/>
                  <w:w w:val="89"/>
                </w:rPr>
                <w:t>32</w:t>
              </w:r>
            </w:hyperlink>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136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480" w:type="dxa"/>
            <w:vAlign w:val="bottom"/>
            <w:tcBorders>
              <w:top w:val="single" w:sz="8" w:color="0000EE"/>
              <w:bottom w:val="single" w:sz="8" w:color="2F5DA8"/>
            </w:tcBorders>
          </w:tcPr>
          <w:p>
            <w:pPr>
              <w:spacing w:after="0"/>
              <w:rPr>
                <w:sz w:val="7"/>
                <w:szCs w:val="7"/>
                <w:color w:val="auto"/>
              </w:rPr>
            </w:pPr>
          </w:p>
        </w:tc>
        <w:tc>
          <w:tcPr>
            <w:tcW w:w="660" w:type="dxa"/>
            <w:vAlign w:val="bottom"/>
            <w:tcBorders>
              <w:top w:val="single" w:sz="8" w:color="0000EE"/>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32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520" w:type="dxa"/>
            <w:vAlign w:val="bottom"/>
            <w:tcBorders>
              <w:bottom w:val="single" w:sz="8" w:color="2F5DA8"/>
            </w:tcBorders>
          </w:tcPr>
          <w:p>
            <w:pPr>
              <w:spacing w:after="0"/>
              <w:rPr>
                <w:sz w:val="7"/>
                <w:szCs w:val="7"/>
                <w:color w:val="auto"/>
              </w:rPr>
            </w:pPr>
          </w:p>
        </w:tc>
        <w:tc>
          <w:tcPr>
            <w:tcW w:w="38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400" w:type="dxa"/>
            <w:vAlign w:val="bottom"/>
            <w:tcBorders>
              <w:bottom w:val="single" w:sz="8" w:color="2F5DA8"/>
            </w:tcBorders>
          </w:tcPr>
          <w:p>
            <w:pPr>
              <w:spacing w:after="0"/>
              <w:rPr>
                <w:sz w:val="7"/>
                <w:szCs w:val="7"/>
                <w:color w:val="auto"/>
              </w:rPr>
            </w:pPr>
          </w:p>
        </w:tc>
        <w:tc>
          <w:tcPr>
            <w:tcW w:w="160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88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20" w:type="dxa"/>
            <w:vAlign w:val="bottom"/>
            <w:gridSpan w:val="17"/>
          </w:tcPr>
          <w:p>
            <w:pPr>
              <w:spacing w:after="0"/>
              <w:rPr>
                <w:rFonts w:ascii="Arial" w:cs="Arial" w:eastAsia="Arial" w:hAnsi="Arial"/>
                <w:sz w:val="15"/>
                <w:szCs w:val="15"/>
                <w:color w:val="0000EE"/>
              </w:rPr>
            </w:pPr>
            <w:hyperlink w:anchor="page36">
              <w:r>
                <w:rPr>
                  <w:rFonts w:ascii="Arial" w:cs="Arial" w:eastAsia="Arial" w:hAnsi="Arial"/>
                  <w:sz w:val="15"/>
                  <w:szCs w:val="15"/>
                  <w:color w:val="0000EE"/>
                </w:rPr>
                <w:t>Security Ownership of Certain Beneficial Owners</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36">
              <w:r>
                <w:rPr>
                  <w:rFonts w:ascii="Arial" w:cs="Arial" w:eastAsia="Arial" w:hAnsi="Arial"/>
                  <w:sz w:val="15"/>
                  <w:szCs w:val="15"/>
                  <w:color w:val="0000EE"/>
                </w:rPr>
                <w:t>32</w:t>
              </w:r>
            </w:hyperlink>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bottom w:val="single" w:sz="8" w:color="0000EE"/>
            </w:tcBorders>
            <w:gridSpan w:val="9"/>
          </w:tcPr>
          <w:p>
            <w:pPr>
              <w:spacing w:after="0"/>
              <w:rPr>
                <w:rFonts w:ascii="Arial" w:cs="Arial" w:eastAsia="Arial" w:hAnsi="Arial"/>
                <w:sz w:val="15"/>
                <w:szCs w:val="15"/>
                <w:color w:val="0000EE"/>
              </w:rPr>
            </w:pPr>
            <w:hyperlink w:anchor="page36">
              <w:r>
                <w:rPr>
                  <w:rFonts w:ascii="Arial" w:cs="Arial" w:eastAsia="Arial" w:hAnsi="Arial"/>
                  <w:sz w:val="15"/>
                  <w:szCs w:val="15"/>
                  <w:color w:val="0000EE"/>
                </w:rPr>
                <w:t>Security Ownership of Management and Directors</w:t>
              </w:r>
            </w:hyperlink>
          </w:p>
        </w:tc>
        <w:tc>
          <w:tcPr>
            <w:tcW w:w="5240" w:type="dxa"/>
            <w:vAlign w:val="bottom"/>
            <w:gridSpan w:val="8"/>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6">
              <w:r>
                <w:rPr>
                  <w:rFonts w:ascii="Arial" w:cs="Arial" w:eastAsia="Arial" w:hAnsi="Arial"/>
                  <w:sz w:val="15"/>
                  <w:szCs w:val="15"/>
                  <w:color w:val="0000EE"/>
                  <w:w w:val="95"/>
                </w:rPr>
                <w:t>32</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tcBorders>
              <w:bottom w:val="single" w:sz="8" w:color="0000EE"/>
            </w:tcBorders>
            <w:gridSpan w:val="5"/>
          </w:tcPr>
          <w:p>
            <w:pPr>
              <w:spacing w:after="0"/>
              <w:rPr>
                <w:rFonts w:ascii="Arial" w:cs="Arial" w:eastAsia="Arial" w:hAnsi="Arial"/>
                <w:sz w:val="15"/>
                <w:szCs w:val="15"/>
                <w:color w:val="0000EE"/>
              </w:rPr>
            </w:pPr>
            <w:hyperlink w:anchor="page37">
              <w:r>
                <w:rPr>
                  <w:rFonts w:ascii="Arial" w:cs="Arial" w:eastAsia="Arial" w:hAnsi="Arial"/>
                  <w:sz w:val="15"/>
                  <w:szCs w:val="15"/>
                  <w:color w:val="0000EE"/>
                </w:rPr>
                <w:t>Delinquent Section 16(a) Reports</w:t>
              </w:r>
            </w:hyperlink>
          </w:p>
        </w:tc>
        <w:tc>
          <w:tcPr>
            <w:tcW w:w="6360" w:type="dxa"/>
            <w:vAlign w:val="bottom"/>
            <w:gridSpan w:val="1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7">
              <w:r>
                <w:rPr>
                  <w:rFonts w:ascii="Arial" w:cs="Arial" w:eastAsia="Arial" w:hAnsi="Arial"/>
                  <w:sz w:val="15"/>
                  <w:szCs w:val="15"/>
                  <w:color w:val="0000EE"/>
                  <w:w w:val="95"/>
                </w:rPr>
                <w:t>33</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93"/>
        </w:trPr>
        <w:tc>
          <w:tcPr>
            <w:tcW w:w="96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22"/>
                <w:szCs w:val="22"/>
                <w:b w:val="1"/>
                <w:bCs w:val="1"/>
                <w:color w:val="0000EE"/>
              </w:rPr>
            </w:pPr>
            <w:hyperlink w:anchor="page38">
              <w:r>
                <w:rPr>
                  <w:rFonts w:ascii="Arial" w:cs="Arial" w:eastAsia="Arial" w:hAnsi="Arial"/>
                  <w:sz w:val="22"/>
                  <w:szCs w:val="22"/>
                  <w:b w:val="1"/>
                  <w:bCs w:val="1"/>
                  <w:color w:val="0000EE"/>
                </w:rPr>
                <w:t>AUDIT COMMITTEE MATTERS</w:t>
              </w:r>
            </w:hyperlink>
          </w:p>
        </w:tc>
        <w:tc>
          <w:tcPr>
            <w:tcW w:w="300" w:type="dxa"/>
            <w:vAlign w:val="bottom"/>
            <w:gridSpan w:val="4"/>
          </w:tcPr>
          <w:p>
            <w:pPr>
              <w:jc w:val="right"/>
              <w:ind w:right="60"/>
              <w:spacing w:after="0"/>
              <w:rPr>
                <w:rFonts w:ascii="Arial" w:cs="Arial" w:eastAsia="Arial" w:hAnsi="Arial"/>
                <w:sz w:val="22"/>
                <w:szCs w:val="22"/>
                <w:b w:val="1"/>
                <w:bCs w:val="1"/>
                <w:color w:val="0000EE"/>
                <w:w w:val="89"/>
              </w:rPr>
            </w:pPr>
            <w:hyperlink w:anchor="page38">
              <w:r>
                <w:rPr>
                  <w:rFonts w:ascii="Arial" w:cs="Arial" w:eastAsia="Arial" w:hAnsi="Arial"/>
                  <w:sz w:val="22"/>
                  <w:szCs w:val="22"/>
                  <w:b w:val="1"/>
                  <w:bCs w:val="1"/>
                  <w:color w:val="0000EE"/>
                  <w:w w:val="89"/>
                </w:rPr>
                <w:t>34</w:t>
              </w:r>
            </w:hyperlink>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136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480" w:type="dxa"/>
            <w:vAlign w:val="bottom"/>
            <w:tcBorders>
              <w:top w:val="single" w:sz="8" w:color="0000EE"/>
              <w:bottom w:val="single" w:sz="8" w:color="2F5DA8"/>
            </w:tcBorders>
          </w:tcPr>
          <w:p>
            <w:pPr>
              <w:spacing w:after="0"/>
              <w:rPr>
                <w:sz w:val="7"/>
                <w:szCs w:val="7"/>
                <w:color w:val="auto"/>
              </w:rPr>
            </w:pPr>
          </w:p>
        </w:tc>
        <w:tc>
          <w:tcPr>
            <w:tcW w:w="660" w:type="dxa"/>
            <w:vAlign w:val="bottom"/>
            <w:tcBorders>
              <w:top w:val="single" w:sz="8" w:color="0000EE"/>
              <w:bottom w:val="single" w:sz="8" w:color="2F5DA8"/>
            </w:tcBorders>
          </w:tcPr>
          <w:p>
            <w:pPr>
              <w:spacing w:after="0"/>
              <w:rPr>
                <w:sz w:val="7"/>
                <w:szCs w:val="7"/>
                <w:color w:val="auto"/>
              </w:rPr>
            </w:pPr>
          </w:p>
        </w:tc>
        <w:tc>
          <w:tcPr>
            <w:tcW w:w="60" w:type="dxa"/>
            <w:vAlign w:val="bottom"/>
            <w:tcBorders>
              <w:bottom w:val="single" w:sz="8" w:color="2F5DA8"/>
            </w:tcBorders>
          </w:tcPr>
          <w:p>
            <w:pPr>
              <w:spacing w:after="0"/>
              <w:rPr>
                <w:sz w:val="7"/>
                <w:szCs w:val="7"/>
                <w:color w:val="auto"/>
              </w:rPr>
            </w:pPr>
          </w:p>
        </w:tc>
        <w:tc>
          <w:tcPr>
            <w:tcW w:w="32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520" w:type="dxa"/>
            <w:vAlign w:val="bottom"/>
            <w:tcBorders>
              <w:bottom w:val="single" w:sz="8" w:color="2F5DA8"/>
            </w:tcBorders>
          </w:tcPr>
          <w:p>
            <w:pPr>
              <w:spacing w:after="0"/>
              <w:rPr>
                <w:sz w:val="7"/>
                <w:szCs w:val="7"/>
                <w:color w:val="auto"/>
              </w:rPr>
            </w:pPr>
          </w:p>
        </w:tc>
        <w:tc>
          <w:tcPr>
            <w:tcW w:w="38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400" w:type="dxa"/>
            <w:vAlign w:val="bottom"/>
            <w:tcBorders>
              <w:bottom w:val="single" w:sz="8" w:color="2F5DA8"/>
            </w:tcBorders>
          </w:tcPr>
          <w:p>
            <w:pPr>
              <w:spacing w:after="0"/>
              <w:rPr>
                <w:sz w:val="7"/>
                <w:szCs w:val="7"/>
                <w:color w:val="auto"/>
              </w:rPr>
            </w:pPr>
          </w:p>
        </w:tc>
        <w:tc>
          <w:tcPr>
            <w:tcW w:w="160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88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20" w:type="dxa"/>
            <w:vAlign w:val="bottom"/>
            <w:gridSpan w:val="17"/>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Audit Committee Report</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38">
              <w:r>
                <w:rPr>
                  <w:rFonts w:ascii="Arial" w:cs="Arial" w:eastAsia="Arial" w:hAnsi="Arial"/>
                  <w:sz w:val="15"/>
                  <w:szCs w:val="15"/>
                  <w:color w:val="0000EE"/>
                </w:rPr>
                <w:t>34</w:t>
              </w:r>
            </w:hyperlink>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20" w:type="dxa"/>
            <w:vAlign w:val="bottom"/>
            <w:gridSpan w:val="17"/>
          </w:tcPr>
          <w:p>
            <w:pPr>
              <w:spacing w:after="0"/>
              <w:rPr>
                <w:rFonts w:ascii="Arial" w:cs="Arial" w:eastAsia="Arial" w:hAnsi="Arial"/>
                <w:sz w:val="15"/>
                <w:szCs w:val="15"/>
                <w:color w:val="0000EE"/>
              </w:rPr>
            </w:pPr>
            <w:hyperlink w:anchor="page39">
              <w:r>
                <w:rPr>
                  <w:rFonts w:ascii="Arial" w:cs="Arial" w:eastAsia="Arial" w:hAnsi="Arial"/>
                  <w:sz w:val="15"/>
                  <w:szCs w:val="15"/>
                  <w:color w:val="0000EE"/>
                </w:rPr>
                <w:t>Policy for Pre-Approval of Audit and Permitted Non-Audit Services</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39">
              <w:r>
                <w:rPr>
                  <w:rFonts w:ascii="Arial" w:cs="Arial" w:eastAsia="Arial" w:hAnsi="Arial"/>
                  <w:sz w:val="15"/>
                  <w:szCs w:val="15"/>
                  <w:color w:val="0000EE"/>
                </w:rPr>
                <w:t>35</w:t>
              </w:r>
            </w:hyperlink>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Borders>
              <w:top w:val="single" w:sz="8" w:color="0000EE"/>
            </w:tcBorders>
            <w:gridSpan w:val="13"/>
          </w:tcPr>
          <w:p>
            <w:pPr>
              <w:spacing w:after="0"/>
              <w:rPr>
                <w:rFonts w:ascii="Arial" w:cs="Arial" w:eastAsia="Arial" w:hAnsi="Arial"/>
                <w:sz w:val="15"/>
                <w:szCs w:val="15"/>
                <w:color w:val="0000EE"/>
              </w:rPr>
            </w:pPr>
            <w:hyperlink w:anchor="page39">
              <w:r>
                <w:rPr>
                  <w:rFonts w:ascii="Arial" w:cs="Arial" w:eastAsia="Arial" w:hAnsi="Arial"/>
                  <w:sz w:val="15"/>
                  <w:szCs w:val="15"/>
                  <w:color w:val="0000EE"/>
                </w:rPr>
                <w:t>Auditor Fees and Services</w:t>
              </w:r>
            </w:hyperlink>
          </w:p>
        </w:tc>
        <w:tc>
          <w:tcPr>
            <w:tcW w:w="416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tcPr>
          <w:p>
            <w:pPr>
              <w:jc w:val="right"/>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35</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22"/>
                <w:szCs w:val="22"/>
                <w:b w:val="1"/>
                <w:bCs w:val="1"/>
                <w:color w:val="0000EE"/>
              </w:rPr>
            </w:pPr>
            <w:hyperlink w:anchor="page40">
              <w:r>
                <w:rPr>
                  <w:rFonts w:ascii="Arial" w:cs="Arial" w:eastAsia="Arial" w:hAnsi="Arial"/>
                  <w:sz w:val="22"/>
                  <w:szCs w:val="22"/>
                  <w:b w:val="1"/>
                  <w:bCs w:val="1"/>
                  <w:color w:val="0000EE"/>
                </w:rPr>
                <w:t>OTHER MATTERS</w:t>
              </w:r>
            </w:hyperlink>
          </w:p>
        </w:tc>
        <w:tc>
          <w:tcPr>
            <w:tcW w:w="300" w:type="dxa"/>
            <w:vAlign w:val="bottom"/>
            <w:gridSpan w:val="4"/>
          </w:tcPr>
          <w:p>
            <w:pPr>
              <w:jc w:val="right"/>
              <w:ind w:right="60"/>
              <w:spacing w:after="0"/>
              <w:rPr>
                <w:rFonts w:ascii="Arial" w:cs="Arial" w:eastAsia="Arial" w:hAnsi="Arial"/>
                <w:sz w:val="22"/>
                <w:szCs w:val="22"/>
                <w:b w:val="1"/>
                <w:bCs w:val="1"/>
                <w:color w:val="0000EE"/>
                <w:w w:val="89"/>
              </w:rPr>
            </w:pPr>
            <w:hyperlink w:anchor="page40">
              <w:r>
                <w:rPr>
                  <w:rFonts w:ascii="Arial" w:cs="Arial" w:eastAsia="Arial" w:hAnsi="Arial"/>
                  <w:sz w:val="22"/>
                  <w:szCs w:val="22"/>
                  <w:b w:val="1"/>
                  <w:bCs w:val="1"/>
                  <w:color w:val="0000EE"/>
                  <w:w w:val="89"/>
                </w:rPr>
                <w:t>36</w:t>
              </w:r>
            </w:hyperlink>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136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0" w:type="dxa"/>
            <w:vAlign w:val="bottom"/>
            <w:tcBorders>
              <w:bottom w:val="single" w:sz="8" w:color="2F5DA8"/>
            </w:tcBorders>
          </w:tcPr>
          <w:p>
            <w:pPr>
              <w:spacing w:after="0"/>
              <w:rPr>
                <w:sz w:val="7"/>
                <w:szCs w:val="7"/>
                <w:color w:val="auto"/>
              </w:rPr>
            </w:pPr>
          </w:p>
        </w:tc>
        <w:tc>
          <w:tcPr>
            <w:tcW w:w="480" w:type="dxa"/>
            <w:vAlign w:val="bottom"/>
            <w:tcBorders>
              <w:bottom w:val="single" w:sz="8" w:color="2F5DA8"/>
            </w:tcBorders>
          </w:tcPr>
          <w:p>
            <w:pPr>
              <w:spacing w:after="0"/>
              <w:rPr>
                <w:sz w:val="7"/>
                <w:szCs w:val="7"/>
                <w:color w:val="auto"/>
              </w:rPr>
            </w:pPr>
          </w:p>
        </w:tc>
        <w:tc>
          <w:tcPr>
            <w:tcW w:w="660" w:type="dxa"/>
            <w:vAlign w:val="bottom"/>
            <w:tcBorders>
              <w:bottom w:val="single" w:sz="8" w:color="2F5DA8"/>
            </w:tcBorders>
          </w:tcPr>
          <w:p>
            <w:pPr>
              <w:spacing w:after="0"/>
              <w:rPr>
                <w:sz w:val="7"/>
                <w:szCs w:val="7"/>
                <w:color w:val="auto"/>
              </w:rPr>
            </w:pPr>
          </w:p>
        </w:tc>
        <w:tc>
          <w:tcPr>
            <w:tcW w:w="60" w:type="dxa"/>
            <w:vAlign w:val="bottom"/>
            <w:tcBorders>
              <w:bottom w:val="single" w:sz="8" w:color="2F5DA8"/>
            </w:tcBorders>
          </w:tcPr>
          <w:p>
            <w:pPr>
              <w:spacing w:after="0"/>
              <w:rPr>
                <w:sz w:val="7"/>
                <w:szCs w:val="7"/>
                <w:color w:val="auto"/>
              </w:rPr>
            </w:pPr>
          </w:p>
        </w:tc>
        <w:tc>
          <w:tcPr>
            <w:tcW w:w="32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80" w:type="dxa"/>
            <w:vAlign w:val="bottom"/>
            <w:tcBorders>
              <w:bottom w:val="single" w:sz="8" w:color="2F5DA8"/>
            </w:tcBorders>
          </w:tcPr>
          <w:p>
            <w:pPr>
              <w:spacing w:after="0"/>
              <w:rPr>
                <w:sz w:val="7"/>
                <w:szCs w:val="7"/>
                <w:color w:val="auto"/>
              </w:rPr>
            </w:pPr>
          </w:p>
        </w:tc>
        <w:tc>
          <w:tcPr>
            <w:tcW w:w="520" w:type="dxa"/>
            <w:vAlign w:val="bottom"/>
            <w:tcBorders>
              <w:bottom w:val="single" w:sz="8" w:color="2F5DA8"/>
            </w:tcBorders>
          </w:tcPr>
          <w:p>
            <w:pPr>
              <w:spacing w:after="0"/>
              <w:rPr>
                <w:sz w:val="7"/>
                <w:szCs w:val="7"/>
                <w:color w:val="auto"/>
              </w:rPr>
            </w:pPr>
          </w:p>
        </w:tc>
        <w:tc>
          <w:tcPr>
            <w:tcW w:w="380" w:type="dxa"/>
            <w:vAlign w:val="bottom"/>
            <w:tcBorders>
              <w:bottom w:val="single" w:sz="8" w:color="2F5DA8"/>
            </w:tcBorders>
          </w:tcPr>
          <w:p>
            <w:pPr>
              <w:spacing w:after="0"/>
              <w:rPr>
                <w:sz w:val="7"/>
                <w:szCs w:val="7"/>
                <w:color w:val="auto"/>
              </w:rPr>
            </w:pPr>
          </w:p>
        </w:tc>
        <w:tc>
          <w:tcPr>
            <w:tcW w:w="100" w:type="dxa"/>
            <w:vAlign w:val="bottom"/>
            <w:tcBorders>
              <w:bottom w:val="single" w:sz="8" w:color="2F5DA8"/>
            </w:tcBorders>
          </w:tcPr>
          <w:p>
            <w:pPr>
              <w:spacing w:after="0"/>
              <w:rPr>
                <w:sz w:val="7"/>
                <w:szCs w:val="7"/>
                <w:color w:val="auto"/>
              </w:rPr>
            </w:pPr>
          </w:p>
        </w:tc>
        <w:tc>
          <w:tcPr>
            <w:tcW w:w="400" w:type="dxa"/>
            <w:vAlign w:val="bottom"/>
            <w:tcBorders>
              <w:bottom w:val="single" w:sz="8" w:color="2F5DA8"/>
            </w:tcBorders>
          </w:tcPr>
          <w:p>
            <w:pPr>
              <w:spacing w:after="0"/>
              <w:rPr>
                <w:sz w:val="7"/>
                <w:szCs w:val="7"/>
                <w:color w:val="auto"/>
              </w:rPr>
            </w:pPr>
          </w:p>
        </w:tc>
        <w:tc>
          <w:tcPr>
            <w:tcW w:w="1600" w:type="dxa"/>
            <w:vAlign w:val="bottom"/>
            <w:tcBorders>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88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479"/>
        </w:trPr>
        <w:tc>
          <w:tcPr>
            <w:tcW w:w="96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22"/>
                <w:szCs w:val="22"/>
                <w:b w:val="1"/>
                <w:bCs w:val="1"/>
                <w:color w:val="0000EE"/>
              </w:rPr>
            </w:pPr>
            <w:hyperlink w:anchor="page40">
              <w:r>
                <w:rPr>
                  <w:rFonts w:ascii="Arial" w:cs="Arial" w:eastAsia="Arial" w:hAnsi="Arial"/>
                  <w:sz w:val="22"/>
                  <w:szCs w:val="22"/>
                  <w:b w:val="1"/>
                  <w:bCs w:val="1"/>
                  <w:color w:val="0000EE"/>
                </w:rPr>
                <w:t>SHAREHOLDER PROPOSALS FOR THE 2023 ANNUAL MEETING</w:t>
              </w:r>
            </w:hyperlink>
          </w:p>
        </w:tc>
        <w:tc>
          <w:tcPr>
            <w:tcW w:w="300" w:type="dxa"/>
            <w:vAlign w:val="bottom"/>
            <w:gridSpan w:val="4"/>
          </w:tcPr>
          <w:p>
            <w:pPr>
              <w:jc w:val="right"/>
              <w:ind w:right="60"/>
              <w:spacing w:after="0"/>
              <w:rPr>
                <w:rFonts w:ascii="Arial" w:cs="Arial" w:eastAsia="Arial" w:hAnsi="Arial"/>
                <w:sz w:val="22"/>
                <w:szCs w:val="22"/>
                <w:b w:val="1"/>
                <w:bCs w:val="1"/>
                <w:color w:val="0000EE"/>
                <w:w w:val="89"/>
              </w:rPr>
            </w:pPr>
            <w:hyperlink w:anchor="page40">
              <w:r>
                <w:rPr>
                  <w:rFonts w:ascii="Arial" w:cs="Arial" w:eastAsia="Arial" w:hAnsi="Arial"/>
                  <w:sz w:val="22"/>
                  <w:szCs w:val="22"/>
                  <w:b w:val="1"/>
                  <w:bCs w:val="1"/>
                  <w:color w:val="0000EE"/>
                  <w:w w:val="89"/>
                </w:rPr>
                <w:t>36</w:t>
              </w:r>
            </w:hyperlink>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1360" w:type="dxa"/>
            <w:vAlign w:val="bottom"/>
            <w:tcBorders>
              <w:top w:val="single" w:sz="8" w:color="0000EE"/>
              <w:bottom w:val="single" w:sz="8" w:color="2F5DA8"/>
            </w:tcBorders>
          </w:tcPr>
          <w:p>
            <w:pPr>
              <w:spacing w:after="0"/>
              <w:rPr>
                <w:sz w:val="7"/>
                <w:szCs w:val="7"/>
                <w:color w:val="auto"/>
              </w:rPr>
            </w:pPr>
          </w:p>
        </w:tc>
        <w:tc>
          <w:tcPr>
            <w:tcW w:w="260" w:type="dxa"/>
            <w:vAlign w:val="bottom"/>
            <w:tcBorders>
              <w:top w:val="single" w:sz="8" w:color="0000EE"/>
              <w:bottom w:val="single" w:sz="8" w:color="2F5DA8"/>
            </w:tcBorders>
          </w:tcPr>
          <w:p>
            <w:pPr>
              <w:spacing w:after="0"/>
              <w:rPr>
                <w:sz w:val="7"/>
                <w:szCs w:val="7"/>
                <w:color w:val="auto"/>
              </w:rPr>
            </w:pPr>
          </w:p>
        </w:tc>
        <w:tc>
          <w:tcPr>
            <w:tcW w:w="40" w:type="dxa"/>
            <w:vAlign w:val="bottom"/>
            <w:tcBorders>
              <w:top w:val="single" w:sz="8" w:color="0000EE"/>
              <w:bottom w:val="single" w:sz="8" w:color="2F5DA8"/>
            </w:tcBorders>
          </w:tcPr>
          <w:p>
            <w:pPr>
              <w:spacing w:after="0"/>
              <w:rPr>
                <w:sz w:val="7"/>
                <w:szCs w:val="7"/>
                <w:color w:val="auto"/>
              </w:rPr>
            </w:pPr>
          </w:p>
        </w:tc>
        <w:tc>
          <w:tcPr>
            <w:tcW w:w="120" w:type="dxa"/>
            <w:vAlign w:val="bottom"/>
            <w:tcBorders>
              <w:top w:val="single" w:sz="8" w:color="0000EE"/>
              <w:bottom w:val="single" w:sz="8" w:color="2F5DA8"/>
            </w:tcBorders>
          </w:tcPr>
          <w:p>
            <w:pPr>
              <w:spacing w:after="0"/>
              <w:rPr>
                <w:sz w:val="7"/>
                <w:szCs w:val="7"/>
                <w:color w:val="auto"/>
              </w:rPr>
            </w:pPr>
          </w:p>
        </w:tc>
        <w:tc>
          <w:tcPr>
            <w:tcW w:w="480" w:type="dxa"/>
            <w:vAlign w:val="bottom"/>
            <w:tcBorders>
              <w:top w:val="single" w:sz="8" w:color="0000EE"/>
              <w:bottom w:val="single" w:sz="8" w:color="2F5DA8"/>
            </w:tcBorders>
          </w:tcPr>
          <w:p>
            <w:pPr>
              <w:spacing w:after="0"/>
              <w:rPr>
                <w:sz w:val="7"/>
                <w:szCs w:val="7"/>
                <w:color w:val="auto"/>
              </w:rPr>
            </w:pPr>
          </w:p>
        </w:tc>
        <w:tc>
          <w:tcPr>
            <w:tcW w:w="660" w:type="dxa"/>
            <w:vAlign w:val="bottom"/>
            <w:tcBorders>
              <w:top w:val="single" w:sz="8" w:color="0000EE"/>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32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80" w:type="dxa"/>
            <w:vAlign w:val="bottom"/>
            <w:tcBorders>
              <w:top w:val="single" w:sz="8" w:color="0000EE"/>
              <w:bottom w:val="single" w:sz="8" w:color="2F5DA8"/>
            </w:tcBorders>
          </w:tcPr>
          <w:p>
            <w:pPr>
              <w:spacing w:after="0"/>
              <w:rPr>
                <w:sz w:val="7"/>
                <w:szCs w:val="7"/>
                <w:color w:val="auto"/>
              </w:rPr>
            </w:pPr>
          </w:p>
        </w:tc>
        <w:tc>
          <w:tcPr>
            <w:tcW w:w="520" w:type="dxa"/>
            <w:vAlign w:val="bottom"/>
            <w:tcBorders>
              <w:top w:val="single" w:sz="8" w:color="0000EE"/>
              <w:bottom w:val="single" w:sz="8" w:color="2F5DA8"/>
            </w:tcBorders>
          </w:tcPr>
          <w:p>
            <w:pPr>
              <w:spacing w:after="0"/>
              <w:rPr>
                <w:sz w:val="7"/>
                <w:szCs w:val="7"/>
                <w:color w:val="auto"/>
              </w:rPr>
            </w:pPr>
          </w:p>
        </w:tc>
        <w:tc>
          <w:tcPr>
            <w:tcW w:w="380" w:type="dxa"/>
            <w:vAlign w:val="bottom"/>
            <w:tcBorders>
              <w:top w:val="single" w:sz="8" w:color="0000EE"/>
              <w:bottom w:val="single" w:sz="8" w:color="2F5DA8"/>
            </w:tcBorders>
          </w:tcPr>
          <w:p>
            <w:pPr>
              <w:spacing w:after="0"/>
              <w:rPr>
                <w:sz w:val="7"/>
                <w:szCs w:val="7"/>
                <w:color w:val="auto"/>
              </w:rPr>
            </w:pPr>
          </w:p>
        </w:tc>
        <w:tc>
          <w:tcPr>
            <w:tcW w:w="100" w:type="dxa"/>
            <w:vAlign w:val="bottom"/>
            <w:tcBorders>
              <w:top w:val="single" w:sz="8" w:color="0000EE"/>
              <w:bottom w:val="single" w:sz="8" w:color="2F5DA8"/>
            </w:tcBorders>
          </w:tcPr>
          <w:p>
            <w:pPr>
              <w:spacing w:after="0"/>
              <w:rPr>
                <w:sz w:val="7"/>
                <w:szCs w:val="7"/>
                <w:color w:val="auto"/>
              </w:rPr>
            </w:pPr>
          </w:p>
        </w:tc>
        <w:tc>
          <w:tcPr>
            <w:tcW w:w="400" w:type="dxa"/>
            <w:vAlign w:val="bottom"/>
            <w:tcBorders>
              <w:top w:val="single" w:sz="8" w:color="0000EE"/>
              <w:bottom w:val="single" w:sz="8" w:color="2F5DA8"/>
            </w:tcBorders>
          </w:tcPr>
          <w:p>
            <w:pPr>
              <w:spacing w:after="0"/>
              <w:rPr>
                <w:sz w:val="7"/>
                <w:szCs w:val="7"/>
                <w:color w:val="auto"/>
              </w:rPr>
            </w:pPr>
          </w:p>
        </w:tc>
        <w:tc>
          <w:tcPr>
            <w:tcW w:w="1600" w:type="dxa"/>
            <w:vAlign w:val="bottom"/>
            <w:tcBorders>
              <w:top w:val="single" w:sz="8" w:color="0000EE"/>
              <w:bottom w:val="single" w:sz="8" w:color="2F5DA8"/>
            </w:tcBorders>
          </w:tcPr>
          <w:p>
            <w:pPr>
              <w:spacing w:after="0"/>
              <w:rPr>
                <w:sz w:val="7"/>
                <w:szCs w:val="7"/>
                <w:color w:val="auto"/>
              </w:rPr>
            </w:pPr>
          </w:p>
        </w:tc>
        <w:tc>
          <w:tcPr>
            <w:tcW w:w="1280" w:type="dxa"/>
            <w:vAlign w:val="bottom"/>
            <w:tcBorders>
              <w:bottom w:val="single" w:sz="8" w:color="2F5DA8"/>
            </w:tcBorders>
          </w:tcPr>
          <w:p>
            <w:pPr>
              <w:spacing w:after="0"/>
              <w:rPr>
                <w:sz w:val="7"/>
                <w:szCs w:val="7"/>
                <w:color w:val="auto"/>
              </w:rPr>
            </w:pPr>
          </w:p>
        </w:tc>
        <w:tc>
          <w:tcPr>
            <w:tcW w:w="880" w:type="dxa"/>
            <w:vAlign w:val="bottom"/>
            <w:tcBorders>
              <w:bottom w:val="single" w:sz="8" w:color="2F5DA8"/>
            </w:tcBorders>
          </w:tcPr>
          <w:p>
            <w:pPr>
              <w:spacing w:after="0"/>
              <w:rPr>
                <w:sz w:val="7"/>
                <w:szCs w:val="7"/>
                <w:color w:val="auto"/>
              </w:rPr>
            </w:pPr>
          </w:p>
        </w:tc>
        <w:tc>
          <w:tcPr>
            <w:tcW w:w="60" w:type="dxa"/>
            <w:vAlign w:val="bottom"/>
            <w:tcBorders>
              <w:top w:val="single" w:sz="8" w:color="0000EE"/>
              <w:bottom w:val="single" w:sz="8" w:color="2F5DA8"/>
            </w:tcBorders>
          </w:tcPr>
          <w:p>
            <w:pPr>
              <w:spacing w:after="0"/>
              <w:rPr>
                <w:sz w:val="7"/>
                <w:szCs w:val="7"/>
                <w:color w:val="auto"/>
              </w:rPr>
            </w:pPr>
          </w:p>
        </w:tc>
        <w:tc>
          <w:tcPr>
            <w:tcW w:w="180" w:type="dxa"/>
            <w:vAlign w:val="bottom"/>
            <w:tcBorders>
              <w:top w:val="single" w:sz="8" w:color="0000EE"/>
              <w:bottom w:val="single" w:sz="8" w:color="2F5DA8"/>
            </w:tcBorders>
          </w:tcPr>
          <w:p>
            <w:pPr>
              <w:spacing w:after="0"/>
              <w:rPr>
                <w:sz w:val="7"/>
                <w:szCs w:val="7"/>
                <w:color w:val="auto"/>
              </w:rPr>
            </w:pPr>
          </w:p>
        </w:tc>
        <w:tc>
          <w:tcPr>
            <w:tcW w:w="20" w:type="dxa"/>
            <w:vAlign w:val="bottom"/>
            <w:tcBorders>
              <w:top w:val="single" w:sz="8" w:color="0000EE"/>
              <w:bottom w:val="single" w:sz="8" w:color="2F5DA8"/>
            </w:tcBorders>
          </w:tcPr>
          <w:p>
            <w:pPr>
              <w:spacing w:after="0"/>
              <w:rPr>
                <w:sz w:val="7"/>
                <w:szCs w:val="7"/>
                <w:color w:val="auto"/>
              </w:rPr>
            </w:pPr>
          </w:p>
        </w:tc>
        <w:tc>
          <w:tcPr>
            <w:tcW w:w="40" w:type="dxa"/>
            <w:vAlign w:val="bottom"/>
            <w:tcBorders>
              <w:bottom w:val="single" w:sz="8" w:color="2F5DA8"/>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Borders>
              <w:bottom w:val="single" w:sz="8" w:color="0000EE"/>
            </w:tcBorders>
            <w:gridSpan w:val="7"/>
          </w:tcPr>
          <w:p>
            <w:pPr>
              <w:spacing w:after="0"/>
              <w:rPr>
                <w:rFonts w:ascii="Arial" w:cs="Arial" w:eastAsia="Arial" w:hAnsi="Arial"/>
                <w:sz w:val="15"/>
                <w:szCs w:val="15"/>
                <w:color w:val="0000EE"/>
              </w:rPr>
            </w:pPr>
            <w:hyperlink w:anchor="page40">
              <w:r>
                <w:rPr>
                  <w:rFonts w:ascii="Arial" w:cs="Arial" w:eastAsia="Arial" w:hAnsi="Arial"/>
                  <w:sz w:val="15"/>
                  <w:szCs w:val="15"/>
                  <w:color w:val="0000EE"/>
                </w:rPr>
                <w:t>Proposals for the Company’s Proxy Material</w:t>
              </w:r>
            </w:hyperlink>
          </w:p>
        </w:tc>
        <w:tc>
          <w:tcPr>
            <w:tcW w:w="5640" w:type="dxa"/>
            <w:vAlign w:val="bottom"/>
            <w:gridSpan w:val="10"/>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36</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20" w:type="dxa"/>
            <w:vAlign w:val="bottom"/>
            <w:gridSpan w:val="17"/>
          </w:tcPr>
          <w:p>
            <w:pPr>
              <w:spacing w:after="0"/>
              <w:rPr>
                <w:rFonts w:ascii="Arial" w:cs="Arial" w:eastAsia="Arial" w:hAnsi="Arial"/>
                <w:sz w:val="15"/>
                <w:szCs w:val="15"/>
                <w:color w:val="0000EE"/>
              </w:rPr>
            </w:pPr>
            <w:hyperlink w:anchor="page40">
              <w:r>
                <w:rPr>
                  <w:rFonts w:ascii="Arial" w:cs="Arial" w:eastAsia="Arial" w:hAnsi="Arial"/>
                  <w:sz w:val="15"/>
                  <w:szCs w:val="15"/>
                  <w:color w:val="0000EE"/>
                </w:rPr>
                <w:t>Proposals to be Introduced at the Annual Meeting but not Intended to be Included in the Company’s Proxy Material</w:t>
              </w:r>
            </w:hyperlink>
          </w:p>
        </w:tc>
        <w:tc>
          <w:tcPr>
            <w:tcW w:w="260" w:type="dxa"/>
            <w:vAlign w:val="bottom"/>
            <w:gridSpan w:val="3"/>
          </w:tcPr>
          <w:p>
            <w:pPr>
              <w:jc w:val="right"/>
              <w:ind w:right="20"/>
              <w:spacing w:after="0"/>
              <w:rPr>
                <w:rFonts w:ascii="Arial" w:cs="Arial" w:eastAsia="Arial" w:hAnsi="Arial"/>
                <w:sz w:val="15"/>
                <w:szCs w:val="15"/>
                <w:color w:val="0000EE"/>
              </w:rPr>
            </w:pPr>
            <w:hyperlink w:anchor="page40">
              <w:r>
                <w:rPr>
                  <w:rFonts w:ascii="Arial" w:cs="Arial" w:eastAsia="Arial" w:hAnsi="Arial"/>
                  <w:sz w:val="15"/>
                  <w:szCs w:val="15"/>
                  <w:color w:val="0000EE"/>
                </w:rPr>
                <w:t>36</w:t>
              </w:r>
            </w:hyperlink>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40" w:type="dxa"/>
            <w:vAlign w:val="bottom"/>
            <w:tcBorders>
              <w:top w:val="single" w:sz="8" w:color="0000EE"/>
            </w:tcBorders>
            <w:gridSpan w:val="16"/>
          </w:tcPr>
          <w:p>
            <w:pPr>
              <w:spacing w:after="0"/>
              <w:rPr>
                <w:rFonts w:ascii="Arial" w:cs="Arial" w:eastAsia="Arial" w:hAnsi="Arial"/>
                <w:sz w:val="15"/>
                <w:szCs w:val="15"/>
                <w:color w:val="0000EE"/>
              </w:rPr>
            </w:pPr>
            <w:hyperlink w:anchor="page40">
              <w:r>
                <w:rPr>
                  <w:rFonts w:ascii="Arial" w:cs="Arial" w:eastAsia="Arial" w:hAnsi="Arial"/>
                  <w:sz w:val="15"/>
                  <w:szCs w:val="15"/>
                  <w:color w:val="0000EE"/>
                </w:rPr>
                <w:t>Compliance with Universal Proxy Rules for Director Nominations</w:t>
              </w:r>
            </w:hyperlink>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EE"/>
            </w:tcBorders>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36</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top w:val="single" w:sz="8" w:color="0000EE"/>
              <w:bottom w:val="single" w:sz="8" w:color="auto"/>
            </w:tcBorders>
          </w:tcPr>
          <w:p>
            <w:pPr>
              <w:spacing w:after="0"/>
              <w:rPr>
                <w:sz w:val="21"/>
                <w:szCs w:val="21"/>
                <w:color w:val="auto"/>
              </w:rPr>
            </w:pPr>
          </w:p>
        </w:tc>
        <w:tc>
          <w:tcPr>
            <w:tcW w:w="26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480" w:type="dxa"/>
            <w:vAlign w:val="bottom"/>
            <w:tcBorders>
              <w:top w:val="single" w:sz="8" w:color="0000EE"/>
              <w:bottom w:val="single" w:sz="8" w:color="auto"/>
            </w:tcBorders>
          </w:tcPr>
          <w:p>
            <w:pPr>
              <w:spacing w:after="0"/>
              <w:rPr>
                <w:sz w:val="21"/>
                <w:szCs w:val="21"/>
                <w:color w:val="auto"/>
              </w:rPr>
            </w:pPr>
          </w:p>
        </w:tc>
        <w:tc>
          <w:tcPr>
            <w:tcW w:w="6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520" w:type="dxa"/>
            <w:vAlign w:val="bottom"/>
            <w:tcBorders>
              <w:top w:val="single" w:sz="8" w:color="0000EE"/>
              <w:bottom w:val="single" w:sz="8" w:color="auto"/>
            </w:tcBorders>
          </w:tcPr>
          <w:p>
            <w:pPr>
              <w:spacing w:after="0"/>
              <w:rPr>
                <w:sz w:val="21"/>
                <w:szCs w:val="21"/>
                <w:color w:val="auto"/>
              </w:rPr>
            </w:pPr>
          </w:p>
        </w:tc>
        <w:tc>
          <w:tcPr>
            <w:tcW w:w="380" w:type="dxa"/>
            <w:vAlign w:val="bottom"/>
            <w:tcBorders>
              <w:top w:val="single" w:sz="8" w:color="0000EE"/>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2" w:right="4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PROXY STATEMENT</w:t>
      </w:r>
    </w:p>
    <w:p>
      <w:pPr>
        <w:spacing w:after="0" w:line="199" w:lineRule="exact"/>
        <w:rPr>
          <w:sz w:val="20"/>
          <w:szCs w:val="20"/>
          <w:color w:val="auto"/>
        </w:rPr>
      </w:pPr>
    </w:p>
    <w:p>
      <w:pPr>
        <w:ind w:right="3620"/>
        <w:spacing w:after="0" w:line="298" w:lineRule="auto"/>
        <w:rPr>
          <w:sz w:val="20"/>
          <w:szCs w:val="20"/>
          <w:color w:val="auto"/>
        </w:rPr>
      </w:pPr>
      <w:r>
        <w:rPr>
          <w:rFonts w:ascii="Arial" w:cs="Arial" w:eastAsia="Arial" w:hAnsi="Arial"/>
          <w:sz w:val="32"/>
          <w:szCs w:val="32"/>
          <w:b w:val="1"/>
          <w:bCs w:val="1"/>
          <w:color w:val="2F5DA8"/>
        </w:rPr>
        <w:t>QUESTIONS AND ANSWERS ABOUT THE 2022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Board of Directors of Allied Motion Technologies Inc. (the “Company”) is soliciting proxies to be voted at the Annual Meeting of Shareholders. The Annual Meeting will be held virtually on Wednesday, May 4, 2022, at 9:00 a.m. (Eastern Time). The meeting can be accessed by visiting </w:t>
      </w:r>
      <w:r>
        <w:rPr>
          <w:rFonts w:ascii="Arial" w:cs="Arial" w:eastAsia="Arial" w:hAnsi="Arial"/>
          <w:sz w:val="16"/>
          <w:szCs w:val="16"/>
          <w:b w:val="1"/>
          <w:bCs w:val="1"/>
          <w:u w:val="single" w:color="auto"/>
          <w:color w:val="2F5DA8"/>
        </w:rPr>
        <w:t>www.virtualshareholdermeeting.com/AMOT2022</w:t>
      </w:r>
      <w:r>
        <w:rPr>
          <w:rFonts w:ascii="Arial" w:cs="Arial" w:eastAsia="Arial" w:hAnsi="Arial"/>
          <w:sz w:val="16"/>
          <w:szCs w:val="16"/>
          <w:color w:val="000000"/>
        </w:rPr>
        <w:t>, where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84" w:lineRule="exact"/>
        <w:rPr>
          <w:sz w:val="20"/>
          <w:szCs w:val="20"/>
          <w:color w:val="auto"/>
        </w:rPr>
      </w:pPr>
    </w:p>
    <w:p>
      <w:pPr>
        <w:sectPr>
          <w:pgSz w:w="11900" w:h="16838" w:orient="portrait"/>
          <w:cols w:equalWidth="0" w:num="2">
            <w:col w:w="4400" w:space="26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All shareholders of record as of the close of business on Wednesday, March 9, 2022 (the “Record Date”) are entitled to vote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15,452,717 shares of Common Stock were issued and outstanding.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On March 10, 2021, the Board of Directors approved a 3-for-2 common stock split to be paid in the form of a stock dividend to holders of record on April 16, 2021. The additional shares were issued on April 30, 2021. All share and per share information presented in this proxy statement have been adjusted to reflect the stock split on a retrospective basis for all periods presented.</w:t>
      </w:r>
    </w:p>
    <w:p>
      <w:pPr>
        <w:spacing w:after="0" w:line="840" w:lineRule="exact"/>
        <w:rPr>
          <w:sz w:val="20"/>
          <w:szCs w:val="20"/>
          <w:color w:val="auto"/>
        </w:rPr>
      </w:pPr>
    </w:p>
    <w:p>
      <w:pPr>
        <w:sectPr>
          <w:pgSz w:w="11900" w:h="16838" w:orient="portrait"/>
          <w:cols w:equalWidth="0" w:num="2">
            <w:col w:w="4420" w:space="24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15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5777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in your name with the Company’s transfer agent, American Stock Transfer &amp; Trust Company, you are considered the shareholder of record with respect to those shares.</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held in an account at a brokerage firm, bank, broker-dealer or other similar organization, then you are the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81" w:lineRule="exact"/>
        <w:rPr>
          <w:sz w:val="20"/>
          <w:szCs w:val="20"/>
          <w:color w:val="auto"/>
        </w:rPr>
      </w:pPr>
    </w:p>
    <w:p>
      <w:pPr>
        <w:sectPr>
          <w:pgSz w:w="11900" w:h="16838" w:orient="portrait"/>
          <w:cols w:equalWidth="0" w:num="2">
            <w:col w:w="4300" w:space="36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84"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If you hold your shares in street name and do not instruct your bank or broker how to vote in the election of directors, no votes will be cast on your behalf. Your bank or broker will, however, continue to have discretion to vote any uninstructed</w:t>
      </w:r>
    </w:p>
    <w:p>
      <w:pPr>
        <w:spacing w:after="0" w:line="387" w:lineRule="exact"/>
        <w:rPr>
          <w:sz w:val="20"/>
          <w:szCs w:val="20"/>
          <w:color w:val="auto"/>
        </w:rPr>
      </w:pPr>
    </w:p>
    <w:p>
      <w:pPr>
        <w:sectPr>
          <w:pgSz w:w="11900" w:h="16838" w:orient="portrait"/>
          <w:cols w:equalWidth="0" w:num="2">
            <w:col w:w="4420" w:space="240"/>
            <w:col w:w="4660"/>
          </w:cols>
          <w:pgMar w:left="1280" w:top="263" w:right="1299" w:bottom="1440" w:gutter="0" w:footer="0" w:header="0"/>
          <w:type w:val="continuous"/>
        </w:sectPr>
      </w:pPr>
    </w:p>
    <w:p>
      <w:pPr>
        <w:spacing w:after="0" w:line="30" w:lineRule="exact"/>
        <w:rPr>
          <w:sz w:val="20"/>
          <w:szCs w:val="20"/>
          <w:color w:val="auto"/>
        </w:rPr>
      </w:pPr>
    </w:p>
    <w:p>
      <w:pPr>
        <w:ind w:left="5980"/>
        <w:spacing w:after="0"/>
        <w:tabs>
          <w:tab w:leader="none" w:pos="9240" w:val="left"/>
        </w:tabs>
        <w:rPr>
          <w:sz w:val="20"/>
          <w:szCs w:val="20"/>
          <w:color w:val="auto"/>
        </w:rPr>
      </w:pPr>
      <w:r>
        <w:rPr>
          <w:rFonts w:ascii="Arial" w:cs="Arial" w:eastAsia="Arial" w:hAnsi="Arial"/>
          <w:sz w:val="13"/>
          <w:szCs w:val="13"/>
          <w:color w:val="auto"/>
        </w:rPr>
        <w:t>Allied Motion Technologies Inc. | 2022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1" w:lineRule="exact"/>
        <w:rPr>
          <w:sz w:val="20"/>
          <w:szCs w:val="20"/>
          <w:color w:val="auto"/>
        </w:rPr>
      </w:pPr>
    </w:p>
    <w:p>
      <w:pPr>
        <w:ind w:left="220" w:right="120"/>
        <w:spacing w:after="0" w:line="266" w:lineRule="auto"/>
        <w:rPr>
          <w:sz w:val="20"/>
          <w:szCs w:val="20"/>
          <w:color w:val="auto"/>
        </w:rPr>
      </w:pPr>
      <w:r>
        <w:rPr>
          <w:rFonts w:ascii="Arial" w:cs="Arial" w:eastAsia="Arial" w:hAnsi="Arial"/>
          <w:sz w:val="16"/>
          <w:szCs w:val="16"/>
          <w:color w:val="auto"/>
        </w:rPr>
        <w:t>shares on the appointment of Deloitte &amp; Touche LLP (Proposal 3). Please ensure that you complete the voting instruction card sent by your bank or broker.</w:t>
      </w:r>
    </w:p>
    <w:p>
      <w:pPr>
        <w:spacing w:after="0" w:line="63"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meeting. We recommend that you vote your shares in advance as described above so that your vote will be counted if you later decide not to attend the Annual Meeting.</w:t>
      </w:r>
    </w:p>
    <w:p>
      <w:pPr>
        <w:spacing w:after="0" w:line="559" w:lineRule="exact"/>
        <w:rPr>
          <w:sz w:val="20"/>
          <w:szCs w:val="20"/>
          <w:color w:val="auto"/>
        </w:rPr>
      </w:pPr>
    </w:p>
    <w:p>
      <w:pPr>
        <w:sectPr>
          <w:pgSz w:w="11900" w:h="16838" w:orient="portrait"/>
          <w:cols w:equalWidth="0" w:num="2">
            <w:col w:w="4420" w:space="460"/>
            <w:col w:w="4420"/>
          </w:cols>
          <w:pgMar w:left="1280" w:top="263" w:right="1319" w:bottom="1440" w:gutter="0" w:footer="0" w:header="0"/>
        </w:sectPr>
      </w:pPr>
    </w:p>
    <w:p>
      <w:pPr>
        <w:ind w:left="220"/>
        <w:spacing w:after="0"/>
        <w:rPr>
          <w:sz w:val="20"/>
          <w:szCs w:val="20"/>
          <w:color w:val="auto"/>
        </w:rPr>
      </w:pPr>
      <w:r>
        <w:rPr>
          <w:rFonts w:ascii="Arial" w:cs="Arial" w:eastAsia="Arial" w:hAnsi="Arial"/>
          <w:sz w:val="17"/>
          <w:szCs w:val="17"/>
          <w:b w:val="1"/>
          <w:bCs w:val="1"/>
          <w:i w:val="1"/>
          <w:iCs w:val="1"/>
          <w:color w:val="auto"/>
        </w:rPr>
        <w:t>How can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may participate in the virtual Annual Meeting and vote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your shares during the meeting by visiting our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website at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2F5DA8"/>
        </w:rPr>
        <w:t>www.virtualshareholdermeeting.com/AMOT2022</w:t>
      </w:r>
      <w:r>
        <w:rPr>
          <w:rFonts w:ascii="Arial" w:cs="Arial" w:eastAsia="Arial" w:hAnsi="Arial"/>
          <w:sz w:val="16"/>
          <w:szCs w:val="16"/>
          <w:b w:val="1"/>
          <w:bCs w:val="1"/>
          <w:color w:val="2F5DA8"/>
        </w:rPr>
        <w:t xml:space="preserve"> </w:t>
      </w:r>
      <w:r>
        <w:rPr>
          <w:rFonts w:ascii="Arial" w:cs="Arial" w:eastAsia="Arial" w:hAnsi="Arial"/>
          <w:sz w:val="16"/>
          <w:szCs w:val="16"/>
          <w:color w:val="000000"/>
        </w:rPr>
        <w:t>. To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participate in the Annual Meeting, you will need the 16-digit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control number included on your proxy card or on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instructions that accompanied your proxy materials. Shares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held in your name as the shareholder of record may be voted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electronically during the Annual Meeting. Shares for which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are the beneficial owner but not the shareholder of record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also may be voted electronically during the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Even if you plan to participate in the Annual Meeting online,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recommend that you vote by proxy in advance as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described above so that your vote will be counted if you later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decide not to participate in the Annual Meeting. The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will begin promptly at 9:00 a.m. (Eastern Time).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Online check-in will begin at 8:45 a.m. (Eastern Time), and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should allow ample time for the online check-in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procedures.</w:t>
      </w:r>
    </w:p>
    <w:p>
      <w:pPr>
        <w:spacing w:after="0" w:line="97"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submit a question during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log into the virtual meeting platform with your control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number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F5DA8"/>
        </w:rPr>
        <w:t>www.virtualshareholdermeeting.com/AMOT2022</w:t>
      </w:r>
      <w:r>
        <w:rPr>
          <w:rFonts w:ascii="Arial" w:cs="Arial" w:eastAsia="Arial" w:hAnsi="Arial"/>
          <w:sz w:val="16"/>
          <w:szCs w:val="16"/>
          <w:color w:val="000000"/>
        </w:rPr>
        <w:t>, type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your question into the “Ask a Question” field, and click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“Submit.”</w:t>
      </w:r>
    </w:p>
    <w:p>
      <w:pPr>
        <w:spacing w:after="0" w:line="9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F5DA8"/>
        </w:rPr>
        <w:t>www.alliedmotion.com/investor-relations/</w:t>
      </w:r>
      <w:r>
        <w:rPr>
          <w:rFonts w:ascii="Arial" w:cs="Arial" w:eastAsia="Arial" w:hAnsi="Arial"/>
          <w:sz w:val="16"/>
          <w:szCs w:val="16"/>
          <w:color w:val="000000"/>
        </w:rPr>
        <w:t>. The questions</w:t>
      </w:r>
      <w:r>
        <w:rPr>
          <w:rFonts w:ascii="Arial" w:cs="Arial" w:eastAsia="Arial" w:hAnsi="Arial"/>
          <w:sz w:val="16"/>
          <w:szCs w:val="16"/>
          <w:b w:val="1"/>
          <w:bCs w:val="1"/>
          <w:color w:val="2F5DA8"/>
        </w:rPr>
        <w:t xml:space="preserve"> </w:t>
      </w:r>
      <w:r>
        <w:rPr>
          <w:rFonts w:ascii="Arial" w:cs="Arial" w:eastAsia="Arial" w:hAnsi="Arial"/>
          <w:sz w:val="16"/>
          <w:szCs w:val="16"/>
          <w:color w:val="000000"/>
        </w:rPr>
        <w:t>and answers will be available as soon as practical after the meeting and will remain available until one week after posting.</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1108" w:lineRule="exact"/>
        <w:rPr>
          <w:sz w:val="20"/>
          <w:szCs w:val="20"/>
          <w:color w:val="auto"/>
        </w:rPr>
      </w:pPr>
    </w:p>
    <w:p>
      <w:pPr>
        <w:sectPr>
          <w:pgSz w:w="11900" w:h="16838" w:orient="portrait"/>
          <w:cols w:equalWidth="0" w:num="2">
            <w:col w:w="4660" w:space="220"/>
            <w:col w:w="4420"/>
          </w:cols>
          <w:pgMar w:left="1280" w:top="263"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will be voting on the following proposals:</w:t>
      </w:r>
    </w:p>
    <w:p>
      <w:pPr>
        <w:spacing w:after="0" w:line="46" w:lineRule="exact"/>
        <w:rPr>
          <w:sz w:val="20"/>
          <w:szCs w:val="20"/>
          <w:color w:val="auto"/>
        </w:rPr>
      </w:pPr>
    </w:p>
    <w:p>
      <w:pPr>
        <w:ind w:left="400" w:right="560" w:hanging="182"/>
        <w:spacing w:after="0" w:line="272"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1: the election of seven Directors of the Company;</w:t>
      </w:r>
    </w:p>
    <w:p>
      <w:pPr>
        <w:spacing w:after="0" w:line="1" w:lineRule="exact"/>
        <w:rPr>
          <w:rFonts w:ascii="Arial" w:cs="Arial" w:eastAsia="Arial" w:hAnsi="Arial"/>
          <w:sz w:val="16"/>
          <w:szCs w:val="16"/>
          <w:color w:val="auto"/>
        </w:rPr>
      </w:pPr>
    </w:p>
    <w:p>
      <w:pPr>
        <w:ind w:left="400" w:hanging="182"/>
        <w:spacing w:after="0" w:line="286"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2: an advisory vote on the compensation of our Named Executive Officers; and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right="60" w:hanging="180"/>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3: the ratification of Deloitte &amp; Touche LLP as the Company’s independent registered public accounting firm for the 2022 fiscal year.</w:t>
      </w:r>
    </w:p>
    <w:p>
      <w:pPr>
        <w:spacing w:after="0" w:line="532" w:lineRule="exact"/>
        <w:rPr>
          <w:sz w:val="20"/>
          <w:szCs w:val="20"/>
          <w:color w:val="auto"/>
        </w:rPr>
      </w:pPr>
    </w:p>
    <w:p>
      <w:pPr>
        <w:sectPr>
          <w:pgSz w:w="11900" w:h="16838" w:orient="portrait"/>
          <w:cols w:equalWidth="0" w:num="2">
            <w:col w:w="4440" w:space="440"/>
            <w:col w:w="4420"/>
          </w:cols>
          <w:pgMar w:left="1280" w:top="263"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p>
      <w:pPr>
        <w:spacing w:after="0" w:line="172"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do not expect any other items of business because the deadline for shareholder proposals and nominations has passed. Nonetheless, in case there is an unforeseen need, your proxy gives discretionary authority to Richard S. Warzala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and Richard D. Federico with respect to any other matters that might be brought before the Annual Meeting. Those persons intend to vote that proxy in accordance with their best judgment.</w:t>
      </w:r>
    </w:p>
    <w:p>
      <w:pPr>
        <w:spacing w:after="0" w:line="81" w:lineRule="exact"/>
        <w:rPr>
          <w:sz w:val="20"/>
          <w:szCs w:val="20"/>
          <w:color w:val="auto"/>
        </w:rPr>
      </w:pPr>
    </w:p>
    <w:p>
      <w:pPr>
        <w:sectPr>
          <w:pgSz w:w="11900" w:h="16838" w:orient="portrait"/>
          <w:cols w:equalWidth="0" w:num="2">
            <w:col w:w="4640" w:space="240"/>
            <w:col w:w="4420"/>
          </w:cols>
          <w:pgMar w:left="1280" w:top="263"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How many votes are required to act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p>
      <w:pPr>
        <w:spacing w:after="0" w:line="172"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63" w:lineRule="exact"/>
        <w:rPr>
          <w:sz w:val="20"/>
          <w:szCs w:val="20"/>
          <w:color w:val="auto"/>
        </w:rPr>
      </w:pPr>
    </w:p>
    <w:p>
      <w:pPr>
        <w:ind w:left="220" w:right="100"/>
        <w:spacing w:after="0" w:line="259" w:lineRule="auto"/>
        <w:rPr>
          <w:sz w:val="20"/>
          <w:szCs w:val="20"/>
          <w:color w:val="auto"/>
        </w:rPr>
      </w:pPr>
      <w:r>
        <w:rPr>
          <w:rFonts w:ascii="Arial" w:cs="Arial" w:eastAsia="Arial" w:hAnsi="Arial"/>
          <w:sz w:val="16"/>
          <w:szCs w:val="16"/>
          <w:color w:val="auto"/>
        </w:rPr>
        <w:t>Pursuant to our Amended and Restated Articles of Incorporation and Bylaws, directors will be elected by the affirmative vote of the majority of the votes cast with respect to such director’s election.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Approval of Proposals 2 and 3 requires an affirmative vote by a majority of the votes cast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853440</wp:posOffset>
            </wp:positionV>
            <wp:extent cx="5777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451" w:lineRule="exact"/>
        <w:rPr>
          <w:sz w:val="20"/>
          <w:szCs w:val="20"/>
          <w:color w:val="auto"/>
        </w:rPr>
      </w:pPr>
    </w:p>
    <w:p>
      <w:pPr>
        <w:sectPr>
          <w:pgSz w:w="11900" w:h="16838" w:orient="portrait"/>
          <w:cols w:equalWidth="0" w:num="2">
            <w:col w:w="4620" w:space="260"/>
            <w:col w:w="4420"/>
          </w:cols>
          <w:pgMar w:left="1280" w:top="263" w:right="1319" w:bottom="1440" w:gutter="0" w:footer="0" w:header="0"/>
          <w:type w:val="continuous"/>
        </w:sectPr>
      </w:pPr>
    </w:p>
    <w:p>
      <w:pPr>
        <w:ind w:left="220" w:right="300"/>
        <w:spacing w:after="0" w:line="266" w:lineRule="auto"/>
        <w:rPr>
          <w:sz w:val="20"/>
          <w:szCs w:val="20"/>
          <w:color w:val="auto"/>
        </w:rPr>
      </w:pPr>
      <w:r>
        <w:rPr>
          <w:rFonts w:ascii="Arial" w:cs="Arial" w:eastAsia="Arial" w:hAnsi="Arial"/>
          <w:sz w:val="16"/>
          <w:szCs w:val="16"/>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ectPr>
          <w:pgSz w:w="11900" w:h="16838" w:orient="portrait"/>
          <w:cols w:equalWidth="0" w:num="1">
            <w:col w:w="9300"/>
          </w:cols>
          <w:pgMar w:left="1280" w:top="263" w:right="1319" w:bottom="1440" w:gutter="0" w:footer="0" w:header="0"/>
          <w:type w:val="continuous"/>
        </w:sectPr>
      </w:pPr>
    </w:p>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4" w:lineRule="exact"/>
        <w:rPr>
          <w:sz w:val="20"/>
          <w:szCs w:val="20"/>
          <w:color w:val="auto"/>
        </w:rPr>
      </w:pPr>
    </w:p>
    <w:p>
      <w:pPr>
        <w:jc w:val="both"/>
        <w:ind w:left="180" w:right="40" w:hanging="178"/>
        <w:spacing w:after="0" w:line="264"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ind w:left="180" w:right="80" w:hanging="178"/>
        <w:spacing w:after="0" w:line="266"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anyone contact me regarding this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right="320" w:hanging="176"/>
        <w:spacing w:after="0" w:line="286"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virtually attending the Annual Meeting, withdrawing the proxy and voting during the Annual Meeting.</w:t>
      </w:r>
    </w:p>
    <w:p>
      <w:pPr>
        <w:spacing w:after="0" w:line="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662940</wp:posOffset>
            </wp:positionV>
            <wp:extent cx="5777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78" w:lineRule="exact"/>
        <w:rPr>
          <w:sz w:val="20"/>
          <w:szCs w:val="20"/>
          <w:color w:val="auto"/>
        </w:rPr>
      </w:pPr>
    </w:p>
    <w:p>
      <w:pPr>
        <w:sectPr>
          <w:pgSz w:w="11900" w:h="16838" w:orient="portrait"/>
          <w:cols w:equalWidth="0" w:num="2">
            <w:col w:w="4360" w:space="300"/>
            <w:col w:w="4660"/>
          </w:cols>
          <w:pgMar w:left="1280" w:top="263" w:right="1299" w:bottom="1440" w:gutter="0" w:footer="0" w:header="0"/>
          <w:type w:val="continuous"/>
        </w:sectPr>
      </w:pPr>
    </w:p>
    <w:p>
      <w:pPr>
        <w:spacing w:after="0" w:line="256"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6"/>
          <w:szCs w:val="16"/>
          <w:color w:val="auto"/>
        </w:rPr>
        <w:t>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82" w:lineRule="exact"/>
        <w:rPr>
          <w:sz w:val="20"/>
          <w:szCs w:val="20"/>
          <w:color w:val="auto"/>
        </w:rPr>
      </w:pPr>
    </w:p>
    <w:p>
      <w:pPr>
        <w:sectPr>
          <w:pgSz w:w="11900" w:h="16838" w:orient="portrait"/>
          <w:cols w:equalWidth="0" w:num="2">
            <w:col w:w="4280" w:space="38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a copy of this year’s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the Company’s 2021 Annual Report to Shareholders, including financial statements for the fiscal year ended December 31, 2021, accompanies this Proxy Statement. The Annual Report, however, is not part of the proxy solicitation material. A copy of the Company’s Annual Report on Form 10-K filed with the Securities and Exchange Commission (“SEC”) may be obtained free of charge 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writing to Allied Motion Technologies Inc., 495 Commerce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Drive, Suite 3, Amherst, New York 14228, Attention: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Secretary or by accessing the “Investors/SEC Filings” section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website at www.alliedmotion.com.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 the Proxy Statement and Annual Report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available on the internet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F5DA8"/>
        </w:rPr>
        <w:t>https://materials.proxyvote.com/019330</w:t>
      </w:r>
      <w:r>
        <w:rPr>
          <w:rFonts w:ascii="Arial" w:cs="Arial" w:eastAsia="Arial" w:hAnsi="Arial"/>
          <w:sz w:val="16"/>
          <w:szCs w:val="16"/>
          <w:color w:val="000000"/>
        </w:rPr>
        <w:t>.</w:t>
      </w:r>
    </w:p>
    <w:p>
      <w:pPr>
        <w:spacing w:after="0" w:line="107" w:lineRule="exact"/>
        <w:rPr>
          <w:sz w:val="20"/>
          <w:szCs w:val="20"/>
          <w:color w:val="auto"/>
        </w:rPr>
      </w:pPr>
    </w:p>
    <w:p>
      <w:pPr>
        <w:sectPr>
          <w:pgSz w:w="11900" w:h="16838" w:orient="portrait"/>
          <w:cols w:equalWidth="0" w:num="2">
            <w:col w:w="4300" w:space="36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This proxy statement, the enclosed proxy card and the Annual Report were mailed to shareholders beginning on or about April 6,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find additional information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and business conduct policy, corporate governance principles and each of the charters of our board committees may be obtained free of charge by writing to Allied Motion Technologies Inc., 495 Commerce Drive, Suite 3, Amherst, New York 14228, Attention: Secretary.</w:t>
      </w:r>
    </w:p>
    <w:p>
      <w:pPr>
        <w:spacing w:after="0" w:line="387" w:lineRule="exact"/>
        <w:rPr>
          <w:sz w:val="20"/>
          <w:szCs w:val="20"/>
          <w:color w:val="auto"/>
        </w:rPr>
      </w:pPr>
    </w:p>
    <w:p>
      <w:pPr>
        <w:sectPr>
          <w:pgSz w:w="11900" w:h="16838" w:orient="portrait"/>
          <w:cols w:equalWidth="0" w:num="2">
            <w:col w:w="4400" w:space="260"/>
            <w:col w:w="4660"/>
          </w:cols>
          <w:pgMar w:left="1280" w:top="263" w:right="1299" w:bottom="1440" w:gutter="0" w:footer="0" w:header="0"/>
          <w:type w:val="continuous"/>
        </w:sectPr>
      </w:pPr>
    </w:p>
    <w:p>
      <w:pPr>
        <w:spacing w:after="0" w:line="32" w:lineRule="exact"/>
        <w:rPr>
          <w:sz w:val="20"/>
          <w:szCs w:val="20"/>
          <w:color w:val="auto"/>
        </w:rPr>
      </w:pPr>
    </w:p>
    <w:p>
      <w:pPr>
        <w:ind w:left="5980"/>
        <w:spacing w:after="0"/>
        <w:tabs>
          <w:tab w:leader="none" w:pos="9240" w:val="left"/>
        </w:tabs>
        <w:rPr>
          <w:sz w:val="20"/>
          <w:szCs w:val="20"/>
          <w:color w:val="auto"/>
        </w:rPr>
      </w:pPr>
      <w:r>
        <w:rPr>
          <w:rFonts w:ascii="Arial" w:cs="Arial" w:eastAsia="Arial" w:hAnsi="Arial"/>
          <w:sz w:val="13"/>
          <w:szCs w:val="13"/>
          <w:color w:val="auto"/>
        </w:rPr>
        <w:t>Allied Motion Technologies Inc. | 2022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CORPORATE GOVERNANCE AND BOARD MATTERS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Director Qualifications and Biographical Information</w:t>
      </w:r>
    </w:p>
    <w:p>
      <w:pPr>
        <w:sectPr>
          <w:pgSz w:w="11900" w:h="16838" w:orient="portrait"/>
          <w:cols w:equalWidth="0" w:num="1">
            <w:col w:w="9179"/>
          </w:cols>
          <w:pgMar w:left="1280" w:top="263" w:right="1440" w:bottom="1440" w:gutter="0" w:footer="0" w:header="0"/>
        </w:sectPr>
      </w:pP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19"/>
        <w:spacing w:after="0" w:line="256" w:lineRule="auto"/>
        <w:rPr>
          <w:sz w:val="20"/>
          <w:szCs w:val="20"/>
          <w:color w:val="auto"/>
        </w:rPr>
      </w:pPr>
      <w:r>
        <w:rPr>
          <w:rFonts w:ascii="Arial" w:cs="Arial" w:eastAsia="Arial" w:hAnsi="Arial"/>
          <w:sz w:val="16"/>
          <w:szCs w:val="16"/>
          <w:color w:val="auto"/>
        </w:rPr>
        <w:t>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54610</wp:posOffset>
            </wp:positionV>
            <wp:extent cx="5777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519"/>
          </w:cols>
          <w:pgMar w:left="1280" w:top="263" w:right="1440" w:bottom="1440" w:gutter="0" w:footer="0" w:header="0"/>
          <w:type w:val="continuous"/>
        </w:sect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F5DA8"/>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68</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2019.</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79"/>
        <w:spacing w:after="0" w:line="229" w:lineRule="auto"/>
        <w:rPr>
          <w:sz w:val="20"/>
          <w:szCs w:val="20"/>
          <w:color w:val="auto"/>
        </w:rPr>
      </w:pPr>
      <w:r>
        <w:rPr>
          <w:rFonts w:ascii="Arial" w:cs="Arial" w:eastAsia="Arial" w:hAnsi="Arial"/>
          <w:sz w:val="15"/>
          <w:szCs w:val="15"/>
          <w:color w:val="auto"/>
        </w:rPr>
        <w:t>Mr. Engel serves as Chief Executive Officer and Managing Director of BLT Advisory Services, LLC, a boutique advisory firm he formed in 2017 which provides guidance for business transformation, mergers and acquisitions, brand building and governance, as well as leadership development. Prior to BLT Advisory Services, Mr. Engel was in the banking industry for more than 30 years, including 17 years at CoBank, ACB in Denver, Colorado, serving first as President and Chief Operating Officer and subsequently being named President and Chief Executive Officer, responsible for leading the bank’s domestic and global businesses. Prior to this, Mr. Engel was with HSBC Bank USA in Buffalo, New York for 14 years, where he served in positions of increasing responsibility, ultimately becoming the Chief Banking Officer. Prior to moving to the banking industry, Mr. Engel began his public accounting career with Deloitte &amp; Touche, and then KPMG, rising to the position of Senior Audit Manager.</w:t>
      </w:r>
    </w:p>
    <w:p>
      <w:pPr>
        <w:spacing w:after="0" w:line="131" w:lineRule="exact"/>
        <w:rPr>
          <w:sz w:val="20"/>
          <w:szCs w:val="20"/>
          <w:color w:val="auto"/>
        </w:rPr>
      </w:pPr>
    </w:p>
    <w:p>
      <w:pPr>
        <w:ind w:right="79"/>
        <w:spacing w:after="0" w:line="232" w:lineRule="auto"/>
        <w:rPr>
          <w:sz w:val="20"/>
          <w:szCs w:val="20"/>
          <w:color w:val="auto"/>
        </w:rPr>
      </w:pPr>
      <w:r>
        <w:rPr>
          <w:rFonts w:ascii="Arial" w:cs="Arial" w:eastAsia="Arial" w:hAnsi="Arial"/>
          <w:sz w:val="15"/>
          <w:szCs w:val="15"/>
          <w:color w:val="auto"/>
        </w:rPr>
        <w:t>Mr. Engel is currently the Chairman of the Board at Alaska Power &amp; Telephone, where he serves on the Audit Committee and as Chairman of the Compensation Committee, and Heartland Financial USA, Inc. (HTLF) where he serves on the Audit Committee and as Chairman of the Risk Committee. He is Chairman of the Board of Trustees at Regis University in Denver, Colorado. Mr. Engel is a recipient of the Ellis Island Medal of Honor. His experience in board and executive leadership, strategic planning, risk management, international operations, mergers and acquisitions, and corporate governance matters gives him strong insight into the issues facing our company’s businesses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124460</wp:posOffset>
            </wp:positionV>
            <wp:extent cx="57778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6359"/>
          </w:cols>
          <w:pgMar w:left="1280" w:top="263"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F5DA8"/>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67</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79"/>
        <w:spacing w:after="0" w:line="228" w:lineRule="auto"/>
        <w:rPr>
          <w:sz w:val="20"/>
          <w:szCs w:val="20"/>
          <w:color w:val="auto"/>
        </w:rPr>
      </w:pPr>
      <w:r>
        <w:rPr>
          <w:rFonts w:ascii="Arial" w:cs="Arial" w:eastAsia="Arial" w:hAnsi="Arial"/>
          <w:sz w:val="15"/>
          <w:szCs w:val="15"/>
          <w:color w:val="auto"/>
        </w:rPr>
        <w:t>Mr. Federico has over forty years of operational, strategy and investment experience and has served as Lead Director for the past five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Sterling’s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environmental security and investment experience, knowledge of capital markets and experience on other public and private company boards prepare him to give the Board his views on strategic, operational, financial, advanced technology and environmental related matters.</w:t>
      </w:r>
    </w:p>
    <w:p>
      <w:pPr>
        <w:spacing w:after="0" w:line="200" w:lineRule="exact"/>
        <w:rPr>
          <w:sz w:val="20"/>
          <w:szCs w:val="20"/>
          <w:color w:val="auto"/>
        </w:rPr>
      </w:pPr>
    </w:p>
    <w:p>
      <w:pPr>
        <w:sectPr>
          <w:pgSz w:w="11900" w:h="16838" w:orient="portrait"/>
          <w:cols w:equalWidth="0" w:num="2">
            <w:col w:w="2200" w:space="620"/>
            <w:col w:w="6359"/>
          </w:cols>
          <w:pgMar w:left="1280" w:top="263" w:right="1440" w:bottom="1440" w:gutter="0" w:footer="0" w:header="0"/>
          <w:type w:val="continuous"/>
        </w:sectPr>
      </w:pPr>
    </w:p>
    <w:p>
      <w:pPr>
        <w:spacing w:after="0" w:line="92" w:lineRule="exact"/>
        <w:rPr>
          <w:sz w:val="20"/>
          <w:szCs w:val="20"/>
          <w:color w:val="auto"/>
        </w:rPr>
      </w:pPr>
    </w:p>
    <w:p>
      <w:pPr>
        <w:ind w:left="220"/>
        <w:spacing w:after="0"/>
        <w:tabs>
          <w:tab w:leader="none" w:pos="42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3" w:right="1440" w:bottom="1440" w:gutter="0" w:footer="0" w:header="0"/>
          <w:type w:val="continuous"/>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257810</wp:posOffset>
            </wp:positionV>
            <wp:extent cx="5777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F5DA8"/>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64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Mr. Finch is President of Manufacturing and Community Engagement at Viridi Parente, Inc., a developer and manufacturer of environmentally conscious energy usage and storage products, including battery powered energy delivery systems for heavy equipment, and energy storage and power management systems.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 GM facilities outside Buffalo before becoming Tonawanda Engine Plant Manager in 2007. He was a previous board member and Senior Vice President of the Automobile Association of America Western and Central New York.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189230</wp:posOffset>
            </wp:positionV>
            <wp:extent cx="5777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2320" w:space="720"/>
            <w:col w:w="6260"/>
          </w:cols>
          <w:pgMar w:left="1280" w:top="263" w:right="131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F5DA8"/>
        </w:rPr>
        <w:t>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Mr. Tanous is currently the Executive Director of the Prentice Family 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200" w:lineRule="exact"/>
        <w:rPr>
          <w:sz w:val="20"/>
          <w:szCs w:val="20"/>
          <w:color w:val="auto"/>
        </w:rPr>
      </w:pPr>
    </w:p>
    <w:p>
      <w:pPr>
        <w:sectPr>
          <w:pgSz w:w="11900" w:h="16838" w:orient="portrait"/>
          <w:cols w:equalWidth="0" w:num="2">
            <w:col w:w="2320" w:space="720"/>
            <w:col w:w="6260"/>
          </w:cols>
          <w:pgMar w:left="1280" w:top="263" w:right="1319" w:bottom="1440" w:gutter="0" w:footer="0" w:header="0"/>
          <w:type w:val="continuous"/>
        </w:sectPr>
      </w:pPr>
    </w:p>
    <w:p>
      <w:pPr>
        <w:spacing w:after="0" w:line="35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74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100330</wp:posOffset>
            </wp:positionV>
            <wp:extent cx="5777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F5DA8"/>
        </w:rPr>
        <w:t>Nicole R. Tzetzo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Ms. Tzetzo serves as Chief Operating Officer of Tzetzo Companies LLC, a residential and commercial real estate company. From 2016 to 2018 she served as Vice President of Finance and Administration at the Ralph C. Wilson, Jr. Foundation where she was responsible for all of the Foundation’s legal and financial operations. She was a Partner at Hodgson Russ, LLP (2019 to March 2021) and Jaeckle Fleischmann &amp; Mugel, LLP (2006 to 2016), where she represented numerous for-profit and not-for-profit clients on general tax and business matters. She currently is and has been involved with numerous private and non-profit boards. Ms. Tzetzo has served in management and leadership roles throughout her legal career. Her significant business and legal experience make her highly qualified to serve as a director.</w:t>
      </w:r>
    </w:p>
    <w:p>
      <w:pPr>
        <w:spacing w:after="0" w:line="200" w:lineRule="exact"/>
        <w:rPr>
          <w:sz w:val="20"/>
          <w:szCs w:val="20"/>
          <w:color w:val="auto"/>
        </w:rPr>
      </w:pPr>
    </w:p>
    <w:p>
      <w:pPr>
        <w:sectPr>
          <w:pgSz w:w="11900" w:h="16838" w:orient="portrait"/>
          <w:cols w:equalWidth="0" w:num="2">
            <w:col w:w="2320" w:space="720"/>
            <w:col w:w="6260"/>
          </w:cols>
          <w:pgMar w:left="1280" w:top="263" w:right="13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48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2021</w:t>
      </w:r>
    </w:p>
    <w:p>
      <w:pPr>
        <w:spacing w:after="0" w:line="302" w:lineRule="exact"/>
        <w:rPr>
          <w:sz w:val="20"/>
          <w:szCs w:val="20"/>
          <w:color w:val="auto"/>
        </w:rPr>
      </w:pPr>
    </w:p>
    <w:p>
      <w:pPr>
        <w:jc w:val="right"/>
        <w:ind w:right="200"/>
        <w:spacing w:after="0"/>
        <w:tabs>
          <w:tab w:leader="none" w:pos="40" w:val="left"/>
        </w:tabs>
        <w:rPr>
          <w:sz w:val="20"/>
          <w:szCs w:val="20"/>
          <w:color w:val="auto"/>
        </w:rPr>
      </w:pPr>
      <w:r>
        <w:rPr>
          <w:rFonts w:ascii="Arial" w:cs="Arial" w:eastAsia="Arial" w:hAnsi="Arial"/>
          <w:sz w:val="13"/>
          <w:szCs w:val="13"/>
          <w:color w:val="auto"/>
        </w:rPr>
        <w:t>Allied Motion Technologies Inc. | 2022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5777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340"/>
              <w:spacing w:after="0"/>
              <w:rPr>
                <w:sz w:val="20"/>
                <w:szCs w:val="20"/>
                <w:color w:val="auto"/>
              </w:rPr>
            </w:pPr>
            <w:r>
              <w:rPr>
                <w:rFonts w:ascii="Arial" w:cs="Arial" w:eastAsia="Arial" w:hAnsi="Arial"/>
                <w:sz w:val="20"/>
                <w:szCs w:val="20"/>
                <w:b w:val="1"/>
                <w:bCs w:val="1"/>
                <w:color w:val="2F5DA8"/>
              </w:rPr>
              <w:t>Richard S. Warzala</w:t>
            </w:r>
          </w:p>
        </w:tc>
        <w:tc>
          <w:tcPr>
            <w:tcW w:w="6640" w:type="dxa"/>
            <w:vAlign w:val="bottom"/>
          </w:tcPr>
          <w:p>
            <w:pPr>
              <w:ind w:left="360"/>
              <w:spacing w:after="0"/>
              <w:rPr>
                <w:sz w:val="20"/>
                <w:szCs w:val="20"/>
                <w:color w:val="auto"/>
              </w:rPr>
            </w:pPr>
            <w:r>
              <w:rPr>
                <w:rFonts w:ascii="Arial" w:cs="Arial" w:eastAsia="Arial" w:hAnsi="Arial"/>
                <w:sz w:val="15"/>
                <w:szCs w:val="15"/>
                <w:color w:val="auto"/>
              </w:rPr>
              <w:t>Mr. Warzala has a strong management and technical background in the motion control</w:t>
            </w:r>
          </w:p>
        </w:tc>
      </w:tr>
      <w:tr>
        <w:trPr>
          <w:trHeight w:val="131"/>
        </w:trPr>
        <w:tc>
          <w:tcPr>
            <w:tcW w:w="2460" w:type="dxa"/>
            <w:vAlign w:val="bottom"/>
          </w:tcPr>
          <w:p>
            <w:pPr>
              <w:spacing w:after="0"/>
              <w:rPr>
                <w:sz w:val="11"/>
                <w:szCs w:val="11"/>
                <w:color w:val="auto"/>
              </w:rPr>
            </w:pPr>
          </w:p>
        </w:tc>
        <w:tc>
          <w:tcPr>
            <w:tcW w:w="6640" w:type="dxa"/>
            <w:vAlign w:val="bottom"/>
          </w:tcPr>
          <w:p>
            <w:pPr>
              <w:ind w:left="360"/>
              <w:spacing w:after="0" w:line="131" w:lineRule="exact"/>
              <w:rPr>
                <w:sz w:val="20"/>
                <w:szCs w:val="20"/>
                <w:color w:val="auto"/>
              </w:rPr>
            </w:pPr>
            <w:r>
              <w:rPr>
                <w:rFonts w:ascii="Arial" w:cs="Arial" w:eastAsia="Arial" w:hAnsi="Arial"/>
                <w:sz w:val="15"/>
                <w:szCs w:val="15"/>
                <w:color w:val="auto"/>
              </w:rPr>
              <w:t>industry and has served as Chairman of the Board since February 2014. Mr. Warzala joined</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Allied Motion as President and Chief Operating Officer in May 2002 and was appointed</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President and Chief Executive Officer in May 2009. Prior to joining Allied Motion, Mr. Warzala</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was President of the Motion Components Group of Danaher Corporation and held various</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positions at American Precision Industries Inc., including Corporate Vice President and</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President of its API Motion Division. Pursuant to his employment agreement, as long as</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Mr. Warzala is Chief Executive Officer and is willing to serve, the Board of Directors will</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nominate him for election to the Board. His leadership experience and Company and</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industry knowledge, with 32 years of motion experience, provide valuable insight to the</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Board of Directors in formulating and executing the Company’s strategy. Mr. Warzala has</w:t>
            </w:r>
          </w:p>
        </w:tc>
      </w:tr>
      <w:tr>
        <w:trPr>
          <w:trHeight w:val="162"/>
        </w:trPr>
        <w:tc>
          <w:tcPr>
            <w:tcW w:w="2460" w:type="dxa"/>
            <w:vAlign w:val="bottom"/>
          </w:tcPr>
          <w:p>
            <w:pPr>
              <w:spacing w:after="0"/>
              <w:rPr>
                <w:sz w:val="14"/>
                <w:szCs w:val="14"/>
                <w:color w:val="auto"/>
              </w:rPr>
            </w:pPr>
          </w:p>
        </w:tc>
        <w:tc>
          <w:tcPr>
            <w:tcW w:w="6640" w:type="dxa"/>
            <w:vAlign w:val="bottom"/>
          </w:tcPr>
          <w:p>
            <w:pPr>
              <w:ind w:left="360"/>
              <w:spacing w:after="0" w:line="162" w:lineRule="exact"/>
              <w:rPr>
                <w:sz w:val="20"/>
                <w:szCs w:val="20"/>
                <w:color w:val="auto"/>
              </w:rPr>
            </w:pPr>
            <w:r>
              <w:rPr>
                <w:rFonts w:ascii="Arial" w:cs="Arial" w:eastAsia="Arial" w:hAnsi="Arial"/>
                <w:sz w:val="15"/>
                <w:szCs w:val="15"/>
                <w:color w:val="auto"/>
              </w:rPr>
              <w:t>also served on the Board of Directors of Astronova, Inc. since December 2017 where he</w:t>
            </w:r>
          </w:p>
        </w:tc>
      </w:tr>
      <w:tr>
        <w:trPr>
          <w:trHeight w:val="200"/>
        </w:trPr>
        <w:tc>
          <w:tcPr>
            <w:tcW w:w="2460" w:type="dxa"/>
            <w:vAlign w:val="bottom"/>
          </w:tcPr>
          <w:p>
            <w:pPr>
              <w:spacing w:after="0"/>
              <w:rPr>
                <w:sz w:val="17"/>
                <w:szCs w:val="17"/>
                <w:color w:val="auto"/>
              </w:rPr>
            </w:pPr>
          </w:p>
        </w:tc>
        <w:tc>
          <w:tcPr>
            <w:tcW w:w="6640" w:type="dxa"/>
            <w:vAlign w:val="bottom"/>
          </w:tcPr>
          <w:p>
            <w:pPr>
              <w:ind w:left="360"/>
              <w:spacing w:after="0"/>
              <w:rPr>
                <w:sz w:val="20"/>
                <w:szCs w:val="20"/>
                <w:color w:val="auto"/>
              </w:rPr>
            </w:pPr>
            <w:r>
              <w:rPr>
                <w:rFonts w:ascii="Arial" w:cs="Arial" w:eastAsia="Arial" w:hAnsi="Arial"/>
                <w:sz w:val="15"/>
                <w:szCs w:val="15"/>
                <w:color w:val="auto"/>
              </w:rPr>
              <w:t>serves as the Lead Director and Chair of the Compensation Committee.</w:t>
            </w:r>
          </w:p>
        </w:tc>
      </w:tr>
      <w:tr>
        <w:trPr>
          <w:trHeight w:val="388"/>
        </w:trPr>
        <w:tc>
          <w:tcPr>
            <w:tcW w:w="2460" w:type="dxa"/>
            <w:vAlign w:val="bottom"/>
          </w:tcPr>
          <w:p>
            <w:pPr>
              <w:ind w:left="3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68</w:t>
            </w:r>
          </w:p>
        </w:tc>
        <w:tc>
          <w:tcPr>
            <w:tcW w:w="6640" w:type="dxa"/>
            <w:vAlign w:val="bottom"/>
          </w:tcPr>
          <w:p>
            <w:pPr>
              <w:spacing w:after="0"/>
              <w:rPr>
                <w:sz w:val="24"/>
                <w:szCs w:val="24"/>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2006</w:t>
            </w:r>
          </w:p>
        </w:tc>
        <w:tc>
          <w:tcPr>
            <w:tcW w:w="6640" w:type="dxa"/>
            <w:vAlign w:val="bottom"/>
          </w:tcPr>
          <w:p>
            <w:pPr>
              <w:spacing w:after="0"/>
              <w:rPr>
                <w:sz w:val="17"/>
                <w:szCs w:val="17"/>
                <w:color w:val="auto"/>
              </w:rPr>
            </w:pPr>
          </w:p>
        </w:tc>
      </w:tr>
      <w:tr>
        <w:trPr>
          <w:trHeight w:val="191"/>
        </w:trPr>
        <w:tc>
          <w:tcPr>
            <w:tcW w:w="2460" w:type="dxa"/>
            <w:vAlign w:val="bottom"/>
            <w:tcBorders>
              <w:bottom w:val="single" w:sz="8" w:color="2F5DA8"/>
            </w:tcBorders>
          </w:tcPr>
          <w:p>
            <w:pPr>
              <w:spacing w:after="0"/>
              <w:rPr>
                <w:sz w:val="16"/>
                <w:szCs w:val="16"/>
                <w:color w:val="auto"/>
              </w:rPr>
            </w:pPr>
          </w:p>
        </w:tc>
        <w:tc>
          <w:tcPr>
            <w:tcW w:w="6640" w:type="dxa"/>
            <w:vAlign w:val="bottom"/>
            <w:tcBorders>
              <w:bottom w:val="single" w:sz="8" w:color="2F5DA8"/>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-1713865</wp:posOffset>
            </wp:positionV>
            <wp:extent cx="857250" cy="1191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ectPr>
          <w:pgSz w:w="11900" w:h="16838" w:orient="portrait"/>
          <w:cols w:equalWidth="0" w:num="1">
            <w:col w:w="9179"/>
          </w:cols>
          <w:pgMar w:left="1280" w:top="26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F5DA8"/>
        </w:rPr>
        <w:t>Michael R.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199"/>
        <w:spacing w:after="0" w:line="230" w:lineRule="auto"/>
        <w:rPr>
          <w:sz w:val="20"/>
          <w:szCs w:val="20"/>
          <w:color w:val="auto"/>
        </w:rPr>
      </w:pPr>
      <w:r>
        <w:rPr>
          <w:rFonts w:ascii="Arial" w:cs="Arial" w:eastAsia="Arial" w:hAnsi="Arial"/>
          <w:sz w:val="15"/>
          <w:szCs w:val="15"/>
          <w:color w:val="auto"/>
        </w:rPr>
        <w:t>Mr. Winter is a former partner in the Buffalo, New 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Mr. Winter served on the Board of Directors of Gas Natural, Inc. (EGAS) from October 2014 through its sale in August 2017. His accounting and business expertise, including an in-depth understanding of the preparation and analysis of financial statements, makes him highly qualified to serve as a director.</w:t>
      </w:r>
    </w:p>
    <w:p>
      <w:pPr>
        <w:spacing w:after="0" w:line="200" w:lineRule="exact"/>
        <w:rPr>
          <w:sz w:val="20"/>
          <w:szCs w:val="20"/>
          <w:color w:val="auto"/>
        </w:rPr>
      </w:pPr>
    </w:p>
    <w:p>
      <w:pPr>
        <w:sectPr>
          <w:pgSz w:w="11900" w:h="16838" w:orient="portrait"/>
          <w:cols w:equalWidth="0" w:num="2">
            <w:col w:w="2100" w:space="720"/>
            <w:col w:w="6359"/>
          </w:cols>
          <w:pgMar w:left="1280" w:top="263"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Age: </w:t>
      </w:r>
      <w:r>
        <w:rPr>
          <w:rFonts w:ascii="Arial" w:cs="Arial" w:eastAsia="Arial" w:hAnsi="Arial"/>
          <w:sz w:val="14"/>
          <w:szCs w:val="14"/>
          <w:color w:val="000000"/>
        </w:rPr>
        <w:t>68</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F5DA8"/>
        </w:rPr>
        <w:t xml:space="preserve">Director Since: </w:t>
      </w:r>
      <w:r>
        <w:rPr>
          <w:rFonts w:ascii="Arial" w:cs="Arial" w:eastAsia="Arial" w:hAnsi="Arial"/>
          <w:sz w:val="14"/>
          <w:szCs w:val="14"/>
          <w:color w:val="000000"/>
        </w:rPr>
        <w:t>2014</w:t>
      </w:r>
    </w:p>
    <w:p>
      <w:pPr>
        <w:spacing w:after="0" w:line="302" w:lineRule="exact"/>
        <w:rPr>
          <w:sz w:val="20"/>
          <w:szCs w:val="20"/>
          <w:color w:val="auto"/>
        </w:rPr>
      </w:pPr>
    </w:p>
    <w:p>
      <w:pPr>
        <w:ind w:left="220"/>
        <w:spacing w:after="0"/>
        <w:tabs>
          <w:tab w:leader="none" w:pos="42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3" w:right="1440"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pacing w:after="0" w:line="38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Board Diversity</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Recently adopted Nasdaq listing requirements require each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listed company to have, or explain why it does not have, two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diverse directors on the board, including at least one diverse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who self-identifies as female and one diverse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who self-identifies as an underrepresented minority or LGBTQ+ (subject to the exceptions). Our current board composition complies with the Nasdaq diversity requirement.</w:t>
      </w:r>
    </w:p>
    <w:p>
      <w:pPr>
        <w:spacing w:after="0" w:line="252" w:lineRule="exact"/>
        <w:rPr>
          <w:sz w:val="20"/>
          <w:szCs w:val="20"/>
          <w:color w:val="auto"/>
        </w:rPr>
      </w:pPr>
    </w:p>
    <w:p>
      <w:pPr>
        <w:sectPr>
          <w:pgSz w:w="11900" w:h="16838" w:orient="portrait"/>
          <w:cols w:equalWidth="0" w:num="2">
            <w:col w:w="4620" w:space="260"/>
            <w:col w:w="4440"/>
          </w:cols>
          <w:pgMar w:left="1280" w:top="263" w:right="1299" w:bottom="734" w:gutter="0" w:footer="0" w:header="0"/>
        </w:sectPr>
      </w:pPr>
    </w:p>
    <w:p>
      <w:pPr>
        <w:ind w:left="220" w:right="80"/>
        <w:spacing w:after="0" w:line="275" w:lineRule="auto"/>
        <w:rPr>
          <w:sz w:val="20"/>
          <w:szCs w:val="20"/>
          <w:color w:val="auto"/>
        </w:rPr>
      </w:pPr>
      <w:r>
        <w:rPr>
          <w:rFonts w:ascii="Arial" w:cs="Arial" w:eastAsia="Arial" w:hAnsi="Arial"/>
          <w:sz w:val="16"/>
          <w:szCs w:val="16"/>
          <w:color w:val="auto"/>
        </w:rPr>
        <w:t>The table below provides certain highlights of the composition of our board members, each of whom are nominees for election at the Annual Meeting. Each of the categories included in the below table has the meaning as it is used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144145</wp:posOffset>
            </wp:positionV>
            <wp:extent cx="5777865" cy="3308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7865" cy="3308985"/>
                    </a:xfrm>
                    <a:prstGeom prst="rect">
                      <a:avLst/>
                    </a:prstGeom>
                    <a:noFill/>
                  </pic:spPr>
                </pic:pic>
              </a:graphicData>
            </a:graphic>
          </wp:anchor>
        </w:drawing>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2F5DA8"/>
        </w:rPr>
        <w:t>Board Diversity Matrix (As of December 31, 2021)</w:t>
      </w: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285"/>
        </w:trPr>
        <w:tc>
          <w:tcPr>
            <w:tcW w:w="3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2F5DA8"/>
              </w:rPr>
              <w:t>Total Number of Directors</w:t>
            </w:r>
          </w:p>
        </w:tc>
        <w:tc>
          <w:tcPr>
            <w:tcW w:w="1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804"/>
              <w:spacing w:after="0"/>
              <w:rPr>
                <w:sz w:val="20"/>
                <w:szCs w:val="20"/>
                <w:color w:val="auto"/>
              </w:rPr>
            </w:pPr>
            <w:r>
              <w:rPr>
                <w:rFonts w:ascii="Arial" w:cs="Arial" w:eastAsia="Arial" w:hAnsi="Arial"/>
                <w:sz w:val="15"/>
                <w:szCs w:val="15"/>
                <w:b w:val="1"/>
                <w:bCs w:val="1"/>
                <w:color w:val="2F5DA8"/>
              </w:rPr>
              <w:t>7</w:t>
            </w: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5"/>
                <w:szCs w:val="15"/>
                <w:b w:val="1"/>
                <w:bCs w:val="1"/>
                <w:color w:val="2F5DA8"/>
              </w:rPr>
              <w:t>Female</w:t>
            </w:r>
          </w:p>
        </w:tc>
        <w:tc>
          <w:tcPr>
            <w:tcW w:w="9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b w:val="1"/>
                <w:bCs w:val="1"/>
                <w:color w:val="2F5DA8"/>
              </w:rPr>
              <w:t>Male</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2F5DA8"/>
              </w:rPr>
              <w:t>Non-Binary</w:t>
            </w:r>
          </w:p>
        </w:tc>
        <w:tc>
          <w:tcPr>
            <w:tcW w:w="1580" w:type="dxa"/>
            <w:vAlign w:val="bottom"/>
          </w:tcPr>
          <w:p>
            <w:pPr>
              <w:jc w:val="center"/>
              <w:ind w:left="164"/>
              <w:spacing w:after="0"/>
              <w:rPr>
                <w:sz w:val="20"/>
                <w:szCs w:val="20"/>
                <w:color w:val="auto"/>
              </w:rPr>
            </w:pPr>
            <w:r>
              <w:rPr>
                <w:rFonts w:ascii="Arial" w:cs="Arial" w:eastAsia="Arial" w:hAnsi="Arial"/>
                <w:sz w:val="15"/>
                <w:szCs w:val="15"/>
                <w:b w:val="1"/>
                <w:bCs w:val="1"/>
                <w:color w:val="2F5DA8"/>
              </w:rPr>
              <w:t>Did Not Disclose</w:t>
            </w:r>
          </w:p>
        </w:tc>
        <w:tc>
          <w:tcPr>
            <w:tcW w:w="0" w:type="dxa"/>
            <w:vAlign w:val="bottom"/>
          </w:tcPr>
          <w:p>
            <w:pPr>
              <w:spacing w:after="0"/>
              <w:rPr>
                <w:sz w:val="1"/>
                <w:szCs w:val="1"/>
                <w:color w:val="auto"/>
              </w:rPr>
            </w:pPr>
          </w:p>
        </w:tc>
      </w:tr>
      <w:tr>
        <w:trPr>
          <w:trHeight w:val="210"/>
        </w:trPr>
        <w:tc>
          <w:tcPr>
            <w:tcW w:w="3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580" w:type="dxa"/>
            <w:vAlign w:val="bottom"/>
          </w:tcPr>
          <w:p>
            <w:pPr>
              <w:ind w:left="980"/>
              <w:spacing w:after="0"/>
              <w:rPr>
                <w:sz w:val="20"/>
                <w:szCs w:val="20"/>
                <w:color w:val="auto"/>
              </w:rPr>
            </w:pPr>
            <w:r>
              <w:rPr>
                <w:rFonts w:ascii="Arial" w:cs="Arial" w:eastAsia="Arial" w:hAnsi="Arial"/>
                <w:sz w:val="15"/>
                <w:szCs w:val="15"/>
                <w:b w:val="1"/>
                <w:bCs w:val="1"/>
                <w:color w:val="2F5DA8"/>
              </w:rPr>
              <w:t>Gender</w:t>
            </w: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120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Directors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120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African American or Black</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Alaskan Native or Native American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Asian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Hispanic or Latinx</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Native Hawaiian or Pacific Islander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White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Two or More Races or Ethnicities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LGBTQ+</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9320"/>
          </w:cols>
          <w:pgMar w:left="1280" w:top="263" w:right="1299" w:bottom="734" w:gutter="0" w:footer="0" w:header="0"/>
          <w:type w:val="continuous"/>
        </w:sectPr>
      </w:pPr>
    </w:p>
    <w:p>
      <w:pPr>
        <w:ind w:left="220"/>
        <w:spacing w:after="0"/>
        <w:rPr>
          <w:sz w:val="20"/>
          <w:szCs w:val="20"/>
          <w:color w:val="auto"/>
        </w:rPr>
      </w:pPr>
      <w:r>
        <w:rPr>
          <w:rFonts w:ascii="Arial" w:cs="Arial" w:eastAsia="Arial" w:hAnsi="Arial"/>
          <w:sz w:val="25"/>
          <w:szCs w:val="25"/>
          <w:b w:val="1"/>
          <w:bCs w:val="1"/>
          <w:color w:val="2F5DA8"/>
        </w:rPr>
        <w:t>Independent Directors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Human Capital and Compensation Committee and Governance and Nominating Committee, must meet the test of “independence” as defined by Nasdaq. The Nasdaq standards provide that to qualify as an “independent” director, in addition to satisfying certain</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bright-line criteria, the Board of Directors must affirmatively determine that a director has no material relationship with the Company. The Board of Directors has determined that each director nominee, other than Mr. Warzala, satisfies the bright-line criteria and that no other director or nominee has a relationship with the Company that would interfere with such person’s ability to exercise independent judgment as a member of our Board.</w:t>
      </w:r>
    </w:p>
    <w:p>
      <w:pPr>
        <w:spacing w:after="0" w:line="132" w:lineRule="exact"/>
        <w:rPr>
          <w:sz w:val="20"/>
          <w:szCs w:val="20"/>
          <w:color w:val="auto"/>
        </w:rPr>
      </w:pPr>
    </w:p>
    <w:p>
      <w:pPr>
        <w:sectPr>
          <w:pgSz w:w="11900" w:h="16838" w:orient="portrait"/>
          <w:cols w:equalWidth="0" w:num="2">
            <w:col w:w="4560" w:space="320"/>
            <w:col w:w="4440"/>
          </w:cols>
          <w:pgMar w:left="1280" w:top="263" w:right="1299" w:bottom="734" w:gutter="0" w:footer="0" w:header="0"/>
          <w:type w:val="continuous"/>
        </w:sectPr>
      </w:pPr>
    </w:p>
    <w:p>
      <w:pPr>
        <w:ind w:left="220"/>
        <w:spacing w:after="0"/>
        <w:rPr>
          <w:sz w:val="20"/>
          <w:szCs w:val="20"/>
          <w:color w:val="auto"/>
        </w:rPr>
      </w:pPr>
      <w:r>
        <w:rPr>
          <w:rFonts w:ascii="Arial" w:cs="Arial" w:eastAsia="Arial" w:hAnsi="Arial"/>
          <w:sz w:val="25"/>
          <w:szCs w:val="25"/>
          <w:b w:val="1"/>
          <w:bCs w:val="1"/>
          <w:color w:val="2F5DA8"/>
        </w:rPr>
        <w:t>Board Leadership Structure</w:t>
      </w:r>
    </w:p>
    <w:p>
      <w:pPr>
        <w:spacing w:after="0" w:line="128"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82"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 responsibilities include: providing leadership to ensure that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7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Board and Committee levels. Six of the seven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w:t>
      </w:r>
    </w:p>
    <w:p>
      <w:pPr>
        <w:spacing w:after="0" w:line="203" w:lineRule="exact"/>
        <w:rPr>
          <w:sz w:val="20"/>
          <w:szCs w:val="20"/>
          <w:color w:val="auto"/>
        </w:rPr>
      </w:pPr>
    </w:p>
    <w:p>
      <w:pPr>
        <w:sectPr>
          <w:pgSz w:w="11900" w:h="16838" w:orient="portrait"/>
          <w:cols w:equalWidth="0" w:num="2">
            <w:col w:w="4600" w:space="280"/>
            <w:col w:w="4440"/>
          </w:cols>
          <w:pgMar w:left="1280" w:top="263" w:right="1299" w:bottom="734" w:gutter="0" w:footer="0" w:header="0"/>
          <w:type w:val="continuous"/>
        </w:sectPr>
      </w:pPr>
    </w:p>
    <w:p>
      <w:pPr>
        <w:spacing w:after="0" w:line="32" w:lineRule="exact"/>
        <w:rPr>
          <w:sz w:val="20"/>
          <w:szCs w:val="20"/>
          <w:color w:val="auto"/>
        </w:rPr>
      </w:pPr>
    </w:p>
    <w:p>
      <w:pPr>
        <w:ind w:left="5760"/>
        <w:spacing w:after="0"/>
        <w:tabs>
          <w:tab w:leader="none" w:pos="9020" w:val="left"/>
        </w:tabs>
        <w:rPr>
          <w:sz w:val="20"/>
          <w:szCs w:val="20"/>
          <w:color w:val="auto"/>
        </w:rPr>
      </w:pPr>
      <w:r>
        <w:rPr>
          <w:rFonts w:ascii="Arial" w:cs="Arial" w:eastAsia="Arial" w:hAnsi="Arial"/>
          <w:sz w:val="13"/>
          <w:szCs w:val="13"/>
          <w:color w:val="auto"/>
        </w:rPr>
        <w:t>Allied Motion Technologies Inc. | 2022 Proxy Statement |</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734" w:gutter="0" w:footer="0" w:header="0"/>
          <w:type w:val="continuous"/>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ectPr>
          <w:pgSz w:w="11900" w:h="16838" w:orient="portrait"/>
          <w:cols w:equalWidth="0" w:num="1">
            <w:col w:w="9179"/>
          </w:cols>
          <w:pgMar w:left="1280" w:top="26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Human Capital and Compensation Committee and Governance and Nominating Committee,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79"/>
        <w:spacing w:after="0" w:line="286" w:lineRule="auto"/>
        <w:rPr>
          <w:sz w:val="20"/>
          <w:szCs w:val="20"/>
          <w:color w:val="auto"/>
        </w:rPr>
      </w:pPr>
      <w:r>
        <w:rPr>
          <w:rFonts w:ascii="Arial" w:cs="Arial" w:eastAsia="Arial" w:hAnsi="Arial"/>
          <w:sz w:val="16"/>
          <w:szCs w:val="16"/>
          <w:color w:val="auto"/>
        </w:rPr>
        <w:t>of which are comprised entirely of independent Directors, also perform oversight functions independent of management.</w:t>
      </w:r>
    </w:p>
    <w:p>
      <w:pPr>
        <w:spacing w:after="0" w:line="48" w:lineRule="exact"/>
        <w:rPr>
          <w:sz w:val="20"/>
          <w:szCs w:val="20"/>
          <w:color w:val="auto"/>
        </w:rPr>
      </w:pPr>
    </w:p>
    <w:p>
      <w:pPr>
        <w:ind w:right="79"/>
        <w:spacing w:after="0" w:line="25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212" w:lineRule="exact"/>
        <w:rPr>
          <w:sz w:val="20"/>
          <w:szCs w:val="20"/>
          <w:color w:val="auto"/>
        </w:rPr>
      </w:pPr>
    </w:p>
    <w:p>
      <w:pPr>
        <w:sectPr>
          <w:pgSz w:w="11900" w:h="16838" w:orient="portrait"/>
          <w:cols w:equalWidth="0" w:num="2">
            <w:col w:w="4440" w:space="220"/>
            <w:col w:w="4519"/>
          </w:cols>
          <w:pgMar w:left="1280" w:top="263"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F5DA8"/>
        </w:rPr>
        <w:t>Shareholder Communication with the Board</w:t>
      </w:r>
    </w:p>
    <w:p>
      <w:pPr>
        <w:sectPr>
          <w:pgSz w:w="11900" w:h="16838" w:orient="portrait"/>
          <w:cols w:equalWidth="0" w:num="1">
            <w:col w:w="9179"/>
          </w:cols>
          <w:pgMar w:left="1280" w:top="263" w:right="1440" w:bottom="1440" w:gutter="0" w:footer="0" w:header="0"/>
          <w:type w:val="continuous"/>
        </w:sectPr>
      </w:pP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provide an informal process for shareholders to send communications to the Board of Directors. Shareholders who wish to contact the Board of Directors or any of its members may do so in writing to Allied Motion Technologies Inc.,</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99"/>
        <w:spacing w:after="0" w:line="259" w:lineRule="auto"/>
        <w:rPr>
          <w:sz w:val="20"/>
          <w:szCs w:val="20"/>
          <w:color w:val="auto"/>
        </w:rPr>
      </w:pPr>
      <w:r>
        <w:rPr>
          <w:rFonts w:ascii="Arial" w:cs="Arial" w:eastAsia="Arial" w:hAnsi="Arial"/>
          <w:sz w:val="16"/>
          <w:szCs w:val="16"/>
          <w:color w:val="auto"/>
        </w:rPr>
        <w:t>495 Commerce Drive, Suite 3, Amherst, New York 14228. Correspondence directed to an individual board member will be referred to that member. Correspondence not directed to a particular board member will be referred to the Lead Director.</w:t>
      </w:r>
    </w:p>
    <w:p>
      <w:pPr>
        <w:spacing w:after="0" w:line="113" w:lineRule="exact"/>
        <w:rPr>
          <w:sz w:val="20"/>
          <w:szCs w:val="20"/>
          <w:color w:val="auto"/>
        </w:rPr>
      </w:pPr>
    </w:p>
    <w:p>
      <w:pPr>
        <w:sectPr>
          <w:pgSz w:w="11900" w:h="16838" w:orient="portrait"/>
          <w:cols w:equalWidth="0" w:num="2">
            <w:col w:w="4360" w:space="300"/>
            <w:col w:w="4519"/>
          </w:cols>
          <w:pgMar w:left="1280" w:top="263"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F5DA8"/>
        </w:rPr>
        <w:t>Committees and Meeting Data</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The Board of Directors has a standing Audit Committee, Human Capital and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6"/>
          <w:szCs w:val="16"/>
          <w:b w:val="1"/>
          <w:bCs w:val="1"/>
          <w:u w:val="single" w:color="auto"/>
          <w:color w:val="2F5DA8"/>
        </w:rPr>
        <w:t>www.alliedmotion.com</w:t>
      </w:r>
      <w:r>
        <w:rPr>
          <w:rFonts w:ascii="Arial" w:cs="Arial" w:eastAsia="Arial" w:hAnsi="Arial"/>
          <w:sz w:val="16"/>
          <w:szCs w:val="16"/>
          <w:color w:val="auto"/>
        </w:rPr>
        <w:t>.</w:t>
      </w:r>
    </w:p>
    <w:p>
      <w:pPr>
        <w:spacing w:after="0" w:line="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seven meetings during 2021 and consisted of Messrs. Winter (Chair), Engel, Finch and Tanous. Each member of the Audit Committee meets the current independence and experience requirements of Nasdaq and the SEC. Messrs. Winter and Engel have each been designated as an “Audit Committee financial expert” in accordance with the SEC rules and regulations and each qualify as a financially sophisticated audit committee member under the Nasdaq listing standards. See “Report of the Audit Committee” below.</w:t>
      </w:r>
    </w:p>
    <w:p>
      <w:pPr>
        <w:spacing w:after="0" w:line="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Human Capital and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Human Capital and Compensation Committee also reviews and approves all awards granted under the Company’s stock incentive plan and performs other functions regarding compensation as the Board may delegate. In addition, the Human Capital and Compensation Committee (i) reviews and oversees the Company’s human capital management strategies, policies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color w:val="auto"/>
        </w:rPr>
        <w:t>and programs, including initiatives to enhance the engagement, diversity, skills, bench strength and recognition of the Company’s human capital, (ii) monitors and receives reports from management on no less than a semi-annual basis on the progress of the Company’s strategies, efforts and initiatives to promote diversity, equity and inclusion and an environment that is free from discrimination, prejudice and retribution, and (iii) reviews and assists the Board in developing succession plans for the CEO and other executive officers. The Human Capital and Compensation Committee met eight times during 2021 and consisted of Messrs. Federico (Chair), Engel and Finch and Ms. Tzetzo.</w:t>
      </w:r>
    </w:p>
    <w:p>
      <w:pPr>
        <w:spacing w:after="0" w:line="76" w:lineRule="exact"/>
        <w:rPr>
          <w:sz w:val="20"/>
          <w:szCs w:val="20"/>
          <w:color w:val="auto"/>
        </w:rPr>
      </w:pPr>
    </w:p>
    <w:p>
      <w:pPr>
        <w:ind w:right="179"/>
        <w:spacing w:after="0" w:line="251" w:lineRule="auto"/>
        <w:rPr>
          <w:sz w:val="20"/>
          <w:szCs w:val="20"/>
          <w:color w:val="auto"/>
        </w:rPr>
      </w:pPr>
      <w:r>
        <w:rPr>
          <w:rFonts w:ascii="Arial" w:cs="Arial" w:eastAsia="Arial" w:hAnsi="Arial"/>
          <w:sz w:val="16"/>
          <w:szCs w:val="16"/>
          <w:color w:val="auto"/>
        </w:rPr>
        <w:t>The Governance and Nominating Committee of our Board of Directors (i) monitors and oversees matters of corporate governance, including the evaluation of Board performance and processes and the “independence” of directors, and</w:t>
      </w:r>
    </w:p>
    <w:p>
      <w:pPr>
        <w:spacing w:after="0" w:line="2" w:lineRule="exact"/>
        <w:rPr>
          <w:sz w:val="20"/>
          <w:szCs w:val="20"/>
          <w:color w:val="auto"/>
        </w:rPr>
      </w:pPr>
    </w:p>
    <w:p>
      <w:pPr>
        <w:ind w:right="79" w:firstLine="4"/>
        <w:spacing w:after="0" w:line="247" w:lineRule="auto"/>
        <w:tabs>
          <w:tab w:leader="none" w:pos="225"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 In addition, the Governance and Nominating Committee assists the Board in its oversight of the Company’s processes for management and communication of key risks, as well as the guidelines, policies and processes for monitoring and mitigating such risks. The Governance and Nominating Committee also oversees the Company’s (i) strategies, activities and policies regarding sustainability and other environmental, social and governance related matters and (ii) legal and regulatory compliance and its policies, procedures and programs designated to promote and monitor legal and regulatory compliance. The Governance and Nominating Committee has primary responsibility to oversee compliance with the Company’s Code of Ethics and Business Conduct and assists the Board in reviewing related person transactions. The committee met seven times during 2021 and consisted of Messrs. Tanous (Chair), Federico, Winter and Ms. Tzetzo.</w:t>
      </w:r>
    </w:p>
    <w:p>
      <w:pPr>
        <w:spacing w:after="0" w:line="250" w:lineRule="exact"/>
        <w:rPr>
          <w:sz w:val="20"/>
          <w:szCs w:val="20"/>
          <w:color w:val="auto"/>
        </w:rPr>
      </w:pPr>
    </w:p>
    <w:p>
      <w:pPr>
        <w:sectPr>
          <w:pgSz w:w="11900" w:h="16838" w:orient="portrait"/>
          <w:cols w:equalWidth="0" w:num="2">
            <w:col w:w="4440" w:space="220"/>
            <w:col w:w="4519"/>
          </w:cols>
          <w:pgMar w:left="1280" w:top="263"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F5DA8"/>
        </w:rPr>
        <w:t>Risk Oversight</w:t>
      </w:r>
    </w:p>
    <w:p>
      <w:pPr>
        <w:spacing w:after="0" w:line="1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The entire Board of Directors is responsible for oversight of this senior management function. In certain instances, the Board of Directors has delegated oversight of specific risk categories to individual Board Committees. The Audit Committee is responsible for the oversight of risks arising out of financial, capital markets, and technology related activities. The Human Capital and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79"/>
        <w:spacing w:after="0" w:line="251" w:lineRule="auto"/>
        <w:rPr>
          <w:sz w:val="20"/>
          <w:szCs w:val="20"/>
          <w:color w:val="auto"/>
        </w:rPr>
      </w:pPr>
      <w:r>
        <w:rPr>
          <w:rFonts w:ascii="Arial" w:cs="Arial" w:eastAsia="Arial" w:hAnsi="Arial"/>
          <w:sz w:val="16"/>
          <w:szCs w:val="16"/>
          <w:color w:val="auto"/>
        </w:rPr>
        <w:t>Compensation Committee annually reviews the Company’s compensation arrangements to confirm that compensation plans, especially incentive pay arrangements, do not encourage or create opportunities for unnecessary risk-taking. The Governance and Nominating Committee is tasked with the oversight of the Company’s regulatory and shareholder activities, including policies regarding sustainability and other environmental, social and governance related matters. The Human Capital and Compensation</w:t>
      </w:r>
    </w:p>
    <w:p>
      <w:pPr>
        <w:spacing w:after="0" w:line="200" w:lineRule="exact"/>
        <w:rPr>
          <w:sz w:val="20"/>
          <w:szCs w:val="20"/>
          <w:color w:val="auto"/>
        </w:rPr>
      </w:pPr>
    </w:p>
    <w:p>
      <w:pPr>
        <w:sectPr>
          <w:pgSz w:w="11900" w:h="16838" w:orient="portrait"/>
          <w:cols w:equalWidth="0" w:num="2">
            <w:col w:w="4320" w:space="340"/>
            <w:col w:w="4519"/>
          </w:cols>
          <w:pgMar w:left="1280" w:top="263" w:right="1440" w:bottom="1440" w:gutter="0" w:footer="0" w:header="0"/>
          <w:type w:val="continuous"/>
        </w:sectPr>
      </w:pPr>
    </w:p>
    <w:p>
      <w:pPr>
        <w:spacing w:after="0" w:line="35" w:lineRule="exact"/>
        <w:rPr>
          <w:sz w:val="20"/>
          <w:szCs w:val="20"/>
          <w:color w:val="auto"/>
        </w:rPr>
      </w:pPr>
    </w:p>
    <w:p>
      <w:pPr>
        <w:ind w:left="220"/>
        <w:spacing w:after="0"/>
        <w:tabs>
          <w:tab w:leader="none" w:pos="42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3" w:right="1440"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ectPr>
          <w:pgSz w:w="11900" w:h="16838" w:orient="portrait"/>
          <w:cols w:equalWidth="0" w:num="1">
            <w:col w:w="9280"/>
          </w:cols>
          <w:pgMar w:left="1280" w:top="263" w:right="1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Committee also has oversight on broader human capital activities such as succession planning, diversity, equity, and inclusion. The Governance and Nominating Committee also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 The full board has risk oversight responsibility for broader strategic activities such as growth initiatives, supplier and customer relationships, and new product development.</w:t>
      </w:r>
    </w:p>
    <w:p>
      <w:pPr>
        <w:spacing w:after="0" w:line="79"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from senior management of the Company with respect to the Company’s risk categories, risk assessment, and identification processes. Management regularly reviews with the Board or a Committee, the appropriate risk appetite, and risk mitigation strategies. The Board also is regularly updated on the Company’s strategy and strategic goals, which includes management’s analysis of the key risk categories that management analyzed in connection with the strategic planning and plan update processes. The Board and its Committees regularly communicate with or are provided with reports regarding risks from the Company’s independent accountants, compensation consultants, outside and internal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counsel and other professional advisers. The Board and its Committees are continually evaluating the significant risks faced by the Company and the appropriate Committee or Board to oversee the Company’s strategies for the identification, measurement and mitigation of such risks. In addition to the matters listed in the description of each Committee included above, the risks that are monitored by the Board or a Committee on a regular basis include but are not limited to:</w:t>
      </w:r>
    </w:p>
    <w:p>
      <w:pPr>
        <w:spacing w:after="0" w:line="10" w:lineRule="exact"/>
        <w:rPr>
          <w:sz w:val="20"/>
          <w:szCs w:val="20"/>
          <w:color w:val="auto"/>
        </w:rPr>
      </w:pPr>
    </w:p>
    <w:p>
      <w:pPr>
        <w:ind w:left="180" w:right="20" w:hanging="180"/>
        <w:spacing w:after="0" w:line="255"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Strategic risks, such as customer market concentration, acquisition growth, organic growth, new product development related matters, and technology development and obsolescence;</w:t>
      </w:r>
    </w:p>
    <w:p>
      <w:pPr>
        <w:spacing w:after="0" w:line="1" w:lineRule="exact"/>
        <w:rPr>
          <w:rFonts w:ascii="Arial" w:cs="Arial" w:eastAsia="Arial" w:hAnsi="Arial"/>
          <w:sz w:val="16"/>
          <w:szCs w:val="16"/>
          <w:color w:val="auto"/>
        </w:rPr>
      </w:pPr>
    </w:p>
    <w:p>
      <w:pPr>
        <w:ind w:left="180" w:right="260" w:hanging="180"/>
        <w:spacing w:after="0" w:line="27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Technology risks such as cybersecurity and information technology systems;</w:t>
      </w:r>
    </w:p>
    <w:p>
      <w:pPr>
        <w:spacing w:after="0" w:line="1" w:lineRule="exact"/>
        <w:rPr>
          <w:rFonts w:ascii="Arial" w:cs="Arial" w:eastAsia="Arial" w:hAnsi="Arial"/>
          <w:sz w:val="16"/>
          <w:szCs w:val="16"/>
          <w:color w:val="auto"/>
        </w:rPr>
      </w:pPr>
    </w:p>
    <w:p>
      <w:pPr>
        <w:ind w:left="180" w:right="600" w:hanging="180"/>
        <w:spacing w:after="0" w:line="27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risks such as accounting, finance, capital markets, foreign exchange and related risks;</w:t>
      </w:r>
    </w:p>
    <w:p>
      <w:pPr>
        <w:spacing w:after="0" w:line="1" w:lineRule="exact"/>
        <w:rPr>
          <w:rFonts w:ascii="Arial" w:cs="Arial" w:eastAsia="Arial" w:hAnsi="Arial"/>
          <w:sz w:val="16"/>
          <w:szCs w:val="16"/>
          <w:color w:val="auto"/>
        </w:rPr>
      </w:pPr>
    </w:p>
    <w:p>
      <w:pPr>
        <w:ind w:left="180" w:hanging="180"/>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and legal risks; and</w:t>
      </w:r>
    </w:p>
    <w:p>
      <w:pPr>
        <w:spacing w:after="0" w:line="32" w:lineRule="exact"/>
        <w:rPr>
          <w:rFonts w:ascii="Arial" w:cs="Arial" w:eastAsia="Arial" w:hAnsi="Arial"/>
          <w:sz w:val="16"/>
          <w:szCs w:val="16"/>
          <w:color w:val="auto"/>
        </w:rPr>
      </w:pPr>
    </w:p>
    <w:p>
      <w:pPr>
        <w:ind w:left="180" w:right="120" w:hanging="180"/>
        <w:spacing w:after="0" w:line="266"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Human capital risks such as strategic and emergency succession planning, talent development, diversity, equity and inclusion.</w:t>
      </w:r>
    </w:p>
    <w:p>
      <w:pPr>
        <w:spacing w:after="0" w:line="809" w:lineRule="exact"/>
        <w:rPr>
          <w:sz w:val="20"/>
          <w:szCs w:val="20"/>
          <w:color w:val="auto"/>
        </w:rPr>
      </w:pPr>
    </w:p>
    <w:p>
      <w:pPr>
        <w:sectPr>
          <w:pgSz w:w="11900" w:h="16838" w:orient="portrait"/>
          <w:cols w:equalWidth="0" w:num="2">
            <w:col w:w="4640" w:space="240"/>
            <w:col w:w="4400"/>
          </w:cols>
          <w:pgMar w:left="1280" w:top="263" w:right="133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F5DA8"/>
        </w:rPr>
        <w:t>Environmental, Social and Governance (“ESG”) Matters.</w:t>
      </w:r>
    </w:p>
    <w:p>
      <w:pPr>
        <w:sectPr>
          <w:pgSz w:w="11900" w:h="16838" w:orient="portrait"/>
          <w:cols w:equalWidth="0" w:num="1">
            <w:col w:w="9280"/>
          </w:cols>
          <w:pgMar w:left="1280" w:top="263" w:right="1339" w:bottom="1440" w:gutter="0" w:footer="0" w:header="0"/>
          <w:type w:val="continuous"/>
        </w:sectPr>
      </w:pPr>
    </w:p>
    <w:p>
      <w:pPr>
        <w:spacing w:after="0" w:line="128"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The Company is committed to responsible and sustainable business practices that consider the best interests of our customers, employees, suppliers, communities, and other stakeholders. As a global company, our stakeholders and business locations are diverse. The Company fully understands the expectations associated with this diversity and policies are in place to provide the fundamental practices for our daily operation and other responsibilities of all the Company’s employees.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a Corporate Environmental, Health &amp;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Social Responsibility Policy that is predicated upon creating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value for our customers through the development and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application of “Motion Solutions That Change the Game”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within a framework that recognizes and encourages us to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create value and address the impact of all we do on a much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broader group of stakeholders. This policy, along with other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information regarding the Company’s Environmental, Health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Social responsibility disclosures is located on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Company’s website at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2F5DA8"/>
        </w:rPr>
        <w:t>www.alliedmotion.com/environmental-health-and-social-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2F5DA8"/>
        </w:rPr>
        <w:t>responsibility/</w:t>
      </w:r>
      <w:r>
        <w:rPr>
          <w:rFonts w:ascii="Arial" w:cs="Arial" w:eastAsia="Arial" w:hAnsi="Arial"/>
          <w:sz w:val="16"/>
          <w:szCs w:val="16"/>
          <w:color w:val="000000"/>
        </w:rPr>
        <w:t>. The Company creates value for its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constituencies as follows:</w:t>
      </w:r>
    </w:p>
    <w:p>
      <w:pPr>
        <w:spacing w:after="0" w:line="16" w:lineRule="exact"/>
        <w:rPr>
          <w:sz w:val="20"/>
          <w:szCs w:val="20"/>
          <w:color w:val="auto"/>
        </w:rPr>
      </w:pPr>
    </w:p>
    <w:p>
      <w:pPr>
        <w:ind w:left="400" w:right="60" w:hanging="182"/>
        <w:spacing w:after="0" w:line="254"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To Shareholders</w:t>
      </w:r>
      <w:r>
        <w:rPr>
          <w:rFonts w:ascii="Arial" w:cs="Arial" w:eastAsia="Arial" w:hAnsi="Arial"/>
          <w:sz w:val="16"/>
          <w:szCs w:val="16"/>
          <w:color w:val="auto"/>
        </w:rPr>
        <w:t>, by increasing our core value in a lawful</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and our commitment to compliance that is socially and environmentally responsible and sustainable. The Company’s published Code of Ethics and Business Conduct reflects our commitment to honest, ethical, and fair conduct.</w:t>
      </w:r>
    </w:p>
    <w:p>
      <w:pPr>
        <w:spacing w:after="0" w:line="6" w:lineRule="exact"/>
        <w:rPr>
          <w:rFonts w:ascii="Arial" w:cs="Arial" w:eastAsia="Arial" w:hAnsi="Arial"/>
          <w:sz w:val="16"/>
          <w:szCs w:val="16"/>
          <w:color w:val="auto"/>
        </w:rPr>
      </w:pPr>
    </w:p>
    <w:p>
      <w:pPr>
        <w:ind w:left="400" w:right="380" w:hanging="182"/>
        <w:spacing w:after="0" w:line="256"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To Customers</w:t>
      </w:r>
      <w:r>
        <w:rPr>
          <w:rFonts w:ascii="Arial" w:cs="Arial" w:eastAsia="Arial" w:hAnsi="Arial"/>
          <w:sz w:val="16"/>
          <w:szCs w:val="16"/>
          <w:color w:val="auto"/>
        </w:rPr>
        <w:t>, by our focus on winning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adhere to business principles that are consistent with our own, by developing and providing products and services that offer value while insuring consideration of safety and environmental impacts.</w:t>
      </w:r>
    </w:p>
    <w:p>
      <w:pPr>
        <w:spacing w:after="0" w:line="4" w:lineRule="exact"/>
        <w:rPr>
          <w:rFonts w:ascii="Arial" w:cs="Arial" w:eastAsia="Arial" w:hAnsi="Arial"/>
          <w:sz w:val="16"/>
          <w:szCs w:val="16"/>
          <w:color w:val="auto"/>
        </w:rPr>
      </w:pPr>
    </w:p>
    <w:p>
      <w:pPr>
        <w:ind w:left="400" w:right="240" w:hanging="182"/>
        <w:spacing w:after="0" w:line="266"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To Employees</w:t>
      </w:r>
      <w:r>
        <w:rPr>
          <w:rFonts w:ascii="Arial" w:cs="Arial" w:eastAsia="Arial" w:hAnsi="Arial"/>
          <w:sz w:val="16"/>
          <w:szCs w:val="16"/>
          <w:color w:val="auto"/>
        </w:rPr>
        <w:t>, by promoting their involvement,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participation at all levels, stimulating creativity, innovation, and teamwork, and demonstrating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180"/>
        <w:spacing w:after="0" w:line="248" w:lineRule="auto"/>
        <w:rPr>
          <w:sz w:val="20"/>
          <w:szCs w:val="20"/>
          <w:color w:val="auto"/>
        </w:rPr>
      </w:pPr>
      <w:r>
        <w:rPr>
          <w:rFonts w:ascii="Arial" w:cs="Arial" w:eastAsia="Arial" w:hAnsi="Arial"/>
          <w:sz w:val="16"/>
          <w:szCs w:val="16"/>
          <w:color w:val="auto"/>
        </w:rPr>
        <w:t>continual improvement for a safe and environmentally friendly workplace. As reflected in our Code of Ethics and Business Conduct, we are committed to respecting the human rights of all employees, whether directly employed or subcontracted. We provide and maintain safe conditions of work, with competitive terms and conditions of employment. We comply with applicable discrimination laws by selecting, developing, and retaining employees on the basis of ability and qualifications for the work to be performed, without any form of discrimination or prejudice under any circumstances. We insist that sexual harassment, rage, violence, or any other inappropriate conduct that creates an intimidating, threatening or otherwise offensive environment does not take place under any circumstances in our workplaces. We encourage the involvement of employees in the planning and direction of their work and provide the appropriate training for success in fulfilling their job responsibilities.</w:t>
      </w:r>
    </w:p>
    <w:p>
      <w:pPr>
        <w:spacing w:after="0" w:line="7" w:lineRule="exact"/>
        <w:rPr>
          <w:sz w:val="20"/>
          <w:szCs w:val="20"/>
          <w:color w:val="auto"/>
        </w:rPr>
      </w:pPr>
    </w:p>
    <w:p>
      <w:pPr>
        <w:ind w:left="180" w:right="100" w:hanging="180"/>
        <w:spacing w:after="0" w:line="25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To Suppliers and Business Partners</w:t>
      </w:r>
      <w:r>
        <w:rPr>
          <w:rFonts w:ascii="Arial" w:cs="Arial" w:eastAsia="Arial" w:hAnsi="Arial"/>
          <w:sz w:val="16"/>
          <w:szCs w:val="16"/>
          <w:color w:val="auto"/>
        </w:rPr>
        <w:t>, by working pro-actively for the development of long-term partnerships based upon integrity and co-operation, striving for improved and environmentally responsible equipment, materials, and services. We have a published Supplier Quality Manual that requires that suppliers and business partners follow the same environmental, health and social responsibility policies that the Company adheres to.</w:t>
      </w:r>
    </w:p>
    <w:p>
      <w:pPr>
        <w:spacing w:after="0" w:line="7" w:lineRule="exact"/>
        <w:rPr>
          <w:rFonts w:ascii="Arial" w:cs="Arial" w:eastAsia="Arial" w:hAnsi="Arial"/>
          <w:sz w:val="16"/>
          <w:szCs w:val="16"/>
          <w:color w:val="auto"/>
        </w:rPr>
      </w:pPr>
    </w:p>
    <w:p>
      <w:pPr>
        <w:ind w:left="180" w:right="40" w:hanging="180"/>
        <w:spacing w:after="0" w:line="259"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To the Community</w:t>
      </w:r>
      <w:r>
        <w:rPr>
          <w:rFonts w:ascii="Arial" w:cs="Arial" w:eastAsia="Arial" w:hAnsi="Arial"/>
          <w:sz w:val="16"/>
          <w:szCs w:val="16"/>
          <w:color w:val="auto"/>
        </w:rPr>
        <w:t>, by reducing the environmental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activities, products, and services through prevention of pollution, promotion of the safety and health of our employees and the public. We give proper regard to the</w:t>
      </w:r>
    </w:p>
    <w:p>
      <w:pPr>
        <w:spacing w:after="0" w:line="1489" w:lineRule="exact"/>
        <w:rPr>
          <w:sz w:val="20"/>
          <w:szCs w:val="20"/>
          <w:color w:val="auto"/>
        </w:rPr>
      </w:pPr>
    </w:p>
    <w:p>
      <w:pPr>
        <w:sectPr>
          <w:pgSz w:w="11900" w:h="16838" w:orient="portrait"/>
          <w:cols w:equalWidth="0" w:num="2">
            <w:col w:w="4620" w:space="260"/>
            <w:col w:w="4400"/>
          </w:cols>
          <w:pgMar w:left="1280" w:top="263" w:right="1339" w:bottom="1440" w:gutter="0" w:footer="0" w:header="0"/>
          <w:type w:val="continuous"/>
        </w:sectPr>
      </w:pPr>
    </w:p>
    <w:p>
      <w:pPr>
        <w:spacing w:after="0" w:line="21" w:lineRule="exact"/>
        <w:rPr>
          <w:sz w:val="20"/>
          <w:szCs w:val="20"/>
          <w:color w:val="auto"/>
        </w:rPr>
      </w:pPr>
    </w:p>
    <w:p>
      <w:pPr>
        <w:ind w:left="5760"/>
        <w:spacing w:after="0"/>
        <w:tabs>
          <w:tab w:leader="none" w:pos="9020" w:val="left"/>
        </w:tabs>
        <w:rPr>
          <w:sz w:val="20"/>
          <w:szCs w:val="20"/>
          <w:color w:val="auto"/>
        </w:rPr>
      </w:pPr>
      <w:r>
        <w:rPr>
          <w:rFonts w:ascii="Arial" w:cs="Arial" w:eastAsia="Arial" w:hAnsi="Arial"/>
          <w:sz w:val="13"/>
          <w:szCs w:val="13"/>
          <w:color w:val="auto"/>
        </w:rPr>
        <w:t>Allied Motion Technologies Inc. | 2022 Proxy Statement |</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80" w:top="263" w:right="13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ectPr>
          <w:pgSz w:w="11900" w:h="16838" w:orient="portrait"/>
          <w:cols w:equalWidth="0" w:num="1">
            <w:col w:w="9179"/>
          </w:cols>
          <w:pgMar w:left="1280" w:top="26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80" w:right="60"/>
        <w:spacing w:after="0" w:line="259" w:lineRule="auto"/>
        <w:rPr>
          <w:sz w:val="20"/>
          <w:szCs w:val="20"/>
          <w:color w:val="auto"/>
        </w:rPr>
      </w:pPr>
      <w:r>
        <w:rPr>
          <w:rFonts w:ascii="Arial" w:cs="Arial" w:eastAsia="Arial" w:hAnsi="Arial"/>
          <w:sz w:val="16"/>
          <w:szCs w:val="16"/>
          <w:color w:val="auto"/>
        </w:rPr>
        <w:t>health, safety, and the environment of the local communities in which we operate, and are sensitive to and supportive of local cultural, social, educational and economic needs.</w:t>
      </w:r>
    </w:p>
    <w:p>
      <w:pPr>
        <w:spacing w:after="0" w:line="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are examples of things that the Company does in the conduct of its business that further its Social Responsibility Policy:</w:t>
      </w:r>
    </w:p>
    <w:p>
      <w:pPr>
        <w:spacing w:after="0" w:line="6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 The Company is committed to minimizing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its activities on the environment. The Company believes it meets or exceeds all governmental environmental regulations in all jurisdictions in which it operates. All the Company’s significant manufacturing facilities have ISO 14001 certifications. The Company continues to assess its Environmental Management System to evaluate its risks and impact on various climate related areas such as carbon emissions, energy consumption, water usage, and biodiversity. This assessment includes the policies and practices of our value chain including suppliers and vendors. We continue to monitor relevant guidance on the measurement and disclosure of environmental impacts, including those from the Securities and Exchange Commission.</w:t>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 The Company complies in all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the national and local laws of the jurisdictions in which we operate regarding workers safety and health. The Company strives to 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 opportunities and review of safety activities and initiatives. This clearly visible effort encourages employee engagement and active management and leadership involvement. We are committed to meeting the highest standards associated with providing a safe and healthy environment for our workforce and have adopted an Occupational Safety and Health Management system to improve our ability to continuously identify hazards and control risks in our workplace and have adopted certifications to OHSAS 18001 and ISO 45001 in many of our facilities around the globe.</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The Company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is one of our greatest assets, and it has a proactive human capital management and talent development program. The Human Capital and Compensation Committee is responsible for oversight of the Company’s human capital management and talent development programs.</w:t>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10 </w:t>
      </w:r>
      <w:r>
        <w:rPr>
          <w:rFonts w:ascii="Arial" w:cs="Arial" w:eastAsia="Arial" w:hAnsi="Arial"/>
          <w:sz w:val="13"/>
          <w:szCs w:val="13"/>
          <w:color w:val="auto"/>
        </w:rPr>
        <w:t>| Allied Motion Technologies Inc. | 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180" w:right="299" w:hanging="176"/>
        <w:spacing w:after="0" w:line="256"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Attraction</w:t>
      </w:r>
      <w:r>
        <w:rPr>
          <w:rFonts w:ascii="Arial" w:cs="Arial" w:eastAsia="Arial" w:hAnsi="Arial"/>
          <w:sz w:val="16"/>
          <w:szCs w:val="16"/>
          <w:color w:val="auto"/>
        </w:rPr>
        <w:t>: The Company competes within each world-wide market for a finite number of skilled and talented workers. The Company strives to leverage our broad resources to deliver an outstanding career experience to our employees.</w:t>
      </w:r>
    </w:p>
    <w:p>
      <w:pPr>
        <w:spacing w:after="0" w:line="4" w:lineRule="exact"/>
        <w:rPr>
          <w:rFonts w:ascii="Arial" w:cs="Arial" w:eastAsia="Arial" w:hAnsi="Arial"/>
          <w:sz w:val="16"/>
          <w:szCs w:val="16"/>
          <w:color w:val="auto"/>
        </w:rPr>
      </w:pPr>
    </w:p>
    <w:p>
      <w:pPr>
        <w:ind w:left="180" w:right="219" w:hanging="176"/>
        <w:spacing w:after="0" w:line="255"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Engagement</w:t>
      </w:r>
      <w:r>
        <w:rPr>
          <w:rFonts w:ascii="Arial" w:cs="Arial" w:eastAsia="Arial" w:hAnsi="Arial"/>
          <w:sz w:val="16"/>
          <w:szCs w:val="16"/>
          <w:color w:val="auto"/>
        </w:rPr>
        <w:t>: The Company strives to provide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meaningful career opportunities for its employees, so they can thrive and be satisfied in our technology and innovation-based culture.</w:t>
      </w:r>
    </w:p>
    <w:p>
      <w:pPr>
        <w:spacing w:after="0" w:line="1" w:lineRule="exact"/>
        <w:rPr>
          <w:rFonts w:ascii="Arial" w:cs="Arial" w:eastAsia="Arial" w:hAnsi="Arial"/>
          <w:sz w:val="16"/>
          <w:szCs w:val="16"/>
          <w:color w:val="auto"/>
        </w:rPr>
      </w:pPr>
    </w:p>
    <w:p>
      <w:pPr>
        <w:ind w:left="180" w:right="119" w:hanging="176"/>
        <w:spacing w:after="0" w:line="264"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Development</w:t>
      </w:r>
      <w:r>
        <w:rPr>
          <w:rFonts w:ascii="Arial" w:cs="Arial" w:eastAsia="Arial" w:hAnsi="Arial"/>
          <w:sz w:val="16"/>
          <w:szCs w:val="16"/>
          <w:color w:val="auto"/>
        </w:rPr>
        <w:t>: The Company strengthens its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skills and experiences through diverse career development and learning opportunities, both internal and external.</w:t>
      </w:r>
    </w:p>
    <w:p>
      <w:pPr>
        <w:ind w:left="180" w:right="79" w:hanging="176"/>
        <w:spacing w:after="0" w:line="259"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Retention</w:t>
      </w:r>
      <w:r>
        <w:rPr>
          <w:rFonts w:ascii="Arial" w:cs="Arial" w:eastAsia="Arial" w:hAnsi="Arial"/>
          <w:sz w:val="16"/>
          <w:szCs w:val="16"/>
          <w:color w:val="auto"/>
        </w:rPr>
        <w:t>: The Company supports a workplace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an environment of trust, personal and professional development and work-life balance is vital to its successful retention of engaged, top-notch talent.</w:t>
      </w:r>
    </w:p>
    <w:p>
      <w:pPr>
        <w:spacing w:after="0" w:line="70"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i w:val="1"/>
          <w:iCs w:val="1"/>
          <w:color w:val="auto"/>
        </w:rPr>
        <w:t xml:space="preserve">Diversity, Equity and Inclusion </w:t>
      </w:r>
      <w:r>
        <w:rPr>
          <w:rFonts w:ascii="Arial" w:cs="Arial" w:eastAsia="Arial" w:hAnsi="Arial"/>
          <w:sz w:val="16"/>
          <w:szCs w:val="16"/>
          <w:color w:val="auto"/>
        </w:rPr>
        <w:t>– The Company is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fair labor practices while respecting the national and local laws of the countries and communities where we have operations. The Company is committed to providing equal opportunity in all aspects of employment. The Company does not engage in or tolerate unlawful conduct, including discrimination, intimidation, or harassment. In addition, the Company continues to develop strategies to increase diversity and inclusion, including the formation of internal affinity groups, establishing a diversity, equity and inclusion task force, and establishing relationships with key organizations and associations that foster diversity and inclusion initiatives in the communities where we operate. The Company is committed to identify a talented and innovative workforce by building a diverse and inclusive pipeline of talent. As noted above, the Human Capital and Compensation Committee is responsible for the oversight of the Company’s diversity and inclusion initiatives.</w:t>
      </w:r>
    </w:p>
    <w:p>
      <w:pPr>
        <w:spacing w:after="0" w:line="88" w:lineRule="exact"/>
        <w:rPr>
          <w:sz w:val="20"/>
          <w:szCs w:val="20"/>
          <w:color w:val="auto"/>
        </w:rPr>
      </w:pPr>
    </w:p>
    <w:p>
      <w:pPr>
        <w:ind w:right="239"/>
        <w:spacing w:after="0" w:line="251" w:lineRule="auto"/>
        <w:rPr>
          <w:sz w:val="20"/>
          <w:szCs w:val="20"/>
          <w:color w:val="auto"/>
        </w:rPr>
      </w:pPr>
      <w:r>
        <w:rPr>
          <w:rFonts w:ascii="Arial" w:cs="Arial" w:eastAsia="Arial" w:hAnsi="Arial"/>
          <w:sz w:val="16"/>
          <w:szCs w:val="16"/>
          <w:i w:val="1"/>
          <w:iCs w:val="1"/>
          <w:color w:val="auto"/>
        </w:rPr>
        <w:t xml:space="preserve">Ethical Business Practices </w:t>
      </w:r>
      <w:r>
        <w:rPr>
          <w:rFonts w:ascii="Arial" w:cs="Arial" w:eastAsia="Arial" w:hAnsi="Arial"/>
          <w:sz w:val="16"/>
          <w:szCs w:val="16"/>
          <w:color w:val="auto"/>
        </w:rPr>
        <w:t>– The Company is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its business with integrity and responsibility. The Company promotes honest and ethical conduct, and the Code of Ethics and Business Conduct applies to all employees, directors, and officers as well as our business partners and supply chain. The Company does not tolerate human rights abuses, human trafficking and or slavery, the use of child labor and will not engage or be complicit in any activity that solicits or encourages human rights abuse.</w:t>
      </w:r>
    </w:p>
    <w:p>
      <w:pPr>
        <w:spacing w:after="0" w:line="77" w:lineRule="exact"/>
        <w:rPr>
          <w:sz w:val="20"/>
          <w:szCs w:val="20"/>
          <w:color w:val="auto"/>
        </w:rPr>
      </w:pPr>
    </w:p>
    <w:p>
      <w:pPr>
        <w:ind w:right="139"/>
        <w:spacing w:after="0" w:line="254" w:lineRule="auto"/>
        <w:rPr>
          <w:sz w:val="20"/>
          <w:szCs w:val="20"/>
          <w:color w:val="auto"/>
        </w:rPr>
      </w:pPr>
      <w:r>
        <w:rPr>
          <w:rFonts w:ascii="Arial" w:cs="Arial" w:eastAsia="Arial" w:hAnsi="Arial"/>
          <w:sz w:val="16"/>
          <w:szCs w:val="16"/>
          <w:color w:val="auto"/>
        </w:rPr>
        <w:t>The Company and the Board of Directors take seriously the Company’s commitment to ESG matters. In addition to the commitment of the senior leadership of the Company to such matters, the Company’s Human Capital and Compensation Committee and Governance and Nominating Committee provide oversight of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372745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40" w:space="220"/>
            <w:col w:w="4519"/>
          </w:cols>
          <w:pgMar w:left="1280" w:top="263" w:right="1440"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Corporate Governance and Board Matters</w:t>
      </w:r>
    </w:p>
    <w:p>
      <w:pPr>
        <w:spacing w:after="0" w:line="38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Nominating Procedures</w:t>
      </w:r>
    </w:p>
    <w:p>
      <w:pPr>
        <w:spacing w:after="0" w:line="128"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270" w:lineRule="exact"/>
        <w:rPr>
          <w:sz w:val="20"/>
          <w:szCs w:val="20"/>
          <w:color w:val="auto"/>
        </w:rPr>
      </w:pPr>
    </w:p>
    <w:p>
      <w:pPr>
        <w:ind w:left="220" w:right="120"/>
        <w:spacing w:after="0" w:line="256"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backgrounds and diversity of opinion. As required by Nasdaq, the Company has collected statistical information regarding certain Nasdaq defined diversity categories with regard to our board of directors (See Board Diversity Matrix – as of December 31, 2021), however, our Board has not attempted to define “diversity,” or otherwise specifically require that the composition of our Board include individuals from any particular background or who possess specific attributes. Notwithstanding, the Board continues to be proactive in furthering the diversity of the Board.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2023 Annual Meeting.”</w:t>
      </w:r>
    </w:p>
    <w:p>
      <w:pPr>
        <w:spacing w:after="0" w:line="886" w:lineRule="exact"/>
        <w:rPr>
          <w:sz w:val="20"/>
          <w:szCs w:val="20"/>
          <w:color w:val="auto"/>
        </w:rPr>
      </w:pPr>
    </w:p>
    <w:p>
      <w:pPr>
        <w:sectPr>
          <w:pgSz w:w="11900" w:h="16838" w:orient="portrait"/>
          <w:cols w:equalWidth="0" w:num="2">
            <w:col w:w="4660" w:space="220"/>
            <w:col w:w="4440"/>
          </w:cols>
          <w:pgMar w:left="1280" w:top="263" w:right="1299" w:bottom="1440" w:gutter="0" w:footer="0" w:header="0"/>
        </w:sectPr>
      </w:pPr>
    </w:p>
    <w:p>
      <w:pPr>
        <w:ind w:left="220"/>
        <w:spacing w:after="0"/>
        <w:rPr>
          <w:sz w:val="20"/>
          <w:szCs w:val="20"/>
          <w:color w:val="auto"/>
        </w:rPr>
      </w:pPr>
      <w:r>
        <w:rPr>
          <w:rFonts w:ascii="Arial" w:cs="Arial" w:eastAsia="Arial" w:hAnsi="Arial"/>
          <w:sz w:val="25"/>
          <w:szCs w:val="25"/>
          <w:b w:val="1"/>
          <w:bCs w:val="1"/>
          <w:color w:val="2F5DA8"/>
        </w:rPr>
        <w:t>Board Attendance at Meetings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The Board of Directors held five meetings in 2021. Our Independent Directors meet in executive session without management directors or management present. These sessions generally take place prior to and/or following regularly scheduled board meetings. The directors met in such sessions four times during 2021. Our Corporate Governance Principles provide that all directors are expected to regularly attend all meetings of the Board and the Board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committees on which he serves. In 2021, each director attended 100% of the total number of meetings of the Board of Directors while in office, and substantially all (88%) of the total number of meetings held by committees of the Board of Directors on which he or she served. In addition, each director is expected to attend the Annual Meeting of Shareholders. In 2021, the Annual Meeting of Shareholders was attended by all of the directors then in office.</w:t>
      </w:r>
    </w:p>
    <w:p>
      <w:pPr>
        <w:spacing w:after="0" w:line="118" w:lineRule="exact"/>
        <w:rPr>
          <w:sz w:val="20"/>
          <w:szCs w:val="20"/>
          <w:color w:val="auto"/>
        </w:rPr>
      </w:pPr>
    </w:p>
    <w:p>
      <w:pPr>
        <w:sectPr>
          <w:pgSz w:w="11900" w:h="16838" w:orient="portrait"/>
          <w:cols w:equalWidth="0" w:num="2">
            <w:col w:w="4600" w:space="28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F5DA8"/>
        </w:rPr>
        <w:t>Compensation Committee Interlocks and Insider Participation</w:t>
      </w:r>
    </w:p>
    <w:p>
      <w:pPr>
        <w:sectPr>
          <w:pgSz w:w="11900" w:h="16838" w:orient="portrait"/>
          <w:cols w:equalWidth="0" w:num="1">
            <w:col w:w="9320"/>
          </w:cols>
          <w:pgMar w:left="1280" w:top="263" w:right="1299" w:bottom="1440" w:gutter="0" w:footer="0" w:header="0"/>
          <w:type w:val="continuous"/>
        </w:sectPr>
      </w:pPr>
    </w:p>
    <w:p>
      <w:pPr>
        <w:spacing w:after="0" w:line="128"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As noted above, the Human Capital and Compensation Committee is comprised of four independent Directors: Messrs. Engel, Federico and Finch and Ms. Tzetzo. No member of the Human Capital and Compensation Committee is or was formerly an officer or an employee of the Company or had any other relationships with us requiring disclosure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herein.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318" w:lineRule="exact"/>
        <w:rPr>
          <w:sz w:val="20"/>
          <w:szCs w:val="20"/>
          <w:color w:val="auto"/>
        </w:rPr>
      </w:pPr>
    </w:p>
    <w:p>
      <w:pPr>
        <w:sectPr>
          <w:pgSz w:w="11900" w:h="16838" w:orient="portrait"/>
          <w:cols w:equalWidth="0" w:num="2">
            <w:col w:w="4620" w:space="26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F5DA8"/>
        </w:rPr>
        <w:t>Ownership Guidelines for Directors and Officers</w:t>
      </w:r>
    </w:p>
    <w:p>
      <w:pPr>
        <w:sectPr>
          <w:pgSz w:w="11900" w:h="16838" w:orient="portrait"/>
          <w:cols w:equalWidth="0" w:num="1">
            <w:col w:w="9320"/>
          </w:cols>
          <w:pgMar w:left="1280" w:top="263" w:right="1299" w:bottom="1440" w:gutter="0" w:footer="0" w:header="0"/>
          <w:type w:val="continuous"/>
        </w:sectPr>
      </w:pPr>
    </w:p>
    <w:p>
      <w:pPr>
        <w:spacing w:after="0" w:line="12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officers of the Company are required to own shares of Common Stock having a market value equal to or greater than the following multiples of their base salary: (1) President and Chief Executive Officer: five times annual base salary;</w:t>
      </w:r>
    </w:p>
    <w:p>
      <w:pPr>
        <w:spacing w:after="0" w:line="2" w:lineRule="exact"/>
        <w:rPr>
          <w:sz w:val="20"/>
          <w:szCs w:val="20"/>
          <w:color w:val="auto"/>
        </w:rPr>
      </w:pPr>
    </w:p>
    <w:p>
      <w:pPr>
        <w:jc w:val="both"/>
        <w:ind w:right="100"/>
        <w:spacing w:after="0" w:line="256"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Chief Financial Officer and Group Presidents: three times annual base salary; and (3) all other Section 16 officers: one times annual base salary.</w:t>
      </w:r>
    </w:p>
    <w:p>
      <w:pPr>
        <w:spacing w:after="0" w:line="200" w:lineRule="exact"/>
        <w:rPr>
          <w:sz w:val="20"/>
          <w:szCs w:val="20"/>
          <w:color w:val="auto"/>
        </w:rPr>
      </w:pPr>
    </w:p>
    <w:p>
      <w:pPr>
        <w:sectPr>
          <w:pgSz w:w="11900" w:h="16838" w:orient="portrait"/>
          <w:cols w:equalWidth="0" w:num="2">
            <w:col w:w="4560" w:space="320"/>
            <w:col w:w="4440"/>
          </w:cols>
          <w:pgMar w:left="1280" w:top="263" w:right="1299" w:bottom="1440" w:gutter="0" w:footer="0" w:header="0"/>
          <w:type w:val="continuous"/>
        </w:sectPr>
      </w:pPr>
    </w:p>
    <w:p>
      <w:pPr>
        <w:spacing w:after="0" w:line="28"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PROPOSALS TO BE VOTED ON</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Proposal 1 – Election of Directors</w:t>
      </w:r>
    </w:p>
    <w:p>
      <w:pPr>
        <w:sectPr>
          <w:pgSz w:w="11900" w:h="16838" w:orient="portrait"/>
          <w:cols w:equalWidth="0" w:num="1">
            <w:col w:w="9179"/>
          </w:cols>
          <w:pgMar w:left="1280" w:top="263" w:right="1440" w:bottom="1440" w:gutter="0" w:footer="0" w:header="0"/>
        </w:sectPr>
      </w:pPr>
    </w:p>
    <w:p>
      <w:pPr>
        <w:spacing w:after="0" w:line="3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of Directors currently has seven members: Robert B. Engel, Richard D. Federico, Steven C. Finch, James J. Tanous, Nicole R. Tzetzo, Richard S. Warzala and Michael R. Winter. All seven positions on the Board are to be filled by vote of the shareholders at the Annual Meeting. The affirmative vote of a majority of the votes cast is required for the election of directors. Unless instructed otherwise, it is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59"/>
        <w:spacing w:after="0" w:line="256" w:lineRule="auto"/>
        <w:rPr>
          <w:sz w:val="20"/>
          <w:szCs w:val="20"/>
          <w:color w:val="auto"/>
        </w:rPr>
      </w:pPr>
      <w:r>
        <w:rPr>
          <w:rFonts w:ascii="Arial" w:cs="Arial" w:eastAsia="Arial" w:hAnsi="Arial"/>
          <w:sz w:val="16"/>
          <w:szCs w:val="16"/>
          <w:color w:val="auto"/>
        </w:rPr>
        <w:t>intended that the shares represented by proxy at the Annual Meeting will be voted in favor of the seven nominees named above, each of whom was nominated by the Board based on the recommendation of our Governance and Nominating Committee. All nominees have agreed to serve if elected.</w:t>
      </w:r>
    </w:p>
    <w:p>
      <w:pPr>
        <w:spacing w:after="0" w:line="72" w:lineRule="exact"/>
        <w:rPr>
          <w:sz w:val="20"/>
          <w:szCs w:val="20"/>
          <w:color w:val="auto"/>
        </w:rPr>
      </w:pPr>
    </w:p>
    <w:p>
      <w:pPr>
        <w:ind w:right="219"/>
        <w:spacing w:after="0" w:line="256"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72"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auto"/>
        </w:rPr>
        <w:t>Information regarding the director nominees can be found under “Corporate Governance and Board Matters – Director Qualifications and Biographical Information.”</w:t>
      </w:r>
    </w:p>
    <w:p>
      <w:pPr>
        <w:spacing w:after="0" w:line="143" w:lineRule="exact"/>
        <w:rPr>
          <w:sz w:val="20"/>
          <w:szCs w:val="20"/>
          <w:color w:val="auto"/>
        </w:rPr>
      </w:pPr>
    </w:p>
    <w:p>
      <w:pPr>
        <w:sectPr>
          <w:pgSz w:w="11900" w:h="16838" w:orient="portrait"/>
          <w:cols w:equalWidth="0" w:num="2">
            <w:col w:w="4360" w:space="300"/>
            <w:col w:w="4519"/>
          </w:cols>
          <w:pgMar w:left="1280" w:top="263" w:right="1440" w:bottom="1440" w:gutter="0" w:footer="0" w:header="0"/>
          <w:type w:val="continuous"/>
        </w:sectPr>
      </w:pPr>
    </w:p>
    <w:p>
      <w:pPr>
        <w:ind w:right="79"/>
        <w:spacing w:after="0" w:line="296" w:lineRule="auto"/>
        <w:rPr>
          <w:sz w:val="20"/>
          <w:szCs w:val="20"/>
          <w:color w:val="auto"/>
        </w:rPr>
      </w:pPr>
      <w:r>
        <w:rPr>
          <w:rFonts w:ascii="Arial" w:cs="Arial" w:eastAsia="Arial" w:hAnsi="Arial"/>
          <w:sz w:val="16"/>
          <w:szCs w:val="16"/>
          <w:b w:val="1"/>
          <w:bCs w:val="1"/>
          <w:color w:val="2F5DA8"/>
        </w:rPr>
        <w:t>THE BOARD OF DIRECTORS UNANIMOUSLY RECOMMENDS THAT SHAREHOLDERS VOTE “FOR” THE ELECTION OF EACH OF THE NOMINEES.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Proposal 2 – Advisory Vote on Executive Compensation</w:t>
      </w:r>
    </w:p>
    <w:p>
      <w:pPr>
        <w:sectPr>
          <w:pgSz w:w="11900" w:h="16838" w:orient="portrait"/>
          <w:cols w:equalWidth="0" w:num="1">
            <w:col w:w="9179"/>
          </w:cols>
          <w:pgMar w:left="1280" w:top="263" w:right="1440" w:bottom="1440" w:gutter="0" w:footer="0" w:header="0"/>
          <w:type w:val="continuous"/>
        </w:sectPr>
      </w:pPr>
    </w:p>
    <w:p>
      <w:pPr>
        <w:spacing w:after="0" w:line="33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59"/>
        <w:spacing w:after="0" w:line="266" w:lineRule="auto"/>
        <w:rPr>
          <w:sz w:val="20"/>
          <w:szCs w:val="20"/>
          <w:color w:val="auto"/>
        </w:rPr>
      </w:pPr>
      <w:r>
        <w:rPr>
          <w:rFonts w:ascii="Arial" w:cs="Arial" w:eastAsia="Arial" w:hAnsi="Arial"/>
          <w:sz w:val="16"/>
          <w:szCs w:val="16"/>
          <w:color w:val="auto"/>
        </w:rPr>
        <w:t>item of compensation, but rather the overall compensation of our Named Executive Officers and the philosophy, policies and procedures described in this Proxy Statement.</w:t>
      </w:r>
    </w:p>
    <w:p>
      <w:pPr>
        <w:spacing w:after="0" w:line="63"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Our Board of Directors is asking shareholders to vote on the following resolution at the Meeting:</w:t>
      </w:r>
    </w:p>
    <w:p>
      <w:pPr>
        <w:spacing w:after="0" w:line="48" w:lineRule="exact"/>
        <w:rPr>
          <w:sz w:val="20"/>
          <w:szCs w:val="20"/>
          <w:color w:val="auto"/>
        </w:rPr>
      </w:pPr>
    </w:p>
    <w:p>
      <w:pPr>
        <w:ind w:left="360" w:right="159"/>
        <w:spacing w:after="0" w:line="254" w:lineRule="auto"/>
        <w:rPr>
          <w:sz w:val="20"/>
          <w:szCs w:val="20"/>
          <w:color w:val="auto"/>
        </w:rPr>
      </w:pPr>
      <w:r>
        <w:rPr>
          <w:rFonts w:ascii="Arial" w:cs="Arial" w:eastAsia="Arial" w:hAnsi="Arial"/>
          <w:sz w:val="16"/>
          <w:szCs w:val="16"/>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74"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Human Capital and Compensation Committee expect to consider the outcome of the vote, along with other relevant factors, when considering future compensation programs.</w:t>
      </w:r>
    </w:p>
    <w:p>
      <w:pPr>
        <w:spacing w:after="0" w:line="534" w:lineRule="exact"/>
        <w:rPr>
          <w:sz w:val="20"/>
          <w:szCs w:val="20"/>
          <w:color w:val="auto"/>
        </w:rPr>
      </w:pPr>
    </w:p>
    <w:p>
      <w:pPr>
        <w:sectPr>
          <w:pgSz w:w="11900" w:h="16838" w:orient="portrait"/>
          <w:cols w:equalWidth="0" w:num="2">
            <w:col w:w="4420" w:space="240"/>
            <w:col w:w="4519"/>
          </w:cols>
          <w:pgMar w:left="1280" w:top="263" w:right="1440" w:bottom="1440" w:gutter="0" w:footer="0" w:header="0"/>
          <w:type w:val="continuous"/>
        </w:sectPr>
      </w:pPr>
    </w:p>
    <w:p>
      <w:pPr>
        <w:ind w:right="299"/>
        <w:spacing w:after="0" w:line="296" w:lineRule="auto"/>
        <w:rPr>
          <w:sz w:val="20"/>
          <w:szCs w:val="20"/>
          <w:color w:val="auto"/>
        </w:rPr>
      </w:pPr>
      <w:r>
        <w:rPr>
          <w:rFonts w:ascii="Arial" w:cs="Arial" w:eastAsia="Arial" w:hAnsi="Arial"/>
          <w:sz w:val="16"/>
          <w:szCs w:val="16"/>
          <w:b w:val="1"/>
          <w:bCs w:val="1"/>
          <w:color w:val="2F5DA8"/>
        </w:rPr>
        <w:t>THE BOARD OF DIRECTORS UNANIMOUSLY RECOMMENDS A VOTE “FOR” THE APPROVAL OF THE FOREGOING RESOLUTION. UNLESS OTHERWISE INSTRUCTED, PROXIES WILL BE VOTED “FOR” THE APPROVAL.</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263" w:right="1440"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Proposals to be Voted On</w:t>
      </w:r>
    </w:p>
    <w:p>
      <w:pPr>
        <w:spacing w:after="0" w:line="381" w:lineRule="exact"/>
        <w:rPr>
          <w:sz w:val="20"/>
          <w:szCs w:val="20"/>
          <w:color w:val="auto"/>
        </w:rPr>
      </w:pPr>
    </w:p>
    <w:p>
      <w:pPr>
        <w:ind w:left="220" w:right="320"/>
        <w:spacing w:after="0" w:line="298" w:lineRule="auto"/>
        <w:rPr>
          <w:sz w:val="20"/>
          <w:szCs w:val="20"/>
          <w:color w:val="auto"/>
        </w:rPr>
      </w:pPr>
      <w:r>
        <w:rPr>
          <w:rFonts w:ascii="Arial" w:cs="Arial" w:eastAsia="Arial" w:hAnsi="Arial"/>
          <w:sz w:val="25"/>
          <w:szCs w:val="25"/>
          <w:b w:val="1"/>
          <w:bCs w:val="1"/>
          <w:color w:val="2F5DA8"/>
        </w:rPr>
        <w:t>Proposal 3 – Advisory Vote on the Ratification of Independent Registered Public Accounting Firm</w:t>
      </w:r>
    </w:p>
    <w:p>
      <w:pPr>
        <w:sectPr>
          <w:pgSz w:w="11900" w:h="16838" w:orient="portrait"/>
          <w:cols w:equalWidth="0" w:num="1">
            <w:col w:w="9300"/>
          </w:cols>
          <w:pgMar w:left="1280" w:top="263" w:right="1319" w:bottom="1440" w:gutter="0" w:footer="0" w:header="0"/>
        </w:sectPr>
      </w:pPr>
    </w:p>
    <w:p>
      <w:pPr>
        <w:spacing w:after="0" w:line="201"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73" w:lineRule="exact"/>
        <w:rPr>
          <w:sz w:val="20"/>
          <w:szCs w:val="20"/>
          <w:color w:val="auto"/>
        </w:rPr>
      </w:pPr>
    </w:p>
    <w:p>
      <w:pPr>
        <w:ind w:left="220" w:right="200"/>
        <w:spacing w:after="0" w:line="254"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74"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At the Annual Meeting, the shareholders will be asked to ratify the selection of Deloitte &amp; Touche LLP as the Company’s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Deloitte &amp; Touche LLP as the Company’s independent public accounting firm for 2022.</w:t>
      </w:r>
    </w:p>
    <w:p>
      <w:pPr>
        <w:spacing w:after="0" w:line="367" w:lineRule="exact"/>
        <w:rPr>
          <w:sz w:val="20"/>
          <w:szCs w:val="20"/>
          <w:color w:val="auto"/>
        </w:rPr>
      </w:pPr>
    </w:p>
    <w:p>
      <w:pPr>
        <w:sectPr>
          <w:pgSz w:w="11900" w:h="16838" w:orient="portrait"/>
          <w:cols w:equalWidth="0" w:num="2">
            <w:col w:w="4660" w:space="220"/>
            <w:col w:w="4420"/>
          </w:cols>
          <w:pgMar w:left="1280" w:top="263" w:right="1319" w:bottom="1440" w:gutter="0" w:footer="0" w:header="0"/>
          <w:type w:val="continuous"/>
        </w:sectPr>
      </w:pPr>
    </w:p>
    <w:p>
      <w:pPr>
        <w:ind w:left="220" w:right="900"/>
        <w:spacing w:after="0" w:line="296" w:lineRule="auto"/>
        <w:rPr>
          <w:sz w:val="20"/>
          <w:szCs w:val="20"/>
          <w:color w:val="auto"/>
        </w:rPr>
      </w:pPr>
      <w:r>
        <w:rPr>
          <w:rFonts w:ascii="Arial" w:cs="Arial" w:eastAsia="Arial" w:hAnsi="Arial"/>
          <w:sz w:val="16"/>
          <w:szCs w:val="16"/>
          <w:b w:val="1"/>
          <w:bCs w:val="1"/>
          <w:color w:val="2F5DA8"/>
        </w:rPr>
        <w:t>THE BOARD OF DIRECTORS UNANIMOUSLY RECOMMENDS A VOTE “FOR” THE RATIFICATION. UNLESS OTHERWISE INSTRUCTED, PROXIES WILL BE VOTED “FOR” THE RATIFICATION.</w:t>
      </w:r>
    </w:p>
    <w:p>
      <w:pPr>
        <w:spacing w:after="0" w:line="190" w:lineRule="exact"/>
        <w:rPr>
          <w:sz w:val="20"/>
          <w:szCs w:val="20"/>
          <w:color w:val="auto"/>
        </w:rPr>
      </w:pPr>
    </w:p>
    <w:p>
      <w:pPr>
        <w:jc w:val="right"/>
        <w:ind w:right="200"/>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263" w:right="131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EXECUTIVE OFFICERS</w:t>
      </w:r>
    </w:p>
    <w:p>
      <w:pPr>
        <w:sectPr>
          <w:pgSz w:w="11900" w:h="16838" w:orient="portrait"/>
          <w:cols w:equalWidth="0" w:num="1">
            <w:col w:w="9179"/>
          </w:cols>
          <w:pgMar w:left="1280" w:top="263"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7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68—Mr. Warzala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Mr. Warzala currently serves as Lead Director and Chair of the Compensation Committee for AstroNova, Inc.</w:t>
      </w:r>
    </w:p>
    <w:p>
      <w:pPr>
        <w:spacing w:after="0" w:line="76"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Michael R. Leach</w:t>
      </w:r>
      <w:r>
        <w:rPr>
          <w:rFonts w:ascii="Arial" w:cs="Arial" w:eastAsia="Arial" w:hAnsi="Arial"/>
          <w:sz w:val="16"/>
          <w:szCs w:val="16"/>
          <w:color w:val="auto"/>
        </w:rPr>
        <w:t>, age 53—Mr. Leach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of the Company in August 2015 and was promoted to Senior Vice President in July 2020. Prior to joining Allied Motion, 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7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57—Mr. Maida was named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Innovum Group in July 2020. Prior to that he served as Vice President of Operational Excellence of the Company, a position he held since August 2015. Mr. Maida served as 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color w:val="auto"/>
        </w:rPr>
        <w:t>| Allied Motion Technologies Inc. | 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color w:val="auto"/>
        </w:rPr>
        <w:t>of Finance for Great Lakes Industries, Inc. and the Director of Finance of BRC, a division of Bryce Corporation.</w:t>
      </w:r>
    </w:p>
    <w:p>
      <w:pPr>
        <w:spacing w:after="0" w:line="48" w:lineRule="exact"/>
        <w:rPr>
          <w:sz w:val="20"/>
          <w:szCs w:val="20"/>
          <w:color w:val="auto"/>
        </w:rPr>
      </w:pPr>
    </w:p>
    <w:p>
      <w:pPr>
        <w:ind w:right="119"/>
        <w:spacing w:after="0" w:line="249" w:lineRule="auto"/>
        <w:rPr>
          <w:sz w:val="20"/>
          <w:szCs w:val="20"/>
          <w:color w:val="auto"/>
        </w:rPr>
      </w:pPr>
      <w:r>
        <w:rPr>
          <w:rFonts w:ascii="Arial" w:cs="Arial" w:eastAsia="Arial" w:hAnsi="Arial"/>
          <w:sz w:val="16"/>
          <w:szCs w:val="16"/>
          <w:b w:val="1"/>
          <w:bCs w:val="1"/>
          <w:i w:val="1"/>
          <w:iCs w:val="1"/>
          <w:color w:val="auto"/>
        </w:rPr>
        <w:t>Ashish R. Bendre</w:t>
      </w:r>
      <w:r>
        <w:rPr>
          <w:rFonts w:ascii="Arial" w:cs="Arial" w:eastAsia="Arial" w:hAnsi="Arial"/>
          <w:sz w:val="16"/>
          <w:szCs w:val="16"/>
          <w:color w:val="auto"/>
        </w:rPr>
        <w:t>, age 53—Mr. Bendre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Orion Group in July 2020. He has led the Allied Motion TCI technology unit since its 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Allied Motion/TCI, Mr. Bendre served as the Director of Technology for DRS Power &amp; Control Technologies, a division of Leonardo DRS focused on naval power conversion. He has a Ph.D. in Electrical Engineering from the University of Wisconsin, Madison and an MBA from the University of Chicago.</w:t>
      </w:r>
    </w:p>
    <w:p>
      <w:pPr>
        <w:spacing w:after="0" w:line="82"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b w:val="1"/>
          <w:bCs w:val="1"/>
          <w:i w:val="1"/>
          <w:iCs w:val="1"/>
          <w:color w:val="auto"/>
        </w:rPr>
        <w:t>Helmut D. Pirthauer</w:t>
      </w:r>
      <w:r>
        <w:rPr>
          <w:rFonts w:ascii="Arial" w:cs="Arial" w:eastAsia="Arial" w:hAnsi="Arial"/>
          <w:sz w:val="16"/>
          <w:szCs w:val="16"/>
          <w:color w:val="auto"/>
        </w:rPr>
        <w:t>, age 52—Mr. Pirthauer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Allied Dynamos Group in July 2020. He joined Allied Motion as Chief Executive Officer of the Heidrive Group after its acquisition by the Company in January 2016. 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80"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Geoffery C. Rondeau</w:t>
      </w:r>
      <w:r>
        <w:rPr>
          <w:rFonts w:ascii="Arial" w:cs="Arial" w:eastAsia="Arial" w:hAnsi="Arial"/>
          <w:sz w:val="16"/>
          <w:szCs w:val="16"/>
          <w:color w:val="auto"/>
        </w:rPr>
        <w:t>, age 50—Mr. Rondeau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Operational Excellence in July 2020. Prior to that he served as a General Manager of the Company’s North American Mechatronics Group, a position he held since September 2014. Prior to joining Allied Motion, he worked for over three years as the General Manager for Excelco Newbrook. For the fifteen years prior to that, Mr. Rondeau held several positions with API Motion/Danaher Motion where he progressed to the position of Director of Engineering for the Applied Products Group of Danaher Motion, a subsidiary of Danaher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495935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20" w:space="240"/>
            <w:col w:w="4519"/>
          </w:cols>
          <w:pgMar w:left="1280" w:top="263" w:right="1440"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COMPENSATION OF NAMED EXECUTIVE OFFICERS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Compensation Discussion and Analysis</w:t>
      </w:r>
    </w:p>
    <w:p>
      <w:pPr>
        <w:sectPr>
          <w:pgSz w:w="11900" w:h="16838" w:orient="portrait"/>
          <w:cols w:equalWidth="0" w:num="1">
            <w:col w:w="9320"/>
          </w:cols>
          <w:pgMar w:left="1280" w:top="263" w:right="1299" w:bottom="1440" w:gutter="0" w:footer="0" w:header="0"/>
        </w:sectPr>
      </w:pP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Compensation Discussion and Analysis (“CD&amp;A”) reports on the Company’s performance in 2021, the executive compensation earned in light of that performance, and the performance metrics and other relevant factors the Human Capital and Compensation Committee (in this CD&amp;A, the “Compensation Committee”) used in making its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compensation decisions with respect to our Chief Executive Officer and President, Chief Financial Officer, and the Presidents of Allied Innovum Group, Allied Dynamos Group and Allied Orion Group (collectively, the “Named Executive Officers”).</w:t>
      </w:r>
    </w:p>
    <w:p>
      <w:pPr>
        <w:spacing w:after="0" w:line="269" w:lineRule="exact"/>
        <w:rPr>
          <w:sz w:val="20"/>
          <w:szCs w:val="20"/>
          <w:color w:val="auto"/>
        </w:rPr>
      </w:pPr>
    </w:p>
    <w:p>
      <w:pPr>
        <w:sectPr>
          <w:pgSz w:w="11900" w:h="16838" w:orient="portrait"/>
          <w:cols w:equalWidth="0" w:num="2">
            <w:col w:w="4420" w:space="24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The primary goals of the Company’s compensation philosophy for Named Executive Officers is as follows:</w:t>
      </w:r>
    </w:p>
    <w:p>
      <w:pPr>
        <w:spacing w:after="0" w:line="1" w:lineRule="exact"/>
        <w:rPr>
          <w:sz w:val="20"/>
          <w:szCs w:val="20"/>
          <w:color w:val="auto"/>
        </w:rPr>
      </w:pPr>
    </w:p>
    <w:p>
      <w:pPr>
        <w:ind w:left="180" w:right="40" w:hanging="178"/>
        <w:spacing w:after="0" w:line="253"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2" w:lineRule="exact"/>
        <w:rPr>
          <w:rFonts w:ascii="Arial" w:cs="Arial" w:eastAsia="Arial" w:hAnsi="Arial"/>
          <w:sz w:val="16"/>
          <w:szCs w:val="16"/>
          <w:color w:val="auto"/>
        </w:rPr>
      </w:pPr>
    </w:p>
    <w:p>
      <w:pPr>
        <w:ind w:left="180" w:hanging="178"/>
        <w:spacing w:after="0" w:line="256"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through the use of stock-based incentives that result in increased Company stock ownership by management.</w:t>
      </w:r>
    </w:p>
    <w:p>
      <w:pPr>
        <w:spacing w:after="0" w:line="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Compensation Committee seeks to develop a well-balanced compensation program that not only contains 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competitive fixed pay element through annual base salary, but that is weighted more towards variable at-risk pay elements through the use of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75"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auto"/>
        </w:rPr>
        <w:t>The Board maintains governance practices and oversight of our executive compensation philosophy. The following governance practices were in place during 2021, and these practices, among other elements of our compensation program, aid in mitigating risk associated with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29845</wp:posOffset>
            </wp:positionV>
            <wp:extent cx="5777865" cy="306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7865" cy="306070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4380" w:space="280"/>
            <w:col w:w="4660"/>
          </w:cols>
          <w:pgMar w:left="1280" w:top="263" w:right="1299"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318" w:lineRule="exact"/>
        <w:rPr>
          <w:sz w:val="20"/>
          <w:szCs w:val="20"/>
          <w:color w:val="auto"/>
        </w:rPr>
      </w:pPr>
    </w:p>
    <w:p>
      <w:pPr>
        <w:ind w:left="580" w:right="280"/>
        <w:spacing w:after="0" w:line="256" w:lineRule="auto"/>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As demonstrated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Executive Compensation, a significant portion of executive pay is not guaranteed, but rather tied to key financial metrics that measure our performance and are disclosed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 w:right="260"/>
        <w:spacing w:after="0" w:line="294" w:lineRule="auto"/>
        <w:rPr>
          <w:sz w:val="20"/>
          <w:szCs w:val="20"/>
          <w:color w:val="auto"/>
        </w:rPr>
      </w:pPr>
      <w:r>
        <w:rPr>
          <w:rFonts w:ascii="Arial" w:cs="Arial" w:eastAsia="Arial" w:hAnsi="Arial"/>
          <w:sz w:val="16"/>
          <w:szCs w:val="16"/>
          <w:b w:val="1"/>
          <w:bCs w:val="1"/>
          <w:i w:val="1"/>
          <w:iCs w:val="1"/>
          <w:color w:val="auto"/>
        </w:rPr>
        <w:t>Target the following market positions for Named Executive Officers:</w:t>
      </w:r>
    </w:p>
    <w:p>
      <w:pPr>
        <w:spacing w:after="0" w:line="33"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 At Market</w:t>
      </w:r>
    </w:p>
    <w:p>
      <w:pPr>
        <w:spacing w:after="0" w:line="86"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 At Market for the</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achievement of target</w:t>
      </w:r>
    </w:p>
    <w:p>
      <w:pPr>
        <w:spacing w:after="0" w:line="97"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6"/>
          <w:szCs w:val="16"/>
          <w:color w:val="auto"/>
        </w:rPr>
        <w:t>Equity Program</w:t>
      </w:r>
      <w:r>
        <w:rPr>
          <w:sz w:val="20"/>
          <w:szCs w:val="20"/>
          <w:color w:val="auto"/>
        </w:rPr>
        <w:tab/>
      </w:r>
      <w:r>
        <w:rPr>
          <w:rFonts w:ascii="Arial" w:cs="Arial" w:eastAsia="Arial" w:hAnsi="Arial"/>
          <w:sz w:val="16"/>
          <w:szCs w:val="16"/>
          <w:color w:val="auto"/>
        </w:rPr>
        <w:t>- Slightly Above Market</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when performance is</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achieved</w:t>
      </w:r>
    </w:p>
    <w:p>
      <w:pPr>
        <w:spacing w:after="0" w:line="221" w:lineRule="exact"/>
        <w:rPr>
          <w:sz w:val="20"/>
          <w:szCs w:val="20"/>
          <w:color w:val="auto"/>
        </w:rPr>
      </w:pPr>
    </w:p>
    <w:p>
      <w:pPr>
        <w:ind w:left="580" w:right="220"/>
        <w:spacing w:after="0" w:line="250" w:lineRule="auto"/>
        <w:rPr>
          <w:sz w:val="20"/>
          <w:szCs w:val="20"/>
          <w:color w:val="auto"/>
        </w:rPr>
      </w:pPr>
      <w:r>
        <w:rPr>
          <w:rFonts w:ascii="Arial" w:cs="Arial" w:eastAsia="Arial" w:hAnsi="Arial"/>
          <w:sz w:val="16"/>
          <w:szCs w:val="16"/>
          <w:b w:val="1"/>
          <w:bCs w:val="1"/>
          <w:i w:val="1"/>
          <w:iCs w:val="1"/>
          <w:color w:val="auto"/>
        </w:rPr>
        <w:t xml:space="preserve">Mitigate undue risk in compensation programs. </w:t>
      </w:r>
      <w:r>
        <w:rPr>
          <w:rFonts w:ascii="Arial" w:cs="Arial" w:eastAsia="Arial" w:hAnsi="Arial"/>
          <w:sz w:val="16"/>
          <w:szCs w:val="16"/>
          <w:color w:val="auto"/>
        </w:rPr>
        <w:t>The executive compensation program includes features that reduce the possibility of the Named Executive Officers, either individually or as a group, making excessively risky business decisions that could maximize short-term results at the expense of long-term value. The Compensation Committee annually reviews our compensation arrangements, especially the incentive compensation arrangements, to confirm that such arrangements do not encourage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5777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-1330325</wp:posOffset>
            </wp:positionV>
            <wp:extent cx="10287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22"/>
          <w:szCs w:val="22"/>
          <w:b w:val="1"/>
          <w:bCs w:val="1"/>
          <w:color w:val="FFFFFF"/>
        </w:rPr>
        <w:t>What We Don’t Do</w:t>
      </w:r>
    </w:p>
    <w:p>
      <w:pPr>
        <w:spacing w:after="0" w:line="31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309"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b w:val="1"/>
          <w:bCs w:val="1"/>
          <w:i w:val="1"/>
          <w:iCs w:val="1"/>
          <w:color w:val="auto"/>
        </w:rPr>
        <w:t xml:space="preserve">No hedging, pledging, or short sales transactions permitted. </w:t>
      </w:r>
      <w:r>
        <w:rPr>
          <w:rFonts w:ascii="Arial" w:cs="Arial" w:eastAsia="Arial" w:hAnsi="Arial"/>
          <w:sz w:val="16"/>
          <w:szCs w:val="16"/>
          <w:color w:val="auto"/>
        </w:rPr>
        <w:t>The Company’s Insider Trading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-108585</wp:posOffset>
            </wp:positionV>
            <wp:extent cx="10287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24" w:lineRule="exact"/>
        <w:rPr>
          <w:sz w:val="20"/>
          <w:szCs w:val="20"/>
          <w:color w:val="auto"/>
        </w:rPr>
      </w:pPr>
    </w:p>
    <w:p>
      <w:pPr>
        <w:sectPr>
          <w:pgSz w:w="11900" w:h="16838" w:orient="portrait"/>
          <w:cols w:equalWidth="0" w:num="2">
            <w:col w:w="4560" w:space="720"/>
            <w:col w:w="4040"/>
          </w:cols>
          <w:pgMar w:left="1280" w:top="263" w:right="1299" w:bottom="1440" w:gutter="0" w:footer="0" w:header="0"/>
          <w:type w:val="continuous"/>
        </w:sectPr>
      </w:pPr>
    </w:p>
    <w:p>
      <w:pPr>
        <w:spacing w:after="0" w:line="7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257810</wp:posOffset>
            </wp:positionV>
            <wp:extent cx="68580" cy="3694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3694430"/>
                    </a:xfrm>
                    <a:prstGeom prst="rect">
                      <a:avLst/>
                    </a:prstGeom>
                    <a:noFill/>
                  </pic:spPr>
                </pic:pic>
              </a:graphicData>
            </a:graphic>
          </wp:anchor>
        </w:drawing>
      </w:r>
    </w:p>
    <w:p>
      <w:pPr>
        <w:spacing w:after="0" w:line="386" w:lineRule="exact"/>
        <w:rPr>
          <w:sz w:val="20"/>
          <w:szCs w:val="20"/>
          <w:color w:val="auto"/>
        </w:rPr>
      </w:pPr>
    </w:p>
    <w:tbl>
      <w:tblPr>
        <w:tblLayout w:type="fixed"/>
        <w:tblInd w:w="220" w:type="dxa"/>
        <w:tblCellMar>
          <w:top w:w="0" w:type="dxa"/>
          <w:left w:w="0" w:type="dxa"/>
          <w:bottom w:w="0" w:type="dxa"/>
          <w:right w:w="0" w:type="dxa"/>
        </w:tblCellMar>
      </w:tblPr>
      <w:tr>
        <w:trPr>
          <w:trHeight w:val="471"/>
        </w:trPr>
        <w:tc>
          <w:tcPr>
            <w:tcW w:w="4600" w:type="dxa"/>
            <w:vAlign w:val="bottom"/>
            <w:gridSpan w:val="2"/>
            <w:shd w:val="clear" w:color="auto" w:fill="2F5DA8"/>
          </w:tcPr>
          <w:p>
            <w:pPr>
              <w:ind w:left="1560"/>
              <w:spacing w:after="0"/>
              <w:rPr>
                <w:sz w:val="20"/>
                <w:szCs w:val="20"/>
                <w:color w:val="auto"/>
              </w:rPr>
            </w:pPr>
            <w:r>
              <w:rPr>
                <w:rFonts w:ascii="Times New Roman" w:cs="Times New Roman" w:eastAsia="Times New Roman" w:hAnsi="Times New Roman"/>
                <w:sz w:val="22"/>
                <w:szCs w:val="22"/>
                <w:b w:val="1"/>
                <w:bCs w:val="1"/>
                <w:color w:val="FFFFFF"/>
              </w:rPr>
              <w:t>What We Do</w:t>
            </w:r>
          </w:p>
        </w:tc>
        <w:tc>
          <w:tcPr>
            <w:tcW w:w="4500" w:type="dxa"/>
            <w:vAlign w:val="bottom"/>
            <w:shd w:val="clear" w:color="auto" w:fill="2F5DA8"/>
          </w:tcPr>
          <w:p>
            <w:pPr>
              <w:ind w:left="1400"/>
              <w:spacing w:after="0"/>
              <w:rPr>
                <w:sz w:val="20"/>
                <w:szCs w:val="20"/>
                <w:color w:val="auto"/>
              </w:rPr>
            </w:pPr>
            <w:r>
              <w:rPr>
                <w:rFonts w:ascii="Times New Roman" w:cs="Times New Roman" w:eastAsia="Times New Roman" w:hAnsi="Times New Roman"/>
                <w:sz w:val="22"/>
                <w:szCs w:val="22"/>
                <w:b w:val="1"/>
                <w:bCs w:val="1"/>
                <w:color w:val="FFFFFF"/>
              </w:rPr>
              <w:t>What We Don’t Do</w:t>
            </w:r>
          </w:p>
        </w:tc>
      </w:tr>
      <w:tr>
        <w:trPr>
          <w:trHeight w:val="258"/>
        </w:trPr>
        <w:tc>
          <w:tcPr>
            <w:tcW w:w="4480" w:type="dxa"/>
            <w:vAlign w:val="bottom"/>
            <w:tcBorders>
              <w:bottom w:val="single" w:sz="8" w:color="auto"/>
            </w:tcBorders>
            <w:shd w:val="clear" w:color="auto" w:fill="2F5DA8"/>
          </w:tcPr>
          <w:p>
            <w:pPr>
              <w:spacing w:after="0"/>
              <w:rPr>
                <w:sz w:val="22"/>
                <w:szCs w:val="22"/>
                <w:color w:val="auto"/>
              </w:rPr>
            </w:pPr>
          </w:p>
        </w:tc>
        <w:tc>
          <w:tcPr>
            <w:tcW w:w="120" w:type="dxa"/>
            <w:vAlign w:val="bottom"/>
            <w:shd w:val="clear" w:color="auto" w:fill="2F5DA8"/>
          </w:tcPr>
          <w:p>
            <w:pPr>
              <w:spacing w:after="0"/>
              <w:rPr>
                <w:sz w:val="22"/>
                <w:szCs w:val="22"/>
                <w:color w:val="auto"/>
              </w:rPr>
            </w:pPr>
          </w:p>
        </w:tc>
        <w:tc>
          <w:tcPr>
            <w:tcW w:w="4500" w:type="dxa"/>
            <w:vAlign w:val="bottom"/>
            <w:tcBorders>
              <w:bottom w:val="single" w:sz="8" w:color="auto"/>
            </w:tcBorders>
            <w:shd w:val="clear" w:color="auto" w:fill="2F5DA8"/>
          </w:tcPr>
          <w:p>
            <w:pPr>
              <w:spacing w:after="0"/>
              <w:rPr>
                <w:sz w:val="22"/>
                <w:szCs w:val="22"/>
                <w:color w:val="auto"/>
              </w:rPr>
            </w:pPr>
          </w:p>
        </w:tc>
      </w:tr>
    </w:tbl>
    <w:p>
      <w:pPr>
        <w:spacing w:after="0" w:line="109" w:lineRule="exact"/>
        <w:rPr>
          <w:sz w:val="20"/>
          <w:szCs w:val="20"/>
          <w:color w:val="auto"/>
        </w:rPr>
      </w:pPr>
    </w:p>
    <w:p>
      <w:pPr>
        <w:sectPr>
          <w:pgSz w:w="11900" w:h="16838" w:orient="portrait"/>
          <w:cols w:equalWidth="0" w:num="1">
            <w:col w:w="9320"/>
          </w:cols>
          <w:pgMar w:left="1280" w:top="263" w:right="1299" w:bottom="1440" w:gutter="0" w:footer="0" w:header="0"/>
        </w:sectPr>
      </w:pPr>
    </w:p>
    <w:p>
      <w:pPr>
        <w:ind w:left="800" w:right="280"/>
        <w:spacing w:after="0" w:line="265" w:lineRule="auto"/>
        <w:rPr>
          <w:sz w:val="20"/>
          <w:szCs w:val="20"/>
          <w:color w:val="auto"/>
        </w:rPr>
      </w:pPr>
      <w:r>
        <w:rPr>
          <w:rFonts w:ascii="Arial" w:cs="Arial" w:eastAsia="Arial" w:hAnsi="Arial"/>
          <w:sz w:val="16"/>
          <w:szCs w:val="16"/>
          <w:b w:val="1"/>
          <w:bCs w:val="1"/>
          <w:i w:val="1"/>
          <w:iCs w:val="1"/>
          <w:color w:val="auto"/>
        </w:rPr>
        <w:t xml:space="preserve">Balance of short-term and long-term incentives. </w:t>
      </w:r>
      <w:r>
        <w:rPr>
          <w:rFonts w:ascii="Arial" w:cs="Arial" w:eastAsia="Arial" w:hAnsi="Arial"/>
          <w:sz w:val="16"/>
          <w:szCs w:val="16"/>
          <w:color w:val="auto"/>
        </w:rPr>
        <w:t>Our incentive programs provide an appropriate balance of annual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-378460</wp:posOffset>
            </wp:positionV>
            <wp:extent cx="10287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84" w:lineRule="exact"/>
        <w:rPr>
          <w:sz w:val="20"/>
          <w:szCs w:val="20"/>
          <w:color w:val="auto"/>
        </w:rPr>
      </w:pPr>
    </w:p>
    <w:p>
      <w:pPr>
        <w:ind w:left="800" w:right="240"/>
        <w:spacing w:after="0" w:line="250"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ownership guidelines for Named Executive Officers. The President and CEO must have ownership of at least five times base salary, and the CFO and Group Presidents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-1207135</wp:posOffset>
            </wp:positionV>
            <wp:extent cx="10287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04" w:lineRule="exact"/>
        <w:rPr>
          <w:sz w:val="20"/>
          <w:szCs w:val="20"/>
          <w:color w:val="auto"/>
        </w:rPr>
      </w:pPr>
    </w:p>
    <w:p>
      <w:pPr>
        <w:ind w:left="800" w:right="200"/>
        <w:spacing w:after="0" w:line="250" w:lineRule="auto"/>
        <w:rPr>
          <w:sz w:val="20"/>
          <w:szCs w:val="20"/>
          <w:color w:val="auto"/>
        </w:rPr>
      </w:pPr>
      <w:r>
        <w:rPr>
          <w:rFonts w:ascii="Arial" w:cs="Arial" w:eastAsia="Arial" w:hAnsi="Arial"/>
          <w:sz w:val="16"/>
          <w:szCs w:val="16"/>
          <w:b w:val="1"/>
          <w:bCs w:val="1"/>
          <w:i w:val="1"/>
          <w:iCs w:val="1"/>
          <w:color w:val="auto"/>
        </w:rPr>
        <w:t xml:space="preserve">Include recoupment and other forfeiture provisions in our annual incentive programs and equity-award provisions. </w:t>
      </w:r>
      <w:r>
        <w:rPr>
          <w:rFonts w:ascii="Arial" w:cs="Arial" w:eastAsia="Arial" w:hAnsi="Arial"/>
          <w:sz w:val="16"/>
          <w:szCs w:val="16"/>
          <w:color w:val="auto"/>
        </w:rPr>
        <w:t>Our annual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-1330325</wp:posOffset>
            </wp:positionV>
            <wp:extent cx="10287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99" w:lineRule="exact"/>
        <w:rPr>
          <w:sz w:val="20"/>
          <w:szCs w:val="20"/>
          <w:color w:val="auto"/>
        </w:rPr>
      </w:pPr>
    </w:p>
    <w:p>
      <w:pPr>
        <w:ind w:left="800" w:right="240"/>
        <w:spacing w:after="0" w:line="255" w:lineRule="auto"/>
        <w:rPr>
          <w:sz w:val="20"/>
          <w:szCs w:val="20"/>
          <w:color w:val="auto"/>
        </w:rPr>
      </w:pPr>
      <w:r>
        <w:rPr>
          <w:rFonts w:ascii="Arial" w:cs="Arial" w:eastAsia="Arial" w:hAnsi="Arial"/>
          <w:sz w:val="16"/>
          <w:szCs w:val="16"/>
          <w:b w:val="1"/>
          <w:bCs w:val="1"/>
          <w:i w:val="1"/>
          <w:iCs w:val="1"/>
          <w:color w:val="auto"/>
        </w:rPr>
        <w:t xml:space="preserve">Utilize an independent compensation consulting firm. </w:t>
      </w:r>
      <w:r>
        <w:rPr>
          <w:rFonts w:ascii="Arial" w:cs="Arial" w:eastAsia="Arial" w:hAnsi="Arial"/>
          <w:sz w:val="16"/>
          <w:szCs w:val="16"/>
          <w:color w:val="auto"/>
        </w:rPr>
        <w:t>The Compensation Committee benefits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use of an independent compensation consulting firm, which provides minimal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4445</wp:posOffset>
            </wp:positionV>
            <wp:extent cx="5777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-612140</wp:posOffset>
            </wp:positionV>
            <wp:extent cx="10287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b w:val="1"/>
          <w:bCs w:val="1"/>
          <w:i w:val="1"/>
          <w:iCs w:val="1"/>
          <w:color w:val="auto"/>
        </w:rPr>
        <w:t>No use of non-performance based pay other than base salary and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-278130</wp:posOffset>
            </wp:positionV>
            <wp:extent cx="10287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08" w:lineRule="exact"/>
        <w:rPr>
          <w:sz w:val="20"/>
          <w:szCs w:val="20"/>
          <w:color w:val="auto"/>
        </w:rPr>
      </w:pPr>
    </w:p>
    <w:p>
      <w:pPr>
        <w:sectPr>
          <w:pgSz w:w="11900" w:h="16838" w:orient="portrait"/>
          <w:cols w:equalWidth="0" w:num="2">
            <w:col w:w="4760" w:space="720"/>
            <w:col w:w="3840"/>
          </w:cols>
          <w:pgMar w:left="1280" w:top="263" w:right="129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16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use a combination of compensation elements, including base salary, the annual incentive program and an equity program. Each element and the related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decisions and results for fiscal 2021 are summarized below and detailed summaries follow in the CD&amp;A.</w:t>
      </w:r>
    </w:p>
    <w:p>
      <w:pPr>
        <w:spacing w:after="0" w:line="190" w:lineRule="exact"/>
        <w:rPr>
          <w:sz w:val="20"/>
          <w:szCs w:val="20"/>
          <w:color w:val="auto"/>
        </w:rPr>
      </w:pPr>
    </w:p>
    <w:p>
      <w:pPr>
        <w:sectPr>
          <w:pgSz w:w="11900" w:h="16838" w:orient="portrait"/>
          <w:cols w:equalWidth="0" w:num="2">
            <w:col w:w="4260" w:space="400"/>
            <w:col w:w="4660"/>
          </w:cols>
          <w:pgMar w:left="1280" w:top="263" w:right="1299" w:bottom="1440" w:gutter="0" w:footer="0" w:header="0"/>
          <w:type w:val="continuous"/>
        </w:sectPr>
      </w:pPr>
    </w:p>
    <w:tbl>
      <w:tblPr>
        <w:tblLayout w:type="fixed"/>
        <w:tblInd w:w="10" w:type="dxa"/>
        <w:tblCellMar>
          <w:top w:w="0" w:type="dxa"/>
          <w:left w:w="0" w:type="dxa"/>
          <w:bottom w:w="0" w:type="dxa"/>
          <w:right w:w="0" w:type="dxa"/>
        </w:tblCellMar>
      </w:tblPr>
      <w:tr>
        <w:trPr>
          <w:trHeight w:val="315"/>
        </w:trPr>
        <w:tc>
          <w:tcPr>
            <w:tcW w:w="1540" w:type="dxa"/>
            <w:vAlign w:val="bottom"/>
            <w:tcBorders>
              <w:top w:val="single" w:sz="8" w:color="auto"/>
              <w:left w:val="single" w:sz="8" w:color="auto"/>
              <w:bottom w:val="single" w:sz="8" w:color="D9D9D9"/>
              <w:right w:val="single" w:sz="8" w:color="auto"/>
            </w:tcBorders>
            <w:shd w:val="clear" w:color="auto" w:fill="D9D9D9"/>
          </w:tcPr>
          <w:p>
            <w:pPr>
              <w:spacing w:after="0"/>
              <w:rPr>
                <w:sz w:val="24"/>
                <w:szCs w:val="24"/>
                <w:color w:val="auto"/>
              </w:rPr>
            </w:pPr>
          </w:p>
        </w:tc>
        <w:tc>
          <w:tcPr>
            <w:tcW w:w="1280" w:type="dxa"/>
            <w:vAlign w:val="bottom"/>
            <w:tcBorders>
              <w:top w:val="single" w:sz="8" w:color="auto"/>
              <w:bottom w:val="single" w:sz="8" w:color="D9D9D9"/>
            </w:tcBorders>
            <w:shd w:val="clear" w:color="auto" w:fill="D9D9D9"/>
          </w:tcPr>
          <w:p>
            <w:pPr>
              <w:spacing w:after="0"/>
              <w:rPr>
                <w:sz w:val="24"/>
                <w:szCs w:val="24"/>
                <w:color w:val="auto"/>
              </w:rPr>
            </w:pPr>
          </w:p>
        </w:tc>
        <w:tc>
          <w:tcPr>
            <w:tcW w:w="2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Equity Programs</w:t>
            </w:r>
          </w:p>
        </w:tc>
        <w:tc>
          <w:tcPr>
            <w:tcW w:w="154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40" w:type="dxa"/>
            <w:vAlign w:val="bottom"/>
            <w:tcBorders>
              <w:top w:val="single" w:sz="8" w:color="D9D9D9"/>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D9D9D9"/>
            </w:tcBorders>
            <w:shd w:val="clear" w:color="auto" w:fill="D9D9D9"/>
          </w:tcPr>
          <w:p>
            <w:pPr>
              <w:spacing w:after="0"/>
              <w:rPr>
                <w:sz w:val="19"/>
                <w:szCs w:val="19"/>
                <w:color w:val="auto"/>
              </w:rPr>
            </w:pPr>
          </w:p>
        </w:tc>
        <w:tc>
          <w:tcPr>
            <w:tcW w:w="220" w:type="dxa"/>
            <w:vAlign w:val="bottom"/>
            <w:tcBorders>
              <w:top w:val="single" w:sz="8" w:color="D9D9D9"/>
              <w:right w:val="single" w:sz="8" w:color="auto"/>
            </w:tcBorders>
            <w:shd w:val="clear" w:color="auto" w:fill="D9D9D9"/>
          </w:tcPr>
          <w:p>
            <w:pPr>
              <w:spacing w:after="0"/>
              <w:rPr>
                <w:sz w:val="19"/>
                <w:szCs w:val="19"/>
                <w:color w:val="auto"/>
              </w:rPr>
            </w:pPr>
          </w:p>
        </w:tc>
        <w:tc>
          <w:tcPr>
            <w:tcW w:w="1500" w:type="dxa"/>
            <w:vAlign w:val="bottom"/>
            <w:tcBorders>
              <w:top w:val="single" w:sz="8" w:color="D9D9D9"/>
              <w:right w:val="single" w:sz="8" w:color="auto"/>
            </w:tcBorders>
            <w:shd w:val="clear" w:color="auto" w:fill="D9D9D9"/>
          </w:tcPr>
          <w:p>
            <w:pPr>
              <w:spacing w:after="0"/>
              <w:rPr>
                <w:sz w:val="19"/>
                <w:szCs w:val="19"/>
                <w:color w:val="auto"/>
              </w:rPr>
            </w:pP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Time-Based</w:t>
            </w:r>
          </w:p>
        </w:tc>
        <w:tc>
          <w:tcPr>
            <w:tcW w:w="1520" w:type="dxa"/>
            <w:vAlign w:val="bottom"/>
            <w:tcBorders>
              <w:top w:val="single" w:sz="8" w:color="auto"/>
              <w:right w:val="single" w:sz="8" w:color="auto"/>
            </w:tcBorders>
            <w:shd w:val="clear" w:color="auto" w:fill="D9D9D9"/>
          </w:tcPr>
          <w:p>
            <w:pPr>
              <w:ind w:left="220"/>
              <w:spacing w:after="0"/>
              <w:rPr>
                <w:sz w:val="20"/>
                <w:szCs w:val="20"/>
                <w:color w:val="auto"/>
              </w:rPr>
            </w:pPr>
            <w:r>
              <w:rPr>
                <w:rFonts w:ascii="Arial" w:cs="Arial" w:eastAsia="Arial" w:hAnsi="Arial"/>
                <w:sz w:val="16"/>
                <w:szCs w:val="16"/>
                <w:b w:val="1"/>
                <w:bCs w:val="1"/>
                <w:color w:val="auto"/>
              </w:rPr>
              <w:t>Performance</w:t>
            </w:r>
          </w:p>
        </w:tc>
        <w:tc>
          <w:tcPr>
            <w:tcW w:w="1540" w:type="dxa"/>
            <w:vAlign w:val="bottom"/>
            <w:tcBorders>
              <w:top w:val="single" w:sz="8" w:color="auto"/>
              <w:right w:val="single" w:sz="8" w:color="auto"/>
            </w:tcBorders>
            <w:shd w:val="clear" w:color="auto" w:fill="D9D9D9"/>
          </w:tcPr>
          <w:p>
            <w:pPr>
              <w:jc w:val="center"/>
              <w:ind w:right="40"/>
              <w:spacing w:after="0"/>
              <w:rPr>
                <w:sz w:val="20"/>
                <w:szCs w:val="20"/>
                <w:color w:val="auto"/>
              </w:rPr>
            </w:pPr>
            <w:r>
              <w:rPr>
                <w:rFonts w:ascii="Arial" w:cs="Arial" w:eastAsia="Arial" w:hAnsi="Arial"/>
                <w:sz w:val="16"/>
                <w:szCs w:val="16"/>
                <w:b w:val="1"/>
                <w:bCs w:val="1"/>
                <w:color w:val="auto"/>
                <w:w w:val="99"/>
              </w:rPr>
              <w:t>Long Term</w:t>
            </w:r>
          </w:p>
        </w:tc>
        <w:tc>
          <w:tcPr>
            <w:tcW w:w="0" w:type="dxa"/>
            <w:vAlign w:val="bottom"/>
          </w:tcPr>
          <w:p>
            <w:pPr>
              <w:spacing w:after="0"/>
              <w:rPr>
                <w:sz w:val="1"/>
                <w:szCs w:val="1"/>
                <w:color w:val="auto"/>
              </w:rPr>
            </w:pPr>
          </w:p>
        </w:tc>
      </w:tr>
      <w:tr>
        <w:trPr>
          <w:trHeight w:val="262"/>
        </w:trPr>
        <w:tc>
          <w:tcPr>
            <w:tcW w:w="15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Elements</w:t>
            </w:r>
          </w:p>
        </w:tc>
        <w:tc>
          <w:tcPr>
            <w:tcW w:w="1280" w:type="dxa"/>
            <w:vAlign w:val="bottom"/>
            <w:tcBorders>
              <w:bottom w:val="single" w:sz="8" w:color="D9D9D9"/>
            </w:tcBorders>
            <w:shd w:val="clear" w:color="auto" w:fill="D9D9D9"/>
          </w:tcPr>
          <w:p>
            <w:pPr>
              <w:jc w:val="center"/>
              <w:ind w:left="79"/>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Borders>
              <w:bottom w:val="single" w:sz="8" w:color="D9D9D9"/>
              <w:right w:val="single" w:sz="8" w:color="auto"/>
            </w:tcBorders>
            <w:shd w:val="clear" w:color="auto" w:fill="D9D9D9"/>
          </w:tcPr>
          <w:p>
            <w:pPr>
              <w:spacing w:after="0"/>
              <w:rPr>
                <w:sz w:val="22"/>
                <w:szCs w:val="22"/>
                <w:color w:val="auto"/>
              </w:rPr>
            </w:pP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Annual Incentive</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 Plan</w:t>
            </w:r>
          </w:p>
        </w:tc>
        <w:tc>
          <w:tcPr>
            <w:tcW w:w="15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222"/>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color w:val="auto"/>
              </w:rPr>
              <w:t>Fixed</w:t>
            </w:r>
          </w:p>
        </w:tc>
        <w:tc>
          <w:tcPr>
            <w:tcW w:w="22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Variable</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Fixed</w:t>
            </w:r>
          </w:p>
        </w:tc>
        <w:tc>
          <w:tcPr>
            <w:tcW w:w="3060" w:type="dxa"/>
            <w:vAlign w:val="bottom"/>
            <w:tcBorders>
              <w:top w:val="single" w:sz="8" w:color="auto"/>
              <w:right w:val="single" w:sz="8" w:color="auto"/>
            </w:tcBorders>
            <w:gridSpan w:val="2"/>
            <w:vMerge w:val="restart"/>
          </w:tcPr>
          <w:p>
            <w:pPr>
              <w:ind w:left="1200"/>
              <w:spacing w:after="0"/>
              <w:rPr>
                <w:sz w:val="20"/>
                <w:szCs w:val="20"/>
                <w:color w:val="auto"/>
              </w:rPr>
            </w:pPr>
            <w:r>
              <w:rPr>
                <w:rFonts w:ascii="Arial" w:cs="Arial" w:eastAsia="Arial" w:hAnsi="Arial"/>
                <w:sz w:val="16"/>
                <w:szCs w:val="16"/>
                <w:color w:val="auto"/>
              </w:rPr>
              <w:t>Variable</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Mix</w:t>
            </w:r>
          </w:p>
        </w:tc>
        <w:tc>
          <w:tcPr>
            <w:tcW w:w="128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30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4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All Named Executive Officers for time-based awards, all U.S.</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Recipients</w:t>
            </w: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Named Executive Officers</w:t>
            </w:r>
          </w:p>
        </w:tc>
        <w:tc>
          <w:tcPr>
            <w:tcW w:w="4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based Named Executive Officers for Performance Share Plan</w:t>
            </w:r>
          </w:p>
        </w:tc>
        <w:tc>
          <w:tcPr>
            <w:tcW w:w="0" w:type="dxa"/>
            <w:vAlign w:val="bottom"/>
          </w:tcPr>
          <w:p>
            <w:pPr>
              <w:spacing w:after="0"/>
              <w:rPr>
                <w:sz w:val="1"/>
                <w:szCs w:val="1"/>
                <w:color w:val="auto"/>
              </w:rPr>
            </w:pPr>
          </w:p>
        </w:tc>
      </w:tr>
      <w:tr>
        <w:trPr>
          <w:trHeight w:val="128"/>
        </w:trPr>
        <w:tc>
          <w:tcPr>
            <w:tcW w:w="1540" w:type="dxa"/>
            <w:vAlign w:val="bottom"/>
            <w:tcBorders>
              <w:left w:val="single" w:sz="8" w:color="auto"/>
              <w:right w:val="single" w:sz="8" w:color="auto"/>
            </w:tcBorders>
            <w:vMerge w:val="continue"/>
          </w:tcPr>
          <w:p>
            <w:pPr>
              <w:spacing w:after="0"/>
              <w:rPr>
                <w:sz w:val="11"/>
                <w:szCs w:val="11"/>
                <w:color w:val="auto"/>
              </w:rPr>
            </w:pPr>
          </w:p>
        </w:tc>
        <w:tc>
          <w:tcPr>
            <w:tcW w:w="3000" w:type="dxa"/>
            <w:vAlign w:val="bottom"/>
            <w:tcBorders>
              <w:right w:val="single" w:sz="8" w:color="auto"/>
            </w:tcBorders>
            <w:gridSpan w:val="3"/>
            <w:vMerge w:val="continue"/>
          </w:tcPr>
          <w:p>
            <w:pPr>
              <w:spacing w:after="0"/>
              <w:rPr>
                <w:sz w:val="11"/>
                <w:szCs w:val="11"/>
                <w:color w:val="auto"/>
              </w:rPr>
            </w:pPr>
          </w:p>
        </w:tc>
        <w:tc>
          <w:tcPr>
            <w:tcW w:w="45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and certain U.S. based Named Executive Officers for Long</w:t>
            </w:r>
          </w:p>
        </w:tc>
        <w:tc>
          <w:tcPr>
            <w:tcW w:w="0" w:type="dxa"/>
            <w:vAlign w:val="bottom"/>
          </w:tcPr>
          <w:p>
            <w:pPr>
              <w:spacing w:after="0"/>
              <w:rPr>
                <w:sz w:val="1"/>
                <w:szCs w:val="1"/>
                <w:color w:val="auto"/>
              </w:rPr>
            </w:pPr>
          </w:p>
        </w:tc>
      </w:tr>
      <w:tr>
        <w:trPr>
          <w:trHeight w:val="61"/>
        </w:trPr>
        <w:tc>
          <w:tcPr>
            <w:tcW w:w="1540" w:type="dxa"/>
            <w:vAlign w:val="bottom"/>
            <w:tcBorders>
              <w:left w:val="single" w:sz="8" w:color="auto"/>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45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54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Term Incentive Plan.</w:t>
            </w: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When Granted</w:t>
            </w:r>
          </w:p>
        </w:tc>
        <w:tc>
          <w:tcPr>
            <w:tcW w:w="1280" w:type="dxa"/>
            <w:vAlign w:val="bottom"/>
          </w:tcPr>
          <w:p>
            <w:pPr>
              <w:jc w:val="center"/>
              <w:ind w:left="59"/>
              <w:spacing w:after="0"/>
              <w:rPr>
                <w:sz w:val="20"/>
                <w:szCs w:val="20"/>
                <w:color w:val="auto"/>
              </w:rPr>
            </w:pPr>
            <w:r>
              <w:rPr>
                <w:rFonts w:ascii="Arial" w:cs="Arial" w:eastAsia="Arial" w:hAnsi="Arial"/>
                <w:sz w:val="16"/>
                <w:szCs w:val="16"/>
                <w:color w:val="auto"/>
              </w:rPr>
              <w:t>Review</w:t>
            </w:r>
          </w:p>
        </w:tc>
        <w:tc>
          <w:tcPr>
            <w:tcW w:w="2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3040" w:type="dxa"/>
            <w:vAlign w:val="bottom"/>
            <w:gridSpan w:val="2"/>
            <w:vMerge w:val="restart"/>
          </w:tcPr>
          <w:p>
            <w:pPr>
              <w:ind w:left="1200"/>
              <w:spacing w:after="0"/>
              <w:rPr>
                <w:sz w:val="20"/>
                <w:szCs w:val="20"/>
                <w:color w:val="auto"/>
              </w:rPr>
            </w:pPr>
            <w:r>
              <w:rPr>
                <w:rFonts w:ascii="Arial" w:cs="Arial" w:eastAsia="Arial" w:hAnsi="Arial"/>
                <w:sz w:val="16"/>
                <w:szCs w:val="16"/>
                <w:color w:val="auto"/>
              </w:rPr>
              <w:t>Annually</w:t>
            </w: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54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Annually</w:t>
            </w:r>
          </w:p>
        </w:tc>
        <w:tc>
          <w:tcPr>
            <w:tcW w:w="22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tcPr>
          <w:p>
            <w:pPr>
              <w:spacing w:after="0"/>
              <w:rPr>
                <w:sz w:val="7"/>
                <w:szCs w:val="7"/>
                <w:color w:val="auto"/>
              </w:rPr>
            </w:pPr>
          </w:p>
        </w:tc>
        <w:tc>
          <w:tcPr>
            <w:tcW w:w="128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Form of Delivery</w:t>
            </w:r>
          </w:p>
        </w:tc>
        <w:tc>
          <w:tcPr>
            <w:tcW w:w="1280" w:type="dxa"/>
            <w:vAlign w:val="bottom"/>
          </w:tcPr>
          <w:p>
            <w:pPr>
              <w:spacing w:after="0"/>
              <w:rPr>
                <w:sz w:val="22"/>
                <w:szCs w:val="22"/>
                <w:color w:val="auto"/>
              </w:rPr>
            </w:pPr>
          </w:p>
        </w:tc>
        <w:tc>
          <w:tcPr>
            <w:tcW w:w="1720" w:type="dxa"/>
            <w:vAlign w:val="bottom"/>
            <w:tcBorders>
              <w:right w:val="single" w:sz="8" w:color="auto"/>
            </w:tcBorders>
            <w:gridSpan w:val="2"/>
          </w:tcPr>
          <w:p>
            <w:pPr>
              <w:jc w:val="center"/>
              <w:ind w:right="1219"/>
              <w:spacing w:after="0"/>
              <w:rPr>
                <w:sz w:val="20"/>
                <w:szCs w:val="20"/>
                <w:color w:val="auto"/>
              </w:rPr>
            </w:pPr>
            <w:r>
              <w:rPr>
                <w:rFonts w:ascii="Arial" w:cs="Arial" w:eastAsia="Arial" w:hAnsi="Arial"/>
                <w:sz w:val="16"/>
                <w:szCs w:val="16"/>
                <w:color w:val="auto"/>
              </w:rPr>
              <w:t>Cash</w:t>
            </w:r>
          </w:p>
        </w:tc>
        <w:tc>
          <w:tcPr>
            <w:tcW w:w="15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Type of</w:t>
            </w: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9"/>
              </w:rPr>
              <w:t>Short Term</w:t>
            </w:r>
          </w:p>
        </w:tc>
        <w:tc>
          <w:tcPr>
            <w:tcW w:w="1520" w:type="dxa"/>
            <w:vAlign w:val="bottom"/>
          </w:tcPr>
          <w:p>
            <w:pPr>
              <w:spacing w:after="0"/>
              <w:rPr>
                <w:sz w:val="19"/>
                <w:szCs w:val="19"/>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Long Term</w:t>
            </w: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3000" w:type="dxa"/>
            <w:vAlign w:val="bottom"/>
            <w:tcBorders>
              <w:right w:val="single" w:sz="8" w:color="auto"/>
            </w:tcBorders>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Ongoing</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Stock vests over</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 stock</w:t>
            </w:r>
          </w:p>
        </w:tc>
        <w:tc>
          <w:tcPr>
            <w:tcW w:w="0" w:type="dxa"/>
            <w:vAlign w:val="bottom"/>
          </w:tcPr>
          <w:p>
            <w:pPr>
              <w:spacing w:after="0"/>
              <w:rPr>
                <w:sz w:val="1"/>
                <w:szCs w:val="1"/>
                <w:color w:val="auto"/>
              </w:rPr>
            </w:pPr>
          </w:p>
        </w:tc>
      </w:tr>
      <w:tr>
        <w:trPr>
          <w:trHeight w:val="163"/>
        </w:trPr>
        <w:tc>
          <w:tcPr>
            <w:tcW w:w="154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Pr>
          <w:p>
            <w:pPr>
              <w:jc w:val="center"/>
              <w:ind w:left="99"/>
              <w:spacing w:after="0" w:line="163" w:lineRule="exact"/>
              <w:rPr>
                <w:sz w:val="20"/>
                <w:szCs w:val="20"/>
                <w:color w:val="auto"/>
              </w:rPr>
            </w:pPr>
            <w:r>
              <w:rPr>
                <w:rFonts w:ascii="Arial" w:cs="Arial" w:eastAsia="Arial" w:hAnsi="Arial"/>
                <w:sz w:val="16"/>
                <w:szCs w:val="16"/>
                <w:color w:val="auto"/>
              </w:rPr>
              <w:t>Ongoing</w:t>
            </w:r>
          </w:p>
        </w:tc>
        <w:tc>
          <w:tcPr>
            <w:tcW w:w="2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6"/>
                <w:szCs w:val="16"/>
                <w:color w:val="auto"/>
              </w:rPr>
              <w:t>performance, stock</w:t>
            </w:r>
          </w:p>
        </w:tc>
        <w:tc>
          <w:tcPr>
            <w:tcW w:w="1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Borders>
              <w:left w:val="single" w:sz="8" w:color="auto"/>
              <w:right w:val="single" w:sz="8" w:color="auto"/>
            </w:tcBorders>
          </w:tcPr>
          <w:p>
            <w:pPr>
              <w:jc w:val="center"/>
              <w:spacing w:after="0" w:line="121" w:lineRule="exact"/>
              <w:rPr>
                <w:sz w:val="20"/>
                <w:szCs w:val="20"/>
                <w:color w:val="auto"/>
              </w:rPr>
            </w:pPr>
            <w:r>
              <w:rPr>
                <w:rFonts w:ascii="Arial" w:cs="Arial" w:eastAsia="Arial" w:hAnsi="Arial"/>
                <w:sz w:val="14"/>
                <w:szCs w:val="14"/>
                <w:b w:val="1"/>
                <w:bCs w:val="1"/>
                <w:color w:val="auto"/>
              </w:rPr>
              <w:t>Period</w:t>
            </w:r>
          </w:p>
        </w:tc>
        <w:tc>
          <w:tcPr>
            <w:tcW w:w="12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4"/>
                <w:szCs w:val="14"/>
                <w:color w:val="auto"/>
              </w:rPr>
              <w:t>3 years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vests over 3 years</w:t>
            </w:r>
          </w:p>
        </w:tc>
        <w:tc>
          <w:tcPr>
            <w:tcW w:w="1540" w:type="dxa"/>
            <w:vAlign w:val="bottom"/>
            <w:tcBorders>
              <w:right w:val="single" w:sz="8" w:color="auto"/>
            </w:tcBorders>
          </w:tcPr>
          <w:p>
            <w:pPr>
              <w:jc w:val="center"/>
              <w:ind w:right="40"/>
              <w:spacing w:after="0" w:line="121" w:lineRule="exact"/>
              <w:rPr>
                <w:sz w:val="20"/>
                <w:szCs w:val="20"/>
                <w:color w:val="auto"/>
              </w:rPr>
            </w:pPr>
            <w:r>
              <w:rPr>
                <w:rFonts w:ascii="Arial" w:cs="Arial" w:eastAsia="Arial" w:hAnsi="Arial"/>
                <w:sz w:val="14"/>
                <w:szCs w:val="14"/>
                <w:color w:val="auto"/>
              </w:rPr>
              <w:t>vests over</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3-5 years</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ind w:right="40"/>
              <w:spacing w:after="0"/>
              <w:rPr>
                <w:sz w:val="20"/>
                <w:szCs w:val="20"/>
                <w:color w:val="auto"/>
              </w:rPr>
            </w:pPr>
            <w:r>
              <w:rPr>
                <w:rFonts w:ascii="Arial" w:cs="Arial" w:eastAsia="Arial" w:hAnsi="Arial"/>
                <w:sz w:val="16"/>
                <w:szCs w:val="16"/>
                <w:color w:val="auto"/>
              </w:rPr>
              <w:t>Organic Growth:</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Vesting</w:t>
            </w:r>
          </w:p>
        </w:tc>
        <w:tc>
          <w:tcPr>
            <w:tcW w:w="1280" w:type="dxa"/>
            <w:vAlign w:val="bottom"/>
          </w:tcPr>
          <w:p>
            <w:pPr>
              <w:jc w:val="center"/>
              <w:ind w:left="79"/>
              <w:spacing w:after="0"/>
              <w:rPr>
                <w:sz w:val="20"/>
                <w:szCs w:val="20"/>
                <w:color w:val="auto"/>
              </w:rPr>
            </w:pPr>
            <w:r>
              <w:rPr>
                <w:rFonts w:ascii="Arial" w:cs="Arial" w:eastAsia="Arial" w:hAnsi="Arial"/>
                <w:sz w:val="16"/>
                <w:szCs w:val="16"/>
                <w:color w:val="auto"/>
              </w:rPr>
              <w:t>Immediate</w:t>
            </w:r>
          </w:p>
        </w:tc>
        <w:tc>
          <w:tcPr>
            <w:tcW w:w="2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3-Years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3-Years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3-Years Acquisition</w:t>
            </w:r>
          </w:p>
        </w:tc>
        <w:tc>
          <w:tcPr>
            <w:tcW w:w="0" w:type="dxa"/>
            <w:vAlign w:val="bottom"/>
          </w:tcPr>
          <w:p>
            <w:pPr>
              <w:spacing w:after="0"/>
              <w:rPr>
                <w:sz w:val="1"/>
                <w:szCs w:val="1"/>
                <w:color w:val="auto"/>
              </w:rPr>
            </w:pPr>
          </w:p>
        </w:tc>
      </w:tr>
      <w:tr>
        <w:trPr>
          <w:trHeight w:val="215"/>
        </w:trPr>
        <w:tc>
          <w:tcPr>
            <w:tcW w:w="154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Growth: 5-Years</w:t>
            </w: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jc w:val="center"/>
              <w:ind w:left="79"/>
              <w:spacing w:after="0"/>
              <w:rPr>
                <w:sz w:val="20"/>
                <w:szCs w:val="20"/>
                <w:color w:val="auto"/>
              </w:rPr>
            </w:pPr>
            <w:r>
              <w:rPr>
                <w:rFonts w:ascii="Arial" w:cs="Arial" w:eastAsia="Arial" w:hAnsi="Arial"/>
                <w:sz w:val="16"/>
                <w:szCs w:val="16"/>
                <w:color w:val="auto"/>
              </w:rPr>
              <w:t>Compensation</w:t>
            </w: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Quantitative based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Formula Based</w:t>
            </w:r>
          </w:p>
        </w:tc>
        <w:tc>
          <w:tcPr>
            <w:tcW w:w="1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How Payout is</w:t>
            </w: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Committee</w:t>
            </w: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Multi-Year</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on performance</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(Percentage of</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Determined</w:t>
            </w:r>
          </w:p>
        </w:tc>
        <w:tc>
          <w:tcPr>
            <w:tcW w:w="1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Recommends to</w:t>
            </w: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against goals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Salary)</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tcPr>
          <w:p>
            <w:pPr>
              <w:spacing w:after="0"/>
              <w:rPr>
                <w:sz w:val="10"/>
                <w:szCs w:val="10"/>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w w:val="98"/>
              </w:rPr>
              <w:t>Board</w:t>
            </w: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Performance</w:t>
            </w: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EVA / Improvement</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EBITDA</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Sales Growth</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Metrics</w:t>
            </w:r>
          </w:p>
        </w:tc>
        <w:tc>
          <w:tcPr>
            <w:tcW w:w="1280" w:type="dxa"/>
            <w:vAlign w:val="bottom"/>
            <w:vMerge w:val="restart"/>
          </w:tcPr>
          <w:p>
            <w:pPr>
              <w:jc w:val="center"/>
              <w:ind w:left="79"/>
              <w:spacing w:after="0"/>
              <w:rPr>
                <w:sz w:val="20"/>
                <w:szCs w:val="20"/>
                <w:color w:val="auto"/>
              </w:rPr>
            </w:pPr>
            <w:r>
              <w:rPr>
                <w:rFonts w:ascii="Arial" w:cs="Arial" w:eastAsia="Arial" w:hAnsi="Arial"/>
                <w:sz w:val="16"/>
                <w:szCs w:val="16"/>
                <w:color w:val="auto"/>
              </w:rPr>
              <w:t>Assessment</w:t>
            </w: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in EBITDA</w:t>
            </w: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vMerge w:val="continue"/>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At-Risk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graphics below illustrate the mix of 2021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200"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p>
      <w:pPr>
        <w:spacing w:after="0" w:line="3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257810</wp:posOffset>
            </wp:positionV>
            <wp:extent cx="5648960" cy="1945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896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26035</wp:posOffset>
            </wp:positionV>
            <wp:extent cx="5777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p>
      <w:pPr>
        <w:spacing w:after="0" w:line="16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www.alliedmotion.com/corporate-governance/.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Named Executive Officers and other key management. The Compensation Committee recommends annual base compensation and incentive compensation targets to the Board, and it also makes equity awards under the Company’s 2017 Omnibus Incentive Plan and reviews the attainment of annual goals for incentive compensation.</w:t>
      </w:r>
    </w:p>
    <w:p>
      <w:pPr>
        <w:spacing w:after="0" w:line="274"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The Compensation Committee meets with Mr.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Warzala’s compensation with him but makes decisions regarding his recommended compensation without him present.</w:t>
      </w:r>
    </w:p>
    <w:p>
      <w:pPr>
        <w:spacing w:after="0" w:line="81"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The Compensation Committee has authorized Mr. Warzala to make salary adjustments for all employees other than Named Executive Officers and other key management. Additionally, the Compensation Committee has from time to time delegated to Mr. Warzala the authority to grant restricted stock awards to employees other than Named Executive Officers or key management in limited annual amounts. Such awards made by Mr. Warzala are generally intended to be used for employee recruiting, employee retention and promotion purposes. The one exception to these authorities is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that the Compensation Committee retains approval authority for all salary adjustments and grants of restricted stock for Stephen Warzala, Director of New Business Development, who is the son of Mr. Warzala.</w:t>
      </w:r>
    </w:p>
    <w:p>
      <w:pPr>
        <w:spacing w:after="0" w:line="70"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Under the direction of the Compensation Committee, the Company has retained the Burke Group, an independent compensation consultant, to prepare a study that provided input on trends in executive compensation and an outside perspective on the Company’s executive compensation philosophy, programs and practices, while periodically assisting with the Compensation Committee’s peer group benchmarking analysis.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Compensation Committee has the sole authority to retain and terminate the compensation consultant and to approve the compensation consultant’s fees and all other terms of the engagement. The Compensation Committee exercised this authority to engage the Burke Group.</w:t>
      </w:r>
    </w:p>
    <w:p>
      <w:pPr>
        <w:spacing w:after="0" w:line="7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the Burke Group is independent in providing executive compensation consulting services. The Compensation Committee reviews its relationship with the Burke Group at least annually and in 2021 determined that the Burke Group’s work for the Compensation Committee did not raise any conflicts of interest, consistent with the guidance provided under the Dodd-Frank Wall Street Reform and Consumer Protection Act, the SEC and the Nasdaq Global Market. Burke Group does provide actuarial services on behalf of the Company for a defined benefit pension at Motor Products – Owosso. The total fees for these services were $42,358 and were taken into account by the Compensation Committee in making its independence determination.</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changes which were made in 2021 compensation based on the Compensation Committee’s analysis after the advice of Burke Group were as follows:</w:t>
      </w:r>
    </w:p>
    <w:p>
      <w:pPr>
        <w:spacing w:after="0" w:line="6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u w:val="single" w:color="auto"/>
          <w:color w:val="auto"/>
        </w:rPr>
        <w:t>ROE Incentive Plan</w:t>
      </w:r>
      <w:r>
        <w:rPr>
          <w:rFonts w:ascii="Arial" w:cs="Arial" w:eastAsia="Arial" w:hAnsi="Arial"/>
          <w:sz w:val="16"/>
          <w:szCs w:val="16"/>
          <w:color w:val="auto"/>
        </w:rPr>
        <w:t>. The Compensation Committee eliminated the incentive plan which made payments to Mr. Warzala based on the Company’s attainment of a goal based on return on equity (the “ROE Incentive Plan”) for 2021. The Compensation Committee made the change to align the metrics used to determine incentive compensation for the Company’s Named Executive Officers. The</w:t>
      </w:r>
    </w:p>
    <w:p>
      <w:pPr>
        <w:spacing w:after="0" w:line="200" w:lineRule="exact"/>
        <w:rPr>
          <w:sz w:val="20"/>
          <w:szCs w:val="20"/>
          <w:color w:val="auto"/>
        </w:rPr>
      </w:pPr>
    </w:p>
    <w:p>
      <w:pPr>
        <w:sectPr>
          <w:pgSz w:w="11900" w:h="16838" w:orient="portrait"/>
          <w:cols w:equalWidth="0" w:num="2">
            <w:col w:w="4660" w:space="220"/>
            <w:col w:w="4440"/>
          </w:cols>
          <w:pgMar w:left="1280" w:top="263" w:right="129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18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Compensation Committee increased Mr. Warzala’s target incentives under other incentive compensation plans to make up for the elimination of the ROE Incentive Plan.</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u w:val="single" w:color="auto"/>
          <w:color w:val="auto"/>
        </w:rPr>
        <w:t>Adjustment of CEO Target Incentives</w:t>
      </w:r>
      <w:r>
        <w:rPr>
          <w:rFonts w:ascii="Arial" w:cs="Arial" w:eastAsia="Arial" w:hAnsi="Arial"/>
          <w:sz w:val="16"/>
          <w:szCs w:val="16"/>
          <w:color w:val="auto"/>
        </w:rPr>
        <w:t>. In connection with the elimination of the ROE Incentive Plan,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Committee revised Mr. Warzala’s target incentives (as a percentage of base salary) under the Company’s Annual Cash Incentive; Performance Share Plan; Time-Based Awards for 2021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215900</wp:posOffset>
            </wp:positionV>
            <wp:extent cx="57778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380" w:space="280"/>
            <w:col w:w="4660"/>
          </w:cols>
          <w:pgMar w:left="1280" w:top="263" w:right="12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78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Element of Compensation</w:t>
            </w:r>
          </w:p>
        </w:tc>
        <w:tc>
          <w:tcPr>
            <w:tcW w:w="3580" w:type="dxa"/>
            <w:vAlign w:val="bottom"/>
          </w:tcPr>
          <w:p>
            <w:pPr>
              <w:jc w:val="right"/>
              <w:ind w:right="564"/>
              <w:spacing w:after="0"/>
              <w:rPr>
                <w:sz w:val="20"/>
                <w:szCs w:val="20"/>
                <w:color w:val="auto"/>
              </w:rPr>
            </w:pPr>
            <w:r>
              <w:rPr>
                <w:rFonts w:ascii="Arial" w:cs="Arial" w:eastAsia="Arial" w:hAnsi="Arial"/>
                <w:sz w:val="15"/>
                <w:szCs w:val="15"/>
                <w:b w:val="1"/>
                <w:bCs w:val="1"/>
                <w:color w:val="2F5DA8"/>
              </w:rPr>
              <w:t>2020 Target as Percentage of</w:t>
            </w:r>
          </w:p>
        </w:tc>
        <w:tc>
          <w:tcPr>
            <w:tcW w:w="2740" w:type="dxa"/>
            <w:vAlign w:val="bottom"/>
          </w:tcPr>
          <w:p>
            <w:pPr>
              <w:jc w:val="right"/>
              <w:spacing w:after="0"/>
              <w:rPr>
                <w:sz w:val="20"/>
                <w:szCs w:val="20"/>
                <w:color w:val="auto"/>
              </w:rPr>
            </w:pPr>
            <w:r>
              <w:rPr>
                <w:rFonts w:ascii="Arial" w:cs="Arial" w:eastAsia="Arial" w:hAnsi="Arial"/>
                <w:sz w:val="15"/>
                <w:szCs w:val="15"/>
                <w:b w:val="1"/>
                <w:bCs w:val="1"/>
                <w:color w:val="2F5DA8"/>
              </w:rPr>
              <w:t>2021 Target as Percentage of</w:t>
            </w:r>
          </w:p>
        </w:tc>
        <w:tc>
          <w:tcPr>
            <w:tcW w:w="0" w:type="dxa"/>
            <w:vAlign w:val="bottom"/>
          </w:tcPr>
          <w:p>
            <w:pPr>
              <w:spacing w:after="0"/>
              <w:rPr>
                <w:sz w:val="1"/>
                <w:szCs w:val="1"/>
                <w:color w:val="auto"/>
              </w:rPr>
            </w:pPr>
          </w:p>
        </w:tc>
      </w:tr>
      <w:tr>
        <w:trPr>
          <w:trHeight w:val="210"/>
        </w:trPr>
        <w:tc>
          <w:tcPr>
            <w:tcW w:w="2780" w:type="dxa"/>
            <w:vAlign w:val="bottom"/>
            <w:vMerge w:val="continue"/>
          </w:tcPr>
          <w:p>
            <w:pPr>
              <w:spacing w:after="0"/>
              <w:rPr>
                <w:sz w:val="18"/>
                <w:szCs w:val="18"/>
                <w:color w:val="auto"/>
              </w:rPr>
            </w:pPr>
          </w:p>
        </w:tc>
        <w:tc>
          <w:tcPr>
            <w:tcW w:w="3580" w:type="dxa"/>
            <w:vAlign w:val="bottom"/>
          </w:tcPr>
          <w:p>
            <w:pPr>
              <w:jc w:val="right"/>
              <w:ind w:right="504"/>
              <w:spacing w:after="0"/>
              <w:rPr>
                <w:sz w:val="20"/>
                <w:szCs w:val="20"/>
                <w:color w:val="auto"/>
              </w:rPr>
            </w:pPr>
            <w:r>
              <w:rPr>
                <w:rFonts w:ascii="Arial" w:cs="Arial" w:eastAsia="Arial" w:hAnsi="Arial"/>
                <w:sz w:val="15"/>
                <w:szCs w:val="15"/>
                <w:b w:val="1"/>
                <w:bCs w:val="1"/>
                <w:color w:val="2F5DA8"/>
              </w:rPr>
              <w:t>Base Salary</w:t>
            </w:r>
          </w:p>
        </w:tc>
        <w:tc>
          <w:tcPr>
            <w:tcW w:w="2740" w:type="dxa"/>
            <w:vAlign w:val="bottom"/>
          </w:tcPr>
          <w:p>
            <w:pPr>
              <w:jc w:val="right"/>
              <w:spacing w:after="0"/>
              <w:rPr>
                <w:sz w:val="20"/>
                <w:szCs w:val="20"/>
                <w:color w:val="auto"/>
              </w:rPr>
            </w:pPr>
            <w:r>
              <w:rPr>
                <w:rFonts w:ascii="Arial" w:cs="Arial" w:eastAsia="Arial" w:hAnsi="Arial"/>
                <w:sz w:val="15"/>
                <w:szCs w:val="15"/>
                <w:b w:val="1"/>
                <w:bCs w:val="1"/>
                <w:color w:val="2F5DA8"/>
              </w:rPr>
              <w:t>Base Salary</w:t>
            </w:r>
          </w:p>
        </w:tc>
        <w:tc>
          <w:tcPr>
            <w:tcW w:w="0" w:type="dxa"/>
            <w:vAlign w:val="bottom"/>
          </w:tcPr>
          <w:p>
            <w:pPr>
              <w:spacing w:after="0"/>
              <w:rPr>
                <w:sz w:val="1"/>
                <w:szCs w:val="1"/>
                <w:color w:val="auto"/>
              </w:rPr>
            </w:pPr>
          </w:p>
        </w:tc>
      </w:tr>
      <w:tr>
        <w:trPr>
          <w:trHeight w:val="52"/>
        </w:trPr>
        <w:tc>
          <w:tcPr>
            <w:tcW w:w="2780" w:type="dxa"/>
            <w:vAlign w:val="bottom"/>
            <w:tcBorders>
              <w:bottom w:val="single" w:sz="8" w:color="2F5DA8"/>
            </w:tcBorders>
          </w:tcPr>
          <w:p>
            <w:pPr>
              <w:spacing w:after="0"/>
              <w:rPr>
                <w:sz w:val="4"/>
                <w:szCs w:val="4"/>
                <w:color w:val="auto"/>
              </w:rPr>
            </w:pPr>
          </w:p>
        </w:tc>
        <w:tc>
          <w:tcPr>
            <w:tcW w:w="3580" w:type="dxa"/>
            <w:vAlign w:val="bottom"/>
            <w:tcBorders>
              <w:bottom w:val="single" w:sz="8" w:color="2F5DA8"/>
            </w:tcBorders>
          </w:tcPr>
          <w:p>
            <w:pPr>
              <w:spacing w:after="0"/>
              <w:rPr>
                <w:sz w:val="4"/>
                <w:szCs w:val="4"/>
                <w:color w:val="auto"/>
              </w:rPr>
            </w:pPr>
          </w:p>
        </w:tc>
        <w:tc>
          <w:tcPr>
            <w:tcW w:w="274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780" w:type="dxa"/>
            <w:vAlign w:val="bottom"/>
          </w:tcPr>
          <w:p>
            <w:pPr>
              <w:ind w:left="40"/>
              <w:spacing w:after="0"/>
              <w:rPr>
                <w:sz w:val="20"/>
                <w:szCs w:val="20"/>
                <w:color w:val="auto"/>
              </w:rPr>
            </w:pPr>
            <w:r>
              <w:rPr>
                <w:rFonts w:ascii="Arial" w:cs="Arial" w:eastAsia="Arial" w:hAnsi="Arial"/>
                <w:sz w:val="15"/>
                <w:szCs w:val="15"/>
                <w:color w:val="auto"/>
              </w:rPr>
              <w:t>ROE Incentive Plan</w:t>
            </w:r>
          </w:p>
        </w:tc>
        <w:tc>
          <w:tcPr>
            <w:tcW w:w="3580" w:type="dxa"/>
            <w:vAlign w:val="bottom"/>
          </w:tcPr>
          <w:p>
            <w:pPr>
              <w:jc w:val="right"/>
              <w:ind w:right="524"/>
              <w:spacing w:after="0"/>
              <w:rPr>
                <w:sz w:val="20"/>
                <w:szCs w:val="20"/>
                <w:color w:val="auto"/>
              </w:rPr>
            </w:pPr>
            <w:r>
              <w:rPr>
                <w:rFonts w:ascii="Arial" w:cs="Arial" w:eastAsia="Arial" w:hAnsi="Arial"/>
                <w:sz w:val="15"/>
                <w:szCs w:val="15"/>
                <w:color w:val="auto"/>
              </w:rPr>
              <w:t>100%</w:t>
            </w:r>
          </w:p>
        </w:tc>
        <w:tc>
          <w:tcPr>
            <w:tcW w:w="2740" w:type="dxa"/>
            <w:vAlign w:val="bottom"/>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60"/>
        </w:trPr>
        <w:tc>
          <w:tcPr>
            <w:tcW w:w="278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80" w:type="dxa"/>
            <w:vAlign w:val="bottom"/>
          </w:tcPr>
          <w:p>
            <w:pPr>
              <w:ind w:left="40"/>
              <w:spacing w:after="0"/>
              <w:rPr>
                <w:sz w:val="20"/>
                <w:szCs w:val="20"/>
                <w:color w:val="auto"/>
              </w:rPr>
            </w:pPr>
            <w:r>
              <w:rPr>
                <w:rFonts w:ascii="Arial" w:cs="Arial" w:eastAsia="Arial" w:hAnsi="Arial"/>
                <w:sz w:val="15"/>
                <w:szCs w:val="15"/>
                <w:color w:val="auto"/>
              </w:rPr>
              <w:t>Annual Cash Incentive</w:t>
            </w:r>
          </w:p>
        </w:tc>
        <w:tc>
          <w:tcPr>
            <w:tcW w:w="3580" w:type="dxa"/>
            <w:vAlign w:val="bottom"/>
          </w:tcPr>
          <w:p>
            <w:pPr>
              <w:jc w:val="right"/>
              <w:ind w:right="524"/>
              <w:spacing w:after="0"/>
              <w:rPr>
                <w:sz w:val="20"/>
                <w:szCs w:val="20"/>
                <w:color w:val="auto"/>
              </w:rPr>
            </w:pPr>
            <w:r>
              <w:rPr>
                <w:rFonts w:ascii="Arial" w:cs="Arial" w:eastAsia="Arial" w:hAnsi="Arial"/>
                <w:sz w:val="15"/>
                <w:szCs w:val="15"/>
                <w:color w:val="auto"/>
              </w:rPr>
              <w:t>75%</w:t>
            </w:r>
          </w:p>
        </w:tc>
        <w:tc>
          <w:tcPr>
            <w:tcW w:w="2740" w:type="dxa"/>
            <w:vAlign w:val="bottom"/>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60"/>
        </w:trPr>
        <w:tc>
          <w:tcPr>
            <w:tcW w:w="278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80" w:type="dxa"/>
            <w:vAlign w:val="bottom"/>
          </w:tcPr>
          <w:p>
            <w:pPr>
              <w:ind w:left="40"/>
              <w:spacing w:after="0"/>
              <w:rPr>
                <w:sz w:val="20"/>
                <w:szCs w:val="20"/>
                <w:color w:val="auto"/>
              </w:rPr>
            </w:pPr>
            <w:r>
              <w:rPr>
                <w:rFonts w:ascii="Arial" w:cs="Arial" w:eastAsia="Arial" w:hAnsi="Arial"/>
                <w:sz w:val="15"/>
                <w:szCs w:val="15"/>
                <w:color w:val="auto"/>
              </w:rPr>
              <w:t>Performance Share Plan</w:t>
            </w:r>
          </w:p>
        </w:tc>
        <w:tc>
          <w:tcPr>
            <w:tcW w:w="3580" w:type="dxa"/>
            <w:vAlign w:val="bottom"/>
          </w:tcPr>
          <w:p>
            <w:pPr>
              <w:jc w:val="right"/>
              <w:ind w:right="524"/>
              <w:spacing w:after="0"/>
              <w:rPr>
                <w:sz w:val="20"/>
                <w:szCs w:val="20"/>
                <w:color w:val="auto"/>
              </w:rPr>
            </w:pPr>
            <w:r>
              <w:rPr>
                <w:rFonts w:ascii="Arial" w:cs="Arial" w:eastAsia="Arial" w:hAnsi="Arial"/>
                <w:sz w:val="15"/>
                <w:szCs w:val="15"/>
                <w:color w:val="auto"/>
              </w:rPr>
              <w:t>50%</w:t>
            </w:r>
          </w:p>
        </w:tc>
        <w:tc>
          <w:tcPr>
            <w:tcW w:w="2740" w:type="dxa"/>
            <w:vAlign w:val="bottom"/>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60"/>
        </w:trPr>
        <w:tc>
          <w:tcPr>
            <w:tcW w:w="278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78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Time-Based Awards</w:t>
            </w:r>
          </w:p>
        </w:tc>
        <w:tc>
          <w:tcPr>
            <w:tcW w:w="3580" w:type="dxa"/>
            <w:vAlign w:val="bottom"/>
            <w:tcBorders>
              <w:bottom w:val="single" w:sz="8" w:color="2F5DA8"/>
            </w:tcBorders>
          </w:tcPr>
          <w:p>
            <w:pPr>
              <w:jc w:val="right"/>
              <w:ind w:right="524"/>
              <w:spacing w:after="0"/>
              <w:rPr>
                <w:sz w:val="20"/>
                <w:szCs w:val="20"/>
                <w:color w:val="auto"/>
              </w:rPr>
            </w:pPr>
            <w:r>
              <w:rPr>
                <w:rFonts w:ascii="Arial" w:cs="Arial" w:eastAsia="Arial" w:hAnsi="Arial"/>
                <w:sz w:val="15"/>
                <w:szCs w:val="15"/>
                <w:color w:val="auto"/>
              </w:rPr>
              <w:t>50%</w:t>
            </w:r>
          </w:p>
        </w:tc>
        <w:tc>
          <w:tcPr>
            <w:tcW w:w="27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9320"/>
          </w:cols>
          <w:pgMar w:left="1280" w:top="263" w:right="1299" w:bottom="1440" w:gutter="0" w:footer="0" w:header="0"/>
          <w:type w:val="continuous"/>
        </w:sectPr>
      </w:pPr>
    </w:p>
    <w:p>
      <w:pPr>
        <w:spacing w:after="0" w:line="266" w:lineRule="auto"/>
        <w:rPr>
          <w:sz w:val="20"/>
          <w:szCs w:val="20"/>
          <w:color w:val="auto"/>
        </w:rPr>
      </w:pPr>
      <w:r>
        <w:rPr>
          <w:rFonts w:ascii="Arial" w:cs="Arial" w:eastAsia="Arial" w:hAnsi="Arial"/>
          <w:sz w:val="16"/>
          <w:szCs w:val="16"/>
          <w:u w:val="single" w:color="auto"/>
          <w:color w:val="auto"/>
        </w:rPr>
        <w:t>LTIP Sales Target</w:t>
      </w:r>
      <w:r>
        <w:rPr>
          <w:rFonts w:ascii="Arial" w:cs="Arial" w:eastAsia="Arial" w:hAnsi="Arial"/>
          <w:sz w:val="16"/>
          <w:szCs w:val="16"/>
          <w:color w:val="auto"/>
        </w:rPr>
        <w:t>. To take account of adverse impacts on the Company’s growth in 2020 resulting from the global COVID-19 pandemic, the LTIP Sales Target was reduced</w:t>
      </w:r>
    </w:p>
    <w:p>
      <w:pPr>
        <w:spacing w:after="0" w:line="20" w:lineRule="exact"/>
        <w:rPr>
          <w:sz w:val="20"/>
          <w:szCs w:val="20"/>
          <w:color w:val="auto"/>
        </w:rPr>
      </w:pPr>
      <w:r>
        <w:rPr>
          <w:sz w:val="20"/>
          <w:szCs w:val="20"/>
          <w:color w:val="auto"/>
        </w:rPr>
        <w:br w:type="column"/>
      </w:r>
    </w:p>
    <w:p>
      <w:pPr>
        <w:jc w:val="both"/>
        <w:ind w:right="420"/>
        <w:spacing w:after="0" w:line="266" w:lineRule="auto"/>
        <w:rPr>
          <w:sz w:val="20"/>
          <w:szCs w:val="20"/>
          <w:color w:val="auto"/>
        </w:rPr>
      </w:pPr>
      <w:r>
        <w:rPr>
          <w:rFonts w:ascii="Arial" w:cs="Arial" w:eastAsia="Arial" w:hAnsi="Arial"/>
          <w:sz w:val="16"/>
          <w:szCs w:val="16"/>
          <w:color w:val="auto"/>
        </w:rPr>
        <w:t>from $500 million to $450 million. Other than the revision to the LTIP Sales Target, the terms and conditions of the LTIP were unchanged and remain in full force and effect.</w:t>
      </w:r>
    </w:p>
    <w:p>
      <w:pPr>
        <w:spacing w:after="0" w:line="72" w:lineRule="exact"/>
        <w:rPr>
          <w:sz w:val="20"/>
          <w:szCs w:val="20"/>
          <w:color w:val="auto"/>
        </w:rPr>
      </w:pPr>
    </w:p>
    <w:p>
      <w:pPr>
        <w:sectPr>
          <w:pgSz w:w="11900" w:h="16838" w:orient="portrait"/>
          <w:cols w:equalWidth="0" w:num="2">
            <w:col w:w="4400" w:space="26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Peer Group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2021, the Compensation Committee relied on a Peer Group Analysis prepared by the Burke Group to evaluate compensation levels for Named Executive Officers. The Peer Group recommended by the Burke Group and used by the Compensation Committee is based on similarly sized manufacturing companies. The Burke Group analyzed competitive total direct compensation at the Peer Companies,</w:t>
      </w:r>
    </w:p>
    <w:p>
      <w:pPr>
        <w:spacing w:after="0" w:line="100"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AeroVironment Inc.</w:t>
      </w:r>
    </w:p>
    <w:p>
      <w:pPr>
        <w:spacing w:after="0" w:line="21"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Astronics Corporation</w:t>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Enphase Energy, Inc.</w:t>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Helios Technologies Inc.</w:t>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LSI Industries, Inc.</w:t>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National Presto Industries, Inc.</w:t>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Onto Innovation 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as disclosed in their proxy statements for prior years. The Compensation Committee periodically evaluates the appropriateness of the Peer Group (based on merger and acquisition activity, growth, business focus, etc.). The peer group used for benchmarking 2021 compensation was unchanged from 2020. The members of the Peer Group for 2021 are as follows:</w:t>
      </w:r>
    </w:p>
    <w:p>
      <w:pPr>
        <w:spacing w:after="0" w:line="10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Preformed Line Products Co.</w:t>
      </w: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Proto Labs, Inc.</w:t>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Gorman-Rupp Co.</w:t>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Thermon Group Holdings, Inc.</w:t>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Twin Disc Incorporated</w:t>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Vicor Corporation</w:t>
      </w:r>
    </w:p>
    <w:p>
      <w:pPr>
        <w:spacing w:after="0" w:line="388" w:lineRule="exact"/>
        <w:rPr>
          <w:sz w:val="20"/>
          <w:szCs w:val="20"/>
          <w:color w:val="auto"/>
        </w:rPr>
      </w:pPr>
    </w:p>
    <w:p>
      <w:pPr>
        <w:sectPr>
          <w:pgSz w:w="11900" w:h="16838" w:orient="portrait"/>
          <w:cols w:equalWidth="0" w:num="2">
            <w:col w:w="4420" w:space="240"/>
            <w:col w:w="4660"/>
          </w:cols>
          <w:pgMar w:left="1280" w:top="263" w:right="129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and targets of executive compensation are:</w:t>
      </w:r>
    </w:p>
    <w:p>
      <w:pPr>
        <w:spacing w:after="0" w:line="32" w:lineRule="exact"/>
        <w:rPr>
          <w:sz w:val="20"/>
          <w:szCs w:val="20"/>
          <w:color w:val="auto"/>
        </w:rPr>
      </w:pPr>
    </w:p>
    <w:p>
      <w:pPr>
        <w:ind w:left="180" w:hanging="178"/>
        <w:spacing w:after="0"/>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 Compensation</w:t>
      </w:r>
    </w:p>
    <w:p>
      <w:pPr>
        <w:spacing w:after="0" w:line="45" w:lineRule="exact"/>
        <w:rPr>
          <w:rFonts w:ascii="Arial" w:cs="Arial" w:eastAsia="Arial" w:hAnsi="Arial"/>
          <w:sz w:val="16"/>
          <w:szCs w:val="16"/>
          <w:color w:val="auto"/>
        </w:rPr>
      </w:pPr>
    </w:p>
    <w:p>
      <w:pPr>
        <w:ind w:left="540" w:hanging="178"/>
        <w:spacing w:after="0"/>
        <w:tabs>
          <w:tab w:leader="none" w:pos="5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At market as defined as the 50th percentile</w:t>
      </w:r>
    </w:p>
    <w:p>
      <w:pPr>
        <w:spacing w:after="0" w:line="45" w:lineRule="exact"/>
        <w:rPr>
          <w:rFonts w:ascii="Arial" w:cs="Arial" w:eastAsia="Arial" w:hAnsi="Arial"/>
          <w:sz w:val="16"/>
          <w:szCs w:val="16"/>
          <w:color w:val="auto"/>
        </w:rPr>
      </w:pPr>
    </w:p>
    <w:p>
      <w:pPr>
        <w:ind w:left="180" w:hanging="178"/>
        <w:spacing w:after="0"/>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 Cash Incentive Compensation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scope of responsibilities and future potential, the goals and objectives established for the individual, his or her past performance and competitive compensation practices both internally and externally.</w:t>
      </w:r>
    </w:p>
    <w:p>
      <w:pPr>
        <w:spacing w:after="0" w:line="85" w:lineRule="exact"/>
        <w:rPr>
          <w:sz w:val="20"/>
          <w:szCs w:val="20"/>
          <w:color w:val="auto"/>
        </w:rPr>
      </w:pPr>
    </w:p>
    <w:p>
      <w:pPr>
        <w:sectPr>
          <w:pgSz w:w="11900" w:h="16838" w:orient="portrait"/>
          <w:cols w:equalWidth="0" w:num="2">
            <w:col w:w="4420" w:space="240"/>
            <w:col w:w="4660"/>
          </w:cols>
          <w:pgMar w:left="1280" w:top="263" w:right="1299" w:bottom="1440" w:gutter="0" w:footer="0" w:header="0"/>
          <w:type w:val="continuous"/>
        </w:sectPr>
      </w:pPr>
    </w:p>
    <w:p>
      <w:pPr>
        <w:spacing w:after="0" w:line="11" w:lineRule="exact"/>
        <w:rPr>
          <w:sz w:val="20"/>
          <w:szCs w:val="20"/>
          <w:color w:val="auto"/>
        </w:rPr>
      </w:pPr>
    </w:p>
    <w:p>
      <w:pPr>
        <w:ind w:left="540" w:right="40" w:hanging="178"/>
        <w:spacing w:after="0" w:line="264" w:lineRule="auto"/>
        <w:tabs>
          <w:tab w:leader="none" w:pos="5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At market as defined as the 50th percentile for the achievement of Target and above market once Target is achieved</w:t>
      </w:r>
    </w:p>
    <w:p>
      <w:pPr>
        <w:ind w:left="180" w:hanging="178"/>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45" w:lineRule="exact"/>
        <w:rPr>
          <w:rFonts w:ascii="Arial" w:cs="Arial" w:eastAsia="Arial" w:hAnsi="Arial"/>
          <w:sz w:val="16"/>
          <w:szCs w:val="16"/>
          <w:color w:val="auto"/>
        </w:rPr>
      </w:pPr>
    </w:p>
    <w:p>
      <w:pPr>
        <w:ind w:left="540" w:hanging="178"/>
        <w:spacing w:after="0"/>
        <w:tabs>
          <w:tab w:leader="none" w:pos="5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Above market when performance is achieved</w:t>
      </w:r>
    </w:p>
    <w:p>
      <w:pPr>
        <w:spacing w:after="0" w:line="11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xml:space="preserve"> . Base compensation is comprised of the annual salary and is set at levels sufficient to attract and retain executives. In determining Mr. Warzala’s base compensation, the Compensation Committee considers market data, Mr. Warzala’s performance and the Company’s performance during the previous year as well as goals and objectives for the current year. In determining other base compensation levels, the Compensation Committee reviews and considers the evaluation and recommendation by</w:t>
      </w:r>
    </w:p>
    <w:p>
      <w:pPr>
        <w:spacing w:after="0" w:line="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Warzala of each Named Executive Officer’s and certain key manager’s performance during the prior year as well as responsibilities for the current year. During the review of base compensation, the Compensation Committee also considers the executive’s or manager’s qualifications and experience,</w:t>
      </w:r>
    </w:p>
    <w:p>
      <w:pPr>
        <w:spacing w:after="0" w:line="20" w:lineRule="exact"/>
        <w:rPr>
          <w:sz w:val="20"/>
          <w:szCs w:val="20"/>
          <w:color w:val="auto"/>
        </w:rPr>
      </w:pPr>
      <w:r>
        <w:rPr>
          <w:sz w:val="20"/>
          <w:szCs w:val="20"/>
          <w:color w:val="auto"/>
        </w:rPr>
        <w:br w:type="column"/>
      </w:r>
    </w:p>
    <w:p>
      <w:pPr>
        <w:ind w:right="220"/>
        <w:spacing w:after="0" w:line="247" w:lineRule="auto"/>
        <w:rPr>
          <w:sz w:val="20"/>
          <w:szCs w:val="20"/>
          <w:color w:val="auto"/>
        </w:rPr>
      </w:pPr>
      <w:r>
        <w:rPr>
          <w:rFonts w:ascii="Arial" w:cs="Arial" w:eastAsia="Arial" w:hAnsi="Arial"/>
          <w:sz w:val="16"/>
          <w:szCs w:val="16"/>
          <w:u w:val="single" w:color="auto"/>
          <w:color w:val="auto"/>
        </w:rPr>
        <w:t>Annual Cash Incentive Plan</w:t>
      </w:r>
      <w:r>
        <w:rPr>
          <w:rFonts w:ascii="Arial" w:cs="Arial" w:eastAsia="Arial" w:hAnsi="Arial"/>
          <w:sz w:val="16"/>
          <w:szCs w:val="16"/>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w:t>
      </w:r>
    </w:p>
    <w:p>
      <w:pPr>
        <w:spacing w:after="0" w:line="200" w:lineRule="exact"/>
        <w:rPr>
          <w:sz w:val="20"/>
          <w:szCs w:val="20"/>
          <w:color w:val="auto"/>
        </w:rPr>
      </w:pPr>
    </w:p>
    <w:p>
      <w:pPr>
        <w:sectPr>
          <w:pgSz w:w="11900" w:h="16838" w:orient="portrait"/>
          <w:cols w:equalWidth="0" w:num="2">
            <w:col w:w="4400" w:space="260"/>
            <w:col w:w="4660"/>
          </w:cols>
          <w:pgMar w:left="1280" w:top="263" w:right="1299" w:bottom="1440" w:gutter="0" w:footer="0" w:header="0"/>
          <w:type w:val="continuous"/>
        </w:sectPr>
      </w:pPr>
    </w:p>
    <w:p>
      <w:pPr>
        <w:spacing w:after="0" w:line="4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color w:val="auto"/>
        </w:rPr>
        <w:t>with the total award being a prorata percent of the incremental EVA achieved above the target EVA. For 2021, the target incentives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27305</wp:posOffset>
            </wp:positionV>
            <wp:extent cx="2820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3140" w:type="dxa"/>
            <w:vAlign w:val="bottom"/>
          </w:tcPr>
          <w:p>
            <w:pPr>
              <w:ind w:left="40"/>
              <w:spacing w:after="0"/>
              <w:rPr>
                <w:sz w:val="20"/>
                <w:szCs w:val="20"/>
                <w:color w:val="auto"/>
              </w:rPr>
            </w:pPr>
            <w:r>
              <w:rPr>
                <w:rFonts w:ascii="Arial" w:cs="Arial" w:eastAsia="Arial" w:hAnsi="Arial"/>
                <w:sz w:val="15"/>
                <w:szCs w:val="15"/>
                <w:color w:val="auto"/>
              </w:rPr>
              <w:t>Chief Executive Officer</w:t>
            </w:r>
          </w:p>
        </w:tc>
        <w:tc>
          <w:tcPr>
            <w:tcW w:w="130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60"/>
        </w:trPr>
        <w:tc>
          <w:tcPr>
            <w:tcW w:w="3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8"/>
        </w:trPr>
        <w:tc>
          <w:tcPr>
            <w:tcW w:w="3140" w:type="dxa"/>
            <w:vAlign w:val="bottom"/>
          </w:tcPr>
          <w:p>
            <w:pPr>
              <w:ind w:left="40"/>
              <w:spacing w:after="0"/>
              <w:rPr>
                <w:sz w:val="20"/>
                <w:szCs w:val="20"/>
                <w:color w:val="auto"/>
              </w:rPr>
            </w:pPr>
            <w:r>
              <w:rPr>
                <w:rFonts w:ascii="Arial" w:cs="Arial" w:eastAsia="Arial" w:hAnsi="Arial"/>
                <w:sz w:val="15"/>
                <w:szCs w:val="15"/>
                <w:color w:val="auto"/>
              </w:rPr>
              <w:t>Chief Financial Officer</w:t>
            </w:r>
          </w:p>
        </w:tc>
        <w:tc>
          <w:tcPr>
            <w:tcW w:w="13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0"/>
        </w:trPr>
        <w:tc>
          <w:tcPr>
            <w:tcW w:w="3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8"/>
        </w:trPr>
        <w:tc>
          <w:tcPr>
            <w:tcW w:w="3140" w:type="dxa"/>
            <w:vAlign w:val="bottom"/>
          </w:tcPr>
          <w:p>
            <w:pPr>
              <w:ind w:left="40"/>
              <w:spacing w:after="0"/>
              <w:rPr>
                <w:sz w:val="20"/>
                <w:szCs w:val="20"/>
                <w:color w:val="auto"/>
              </w:rPr>
            </w:pPr>
            <w:r>
              <w:rPr>
                <w:rFonts w:ascii="Arial" w:cs="Arial" w:eastAsia="Arial" w:hAnsi="Arial"/>
                <w:sz w:val="15"/>
                <w:szCs w:val="15"/>
                <w:color w:val="auto"/>
              </w:rPr>
              <w:t>President, Allied Innovum Group</w:t>
            </w:r>
          </w:p>
        </w:tc>
        <w:tc>
          <w:tcPr>
            <w:tcW w:w="13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0"/>
        </w:trPr>
        <w:tc>
          <w:tcPr>
            <w:tcW w:w="3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8"/>
        </w:trPr>
        <w:tc>
          <w:tcPr>
            <w:tcW w:w="3140" w:type="dxa"/>
            <w:vAlign w:val="bottom"/>
          </w:tcPr>
          <w:p>
            <w:pPr>
              <w:ind w:left="40"/>
              <w:spacing w:after="0"/>
              <w:rPr>
                <w:sz w:val="20"/>
                <w:szCs w:val="20"/>
                <w:color w:val="auto"/>
              </w:rPr>
            </w:pPr>
            <w:r>
              <w:rPr>
                <w:rFonts w:ascii="Arial" w:cs="Arial" w:eastAsia="Arial" w:hAnsi="Arial"/>
                <w:sz w:val="15"/>
                <w:szCs w:val="15"/>
                <w:color w:val="auto"/>
              </w:rPr>
              <w:t>President, Allied Dynamos Group</w:t>
            </w:r>
          </w:p>
        </w:tc>
        <w:tc>
          <w:tcPr>
            <w:tcW w:w="13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60"/>
        </w:trPr>
        <w:tc>
          <w:tcPr>
            <w:tcW w:w="3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0"/>
        </w:trPr>
        <w:tc>
          <w:tcPr>
            <w:tcW w:w="314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President, Allied Orion Group</w:t>
            </w:r>
          </w:p>
        </w:tc>
        <w:tc>
          <w:tcPr>
            <w:tcW w:w="13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14.5%</w:t>
            </w:r>
          </w:p>
        </w:tc>
      </w:tr>
    </w:tbl>
    <w:p>
      <w:pPr>
        <w:spacing w:after="0" w:line="94"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w:t>
      </w:r>
    </w:p>
    <w:p>
      <w:pPr>
        <w:spacing w:after="0" w:line="73" w:lineRule="exact"/>
        <w:rPr>
          <w:sz w:val="20"/>
          <w:szCs w:val="20"/>
          <w:color w:val="auto"/>
        </w:rPr>
      </w:pPr>
    </w:p>
    <w:p>
      <w:pPr>
        <w:ind w:left="220" w:right="140"/>
        <w:spacing w:after="0" w:line="254" w:lineRule="auto"/>
        <w:rPr>
          <w:sz w:val="20"/>
          <w:szCs w:val="20"/>
          <w:color w:val="auto"/>
        </w:rPr>
      </w:pPr>
      <w:r>
        <w:rPr>
          <w:rFonts w:ascii="Arial" w:cs="Arial" w:eastAsia="Arial" w:hAnsi="Arial"/>
          <w:sz w:val="16"/>
          <w:szCs w:val="16"/>
          <w:color w:val="auto"/>
        </w:rPr>
        <w:t>In making a determination that the cash incentive compensation paid to the Company’s Named Executive Officers was appropriate, the Compensation Committee considered, among other things, the following key 2021 financial metrics for the Company compared to 2020 (all per share amounts reflect the 2021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38735</wp:posOffset>
            </wp:positionV>
            <wp:extent cx="2820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2F5DA8"/>
              </w:rPr>
              <w:t>2021</w:t>
            </w:r>
          </w:p>
        </w:tc>
        <w:tc>
          <w:tcPr>
            <w:tcW w:w="200" w:type="dxa"/>
            <w:vAlign w:val="bottom"/>
          </w:tcPr>
          <w:p>
            <w:pPr>
              <w:spacing w:after="0"/>
              <w:rPr>
                <w:sz w:val="18"/>
                <w:szCs w:val="18"/>
                <w:color w:val="auto"/>
              </w:rPr>
            </w:pPr>
          </w:p>
        </w:tc>
        <w:tc>
          <w:tcPr>
            <w:tcW w:w="840" w:type="dxa"/>
            <w:vAlign w:val="bottom"/>
          </w:tcPr>
          <w:p>
            <w:pPr>
              <w:ind w:left="460"/>
              <w:spacing w:after="0"/>
              <w:rPr>
                <w:sz w:val="20"/>
                <w:szCs w:val="20"/>
                <w:color w:val="auto"/>
              </w:rPr>
            </w:pPr>
            <w:r>
              <w:rPr>
                <w:rFonts w:ascii="Arial" w:cs="Arial" w:eastAsia="Arial" w:hAnsi="Arial"/>
                <w:sz w:val="15"/>
                <w:szCs w:val="15"/>
                <w:b w:val="1"/>
                <w:bCs w:val="1"/>
                <w:color w:val="2F5DA8"/>
              </w:rPr>
              <w:t>2020</w:t>
            </w:r>
          </w:p>
        </w:tc>
      </w:tr>
      <w:tr>
        <w:trPr>
          <w:trHeight w:val="52"/>
        </w:trPr>
        <w:tc>
          <w:tcPr>
            <w:tcW w:w="2120" w:type="dxa"/>
            <w:vAlign w:val="bottom"/>
            <w:tcBorders>
              <w:bottom w:val="single" w:sz="8" w:color="2F5DA8"/>
            </w:tcBorders>
          </w:tcPr>
          <w:p>
            <w:pPr>
              <w:spacing w:after="0"/>
              <w:rPr>
                <w:sz w:val="4"/>
                <w:szCs w:val="4"/>
                <w:color w:val="auto"/>
              </w:rPr>
            </w:pPr>
          </w:p>
        </w:tc>
        <w:tc>
          <w:tcPr>
            <w:tcW w:w="380" w:type="dxa"/>
            <w:vAlign w:val="bottom"/>
            <w:tcBorders>
              <w:bottom w:val="single" w:sz="8" w:color="2F5DA8"/>
            </w:tcBorders>
          </w:tcPr>
          <w:p>
            <w:pPr>
              <w:spacing w:after="0"/>
              <w:rPr>
                <w:sz w:val="4"/>
                <w:szCs w:val="4"/>
                <w:color w:val="auto"/>
              </w:rPr>
            </w:pPr>
          </w:p>
        </w:tc>
        <w:tc>
          <w:tcPr>
            <w:tcW w:w="900" w:type="dxa"/>
            <w:vAlign w:val="bottom"/>
            <w:tcBorders>
              <w:bottom w:val="single" w:sz="8" w:color="2F5DA8"/>
            </w:tcBorders>
          </w:tcPr>
          <w:p>
            <w:pPr>
              <w:spacing w:after="0"/>
              <w:rPr>
                <w:sz w:val="4"/>
                <w:szCs w:val="4"/>
                <w:color w:val="auto"/>
              </w:rPr>
            </w:pPr>
          </w:p>
        </w:tc>
        <w:tc>
          <w:tcPr>
            <w:tcW w:w="200" w:type="dxa"/>
            <w:vAlign w:val="bottom"/>
            <w:tcBorders>
              <w:bottom w:val="single" w:sz="8" w:color="2F5DA8"/>
            </w:tcBorders>
          </w:tcPr>
          <w:p>
            <w:pPr>
              <w:spacing w:after="0"/>
              <w:rPr>
                <w:sz w:val="4"/>
                <w:szCs w:val="4"/>
                <w:color w:val="auto"/>
              </w:rPr>
            </w:pPr>
          </w:p>
        </w:tc>
        <w:tc>
          <w:tcPr>
            <w:tcW w:w="840" w:type="dxa"/>
            <w:vAlign w:val="bottom"/>
            <w:tcBorders>
              <w:bottom w:val="single" w:sz="8" w:color="2F5DA8"/>
            </w:tcBorders>
          </w:tcPr>
          <w:p>
            <w:pPr>
              <w:spacing w:after="0"/>
              <w:rPr>
                <w:sz w:val="4"/>
                <w:szCs w:val="4"/>
                <w:color w:val="auto"/>
              </w:rPr>
            </w:pPr>
          </w:p>
        </w:tc>
      </w:tr>
      <w:tr>
        <w:trPr>
          <w:trHeight w:val="258"/>
        </w:trPr>
        <w:tc>
          <w:tcPr>
            <w:tcW w:w="21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w w:val="98"/>
              </w:rPr>
              <w:t>24,094,000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13,643,000</w:t>
            </w:r>
          </w:p>
        </w:tc>
      </w:tr>
      <w:tr>
        <w:trPr>
          <w:trHeight w:val="60"/>
        </w:trPr>
        <w:tc>
          <w:tcPr>
            <w:tcW w:w="2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58"/>
        </w:trPr>
        <w:tc>
          <w:tcPr>
            <w:tcW w:w="2120" w:type="dxa"/>
            <w:vAlign w:val="bottom"/>
          </w:tcPr>
          <w:p>
            <w:pPr>
              <w:ind w:left="40"/>
              <w:spacing w:after="0"/>
              <w:rPr>
                <w:sz w:val="20"/>
                <w:szCs w:val="20"/>
                <w:color w:val="auto"/>
              </w:rPr>
            </w:pPr>
            <w:r>
              <w:rPr>
                <w:rFonts w:ascii="Arial" w:cs="Arial" w:eastAsia="Arial" w:hAnsi="Arial"/>
                <w:sz w:val="15"/>
                <w:szCs w:val="15"/>
                <w:color w:val="auto"/>
              </w:rPr>
              <w:t>Diluted earnings per share</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1.67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ind w:left="460"/>
              <w:spacing w:after="0"/>
              <w:rPr>
                <w:sz w:val="20"/>
                <w:szCs w:val="20"/>
                <w:color w:val="auto"/>
              </w:rPr>
            </w:pPr>
            <w:r>
              <w:rPr>
                <w:rFonts w:ascii="Arial" w:cs="Arial" w:eastAsia="Arial" w:hAnsi="Arial"/>
                <w:sz w:val="15"/>
                <w:szCs w:val="15"/>
                <w:color w:val="auto"/>
              </w:rPr>
              <w:t>0.95</w:t>
            </w:r>
          </w:p>
        </w:tc>
      </w:tr>
      <w:tr>
        <w:trPr>
          <w:trHeight w:val="60"/>
        </w:trPr>
        <w:tc>
          <w:tcPr>
            <w:tcW w:w="2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70"/>
        </w:trPr>
        <w:tc>
          <w:tcPr>
            <w:tcW w:w="212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EBITDA</w:t>
            </w:r>
          </w:p>
        </w:tc>
        <w:tc>
          <w:tcPr>
            <w:tcW w:w="38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2F5DA8"/>
            </w:tcBorders>
          </w:tcPr>
          <w:p>
            <w:pPr>
              <w:jc w:val="right"/>
              <w:ind w:right="64"/>
              <w:spacing w:after="0"/>
              <w:rPr>
                <w:sz w:val="20"/>
                <w:szCs w:val="20"/>
                <w:color w:val="auto"/>
              </w:rPr>
            </w:pPr>
            <w:r>
              <w:rPr>
                <w:rFonts w:ascii="Arial" w:cs="Arial" w:eastAsia="Arial" w:hAnsi="Arial"/>
                <w:sz w:val="15"/>
                <w:szCs w:val="15"/>
                <w:color w:val="auto"/>
                <w:w w:val="98"/>
              </w:rPr>
              <w:t>44,456,000</w:t>
            </w:r>
          </w:p>
        </w:tc>
        <w:tc>
          <w:tcPr>
            <w:tcW w:w="2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38,477,000</w:t>
            </w:r>
          </w:p>
        </w:tc>
      </w:tr>
    </w:tbl>
    <w:p>
      <w:pPr>
        <w:spacing w:after="0" w:line="94"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equity incentive compensation program is comprised of restricted stock awards that are (i) time-based and vest, assuming continued employment, over a three-year period from the date of grant,</w:t>
      </w:r>
    </w:p>
    <w:p>
      <w:pPr>
        <w:spacing w:after="0" w:line="2" w:lineRule="exact"/>
        <w:rPr>
          <w:sz w:val="20"/>
          <w:szCs w:val="20"/>
          <w:color w:val="auto"/>
        </w:rPr>
      </w:pPr>
    </w:p>
    <w:p>
      <w:pPr>
        <w:ind w:left="220" w:right="40" w:hanging="2"/>
        <w:spacing w:after="0" w:line="256" w:lineRule="auto"/>
        <w:tabs>
          <w:tab w:leader="none" w:pos="4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earned upon achievement of certain annually determined performance criteria (PSP) and (iii) earned upon achievement of longer-term performance goals.</w:t>
      </w:r>
    </w:p>
    <w:p>
      <w:pPr>
        <w:spacing w:after="0" w:line="70" w:lineRule="exact"/>
        <w:rPr>
          <w:rFonts w:ascii="Arial" w:cs="Arial" w:eastAsia="Arial" w:hAnsi="Arial"/>
          <w:sz w:val="16"/>
          <w:szCs w:val="16"/>
          <w:color w:val="auto"/>
        </w:rPr>
      </w:pPr>
    </w:p>
    <w:p>
      <w:pPr>
        <w:ind w:left="580" w:hanging="2"/>
        <w:spacing w:after="0" w:line="250" w:lineRule="auto"/>
        <w:tabs>
          <w:tab w:leader="none" w:pos="8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Time-Based Awards. The annual time-based restricted stock awards for the Named Executive Officers are equal to a percentage of the officer’s then annual salary divided by the fair market value (closing Company stock price) on the grant date. In 2021, the Compensation Committee granted Mr. Warzala</w:t>
      </w:r>
    </w:p>
    <w:p>
      <w:pPr>
        <w:ind w:left="580" w:right="20"/>
        <w:spacing w:after="0" w:line="227" w:lineRule="auto"/>
        <w:rPr>
          <w:rFonts w:ascii="Arial" w:cs="Arial" w:eastAsia="Arial" w:hAnsi="Arial"/>
          <w:sz w:val="16"/>
          <w:szCs w:val="16"/>
          <w:color w:val="auto"/>
        </w:rPr>
      </w:pPr>
      <w:r>
        <w:rPr>
          <w:rFonts w:ascii="Arial" w:cs="Arial" w:eastAsia="Arial" w:hAnsi="Arial"/>
          <w:sz w:val="16"/>
          <w:szCs w:val="16"/>
          <w:color w:val="auto"/>
        </w:rPr>
        <w:t>11,591 shares of time-based restricted stock (62.5% of annual salary), Mr. Leach 2,505 shares (22.5% of annual salary), Mr. Maida 2,286 shares (22.5% of annual salary), Mr. Bendre 498 shares (4.2% of salary) and Mr. Pirthauer 2,147 shares (20% of salary). The time-based awards will vest 1/3 on each on April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2022, 2023 and 2024.</w:t>
      </w:r>
    </w:p>
    <w:p>
      <w:pPr>
        <w:spacing w:after="0" w:line="88" w:lineRule="exact"/>
        <w:rPr>
          <w:rFonts w:ascii="Arial" w:cs="Arial" w:eastAsia="Arial" w:hAnsi="Arial"/>
          <w:sz w:val="16"/>
          <w:szCs w:val="16"/>
          <w:color w:val="auto"/>
        </w:rPr>
      </w:pPr>
    </w:p>
    <w:p>
      <w:pPr>
        <w:ind w:left="580" w:right="20" w:hanging="2"/>
        <w:spacing w:after="0" w:line="250" w:lineRule="auto"/>
        <w:tabs>
          <w:tab w:leader="none" w:pos="91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Performance Share Plan (PSP).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The EBITDA target is equal to the average of the EBITDA of the Company, adjusted to account for business development costs relating to acquisitions, for the immediately preceding three-year period. The EBITDA threshold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95% of target and the high performance measure is</w:t>
      </w:r>
    </w:p>
    <w:p>
      <w:pPr>
        <w:spacing w:after="0" w:line="21" w:lineRule="exact"/>
        <w:rPr>
          <w:sz w:val="20"/>
          <w:szCs w:val="20"/>
          <w:color w:val="auto"/>
        </w:rPr>
      </w:pPr>
    </w:p>
    <w:p>
      <w:pPr>
        <w:ind w:left="360"/>
        <w:spacing w:after="0" w:line="248" w:lineRule="auto"/>
        <w:rPr>
          <w:sz w:val="20"/>
          <w:szCs w:val="20"/>
          <w:color w:val="auto"/>
        </w:rPr>
      </w:pPr>
      <w:r>
        <w:rPr>
          <w:rFonts w:ascii="Arial" w:cs="Arial" w:eastAsia="Arial" w:hAnsi="Arial"/>
          <w:sz w:val="16"/>
          <w:szCs w:val="16"/>
          <w:color w:val="auto"/>
        </w:rPr>
        <w:t>105% of target. If the high performance measure is achieved or exceeded, then 100% of the PSP shares will be earned. If the Company’s actual results are less than the high performance measure but greater than the threshold, then the PSP shares will be earned on a prorata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annual PSP awards for the Chief Executive Officer,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Chief Financial Officer, President, Allied Innovum Group</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and President, Allied Orion Group are equal to a</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percentage of the officer’s then annual salary divided by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market value (closing Company stock price) on</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grant date. In 2021, the Compensation Committee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approved the award of 11,591 shares for Mr. Warzala</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(62.5% of annual salary), 2,505 shares for Mr. Leach</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(22.5% of annual salary), 2,286 shares for Mr. Maida</w:t>
      </w:r>
    </w:p>
    <w:p>
      <w:pPr>
        <w:spacing w:after="0" w:line="5" w:lineRule="exact"/>
        <w:rPr>
          <w:sz w:val="20"/>
          <w:szCs w:val="20"/>
          <w:color w:val="auto"/>
        </w:rPr>
      </w:pPr>
    </w:p>
    <w:p>
      <w:pPr>
        <w:ind w:left="360" w:right="40"/>
        <w:spacing w:after="0" w:line="251" w:lineRule="auto"/>
        <w:rPr>
          <w:sz w:val="20"/>
          <w:szCs w:val="20"/>
          <w:color w:val="auto"/>
        </w:rPr>
      </w:pPr>
      <w:r>
        <w:rPr>
          <w:rFonts w:ascii="Arial" w:cs="Arial" w:eastAsia="Arial" w:hAnsi="Arial"/>
          <w:sz w:val="16"/>
          <w:szCs w:val="16"/>
          <w:color w:val="auto"/>
        </w:rPr>
        <w:t>(22.5% of annual salary) and 998 shares for Mr. Bendre (8.3% of annual salary). Mr. Pirthauer did not participate in the PSP in 2021. The PSP awards are each in the form of restricted stock. All shares granted under the PSP to Named Executive Officers for 2021 were earned.</w:t>
      </w:r>
    </w:p>
    <w:p>
      <w:pPr>
        <w:spacing w:after="0" w:line="75" w:lineRule="exact"/>
        <w:rPr>
          <w:sz w:val="20"/>
          <w:szCs w:val="20"/>
          <w:color w:val="auto"/>
        </w:rPr>
      </w:pPr>
    </w:p>
    <w:p>
      <w:pPr>
        <w:ind w:left="360" w:right="40"/>
        <w:spacing w:after="0" w:line="248" w:lineRule="auto"/>
        <w:tabs>
          <w:tab w:leader="none" w:pos="738" w:val="left"/>
        </w:tabs>
        <w:numPr>
          <w:ilvl w:val="0"/>
          <w:numId w:val="18"/>
        </w:numPr>
        <w:rPr>
          <w:rFonts w:ascii="Arial" w:cs="Arial" w:eastAsia="Arial" w:hAnsi="Arial"/>
          <w:sz w:val="16"/>
          <w:szCs w:val="16"/>
          <w:color w:val="auto"/>
        </w:rPr>
      </w:pPr>
      <w:r>
        <w:rPr>
          <w:rFonts w:ascii="Arial" w:cs="Arial" w:eastAsia="Arial" w:hAnsi="Arial"/>
          <w:sz w:val="16"/>
          <w:szCs w:val="16"/>
          <w:color w:val="auto"/>
        </w:rPr>
        <w:t>LTIP. The LTIP is a multi-year pay-for-performance incentive program under which the Chief Executive Officer, Chief Financial Officer and President, Allied Innovum Group will earn restricted stock awards based upon the achievement of an increase in sales during various annual or five-year performance periods. The LTIP was first implemented in 2013 and has been revised and extended as performance goals were achieved. The LTIP currently extends through December 31, 2022, and the sales target to be achieved to earn all restricted share awards available is</w:t>
      </w:r>
    </w:p>
    <w:p>
      <w:pPr>
        <w:spacing w:after="0" w:line="3" w:lineRule="exact"/>
        <w:rPr>
          <w:rFonts w:ascii="Arial" w:cs="Arial" w:eastAsia="Arial" w:hAnsi="Arial"/>
          <w:sz w:val="16"/>
          <w:szCs w:val="16"/>
          <w:color w:val="auto"/>
        </w:rPr>
      </w:pPr>
    </w:p>
    <w:p>
      <w:pPr>
        <w:ind w:left="360" w:right="140"/>
        <w:spacing w:after="0" w:line="250" w:lineRule="auto"/>
        <w:rPr>
          <w:rFonts w:ascii="Arial" w:cs="Arial" w:eastAsia="Arial" w:hAnsi="Arial"/>
          <w:sz w:val="16"/>
          <w:szCs w:val="16"/>
          <w:color w:val="auto"/>
        </w:rPr>
      </w:pPr>
      <w:r>
        <w:rPr>
          <w:rFonts w:ascii="Arial" w:cs="Arial" w:eastAsia="Arial" w:hAnsi="Arial"/>
          <w:sz w:val="16"/>
          <w:szCs w:val="16"/>
          <w:color w:val="auto"/>
        </w:rPr>
        <w:t>$450 million (the “LTIP Sales Target”). The LTIP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Under the terms of the current LTIP, for each $30 million increase in sales up to the LTIP Sales Target, each executive earns restricted stock awards equal to a percentage of his annual salary at the beginning of the performance period as follows: 100% for Mr. Warzala, 25% for Mr. Leach and 25% for Mr. Maida. The LTIP performance criteria for organic sales growth is measured after the end of each year of the performance period and the number of shares that can be earned with respect to a performance period is calculated based on the Company stock price (average of bid and ask) as measured at the beginning of the applicable performance period. The restricted stock awards that are earned based on actual organic sales growth vest over a three-year period. The measurement of performance criteria for acquired sales is done as of the closing date for an acquisition during a performance period and the number of shares of restricted stock earned will be calculated based on the Company stock price (average of bid and ask) as measured at the beginning</w:t>
      </w:r>
    </w:p>
    <w:p>
      <w:pPr>
        <w:spacing w:after="0" w:line="614" w:lineRule="exact"/>
        <w:rPr>
          <w:sz w:val="20"/>
          <w:szCs w:val="20"/>
          <w:color w:val="auto"/>
        </w:rPr>
      </w:pPr>
    </w:p>
    <w:p>
      <w:pPr>
        <w:sectPr>
          <w:pgSz w:w="11900" w:h="16838" w:orient="portrait"/>
          <w:cols w:equalWidth="0" w:num="2">
            <w:col w:w="4660" w:space="220"/>
            <w:col w:w="4440"/>
          </w:cols>
          <w:pgMar w:left="1280" w:top="263" w:right="1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20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of the applicable performance period. Restricted stock award shares that are earned under the LTIP that are based on acquired sales will vest annually (1/5 each year) over the following five years. When calculating the increase in sales, the Company will make appropriate adjustments to account for any acquired sales for which an LTIP award has previously been made. If the recipient’s employment with the Company is terminated due to cause or voluntary resignation, any unvested LTIP shares will be forfeited.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For 2021, shares were earned under the acquired sales criteria of the LTIP as a result of growth in revenues of the Company, including organic growth of $51.5 million and the acquisitions of ORMEC Systems Corp., ALIO Industries and Spectrum Controls, Inc. As of December 31, 2021, approximately $442.3 million of the cumulative LTIP Sales Target has been achieved. The following table shows the status of the LTIP awards and remaining award potential as of the end of the 2021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32385</wp:posOffset>
            </wp:positionV>
            <wp:extent cx="5777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2F5DA8"/>
              </w:rPr>
              <w:t>Remaining</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Maximum</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gridSpan w:val="2"/>
            <w:vMerge w:val="restart"/>
          </w:tcPr>
          <w:p>
            <w:pPr>
              <w:jc w:val="right"/>
              <w:ind w:right="124"/>
              <w:spacing w:after="0"/>
              <w:rPr>
                <w:sz w:val="20"/>
                <w:szCs w:val="20"/>
                <w:color w:val="auto"/>
              </w:rPr>
            </w:pPr>
            <w:r>
              <w:rPr>
                <w:rFonts w:ascii="Arial" w:cs="Arial" w:eastAsia="Arial" w:hAnsi="Arial"/>
                <w:sz w:val="15"/>
                <w:szCs w:val="15"/>
                <w:b w:val="1"/>
                <w:bCs w:val="1"/>
                <w:color w:val="2F5DA8"/>
              </w:rPr>
              <w:t>Number of LTIP Shares</w:t>
            </w:r>
          </w:p>
        </w:tc>
        <w:tc>
          <w:tcPr>
            <w:tcW w:w="146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Number of LTIP</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Shares That Can</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020" w:type="dxa"/>
            <w:vAlign w:val="bottom"/>
            <w:tcBorders>
              <w:bottom w:val="single" w:sz="8" w:color="2F5DA8"/>
            </w:tcBorders>
          </w:tcPr>
          <w:p>
            <w:pPr>
              <w:spacing w:after="0"/>
              <w:rPr>
                <w:sz w:val="2"/>
                <w:szCs w:val="2"/>
                <w:color w:val="auto"/>
              </w:rPr>
            </w:pPr>
          </w:p>
        </w:tc>
        <w:tc>
          <w:tcPr>
            <w:tcW w:w="1000" w:type="dxa"/>
            <w:vAlign w:val="bottom"/>
            <w:tcBorders>
              <w:bottom w:val="single" w:sz="8" w:color="2F5DA8"/>
            </w:tcBorders>
          </w:tcPr>
          <w:p>
            <w:pPr>
              <w:spacing w:after="0"/>
              <w:rPr>
                <w:sz w:val="2"/>
                <w:szCs w:val="2"/>
                <w:color w:val="auto"/>
              </w:rPr>
            </w:pPr>
          </w:p>
        </w:tc>
        <w:tc>
          <w:tcPr>
            <w:tcW w:w="1060" w:type="dxa"/>
            <w:vAlign w:val="bottom"/>
            <w:tcBorders>
              <w:bottom w:val="single" w:sz="8" w:color="2F5DA8"/>
            </w:tcBorders>
          </w:tcPr>
          <w:p>
            <w:pPr>
              <w:spacing w:after="0"/>
              <w:rPr>
                <w:sz w:val="2"/>
                <w:szCs w:val="2"/>
                <w:color w:val="auto"/>
              </w:rPr>
            </w:pPr>
          </w:p>
        </w:tc>
        <w:tc>
          <w:tcPr>
            <w:tcW w:w="1460" w:type="dxa"/>
            <w:vAlign w:val="bottom"/>
            <w:vMerge w:val="restart"/>
          </w:tcPr>
          <w:p>
            <w:pPr>
              <w:jc w:val="right"/>
              <w:spacing w:after="0" w:line="162" w:lineRule="exact"/>
              <w:rPr>
                <w:sz w:val="20"/>
                <w:szCs w:val="20"/>
                <w:color w:val="auto"/>
              </w:rPr>
            </w:pPr>
            <w:r>
              <w:rPr>
                <w:rFonts w:ascii="Arial" w:cs="Arial" w:eastAsia="Arial" w:hAnsi="Arial"/>
                <w:sz w:val="15"/>
                <w:szCs w:val="15"/>
                <w:b w:val="1"/>
                <w:bCs w:val="1"/>
                <w:color w:val="2F5DA8"/>
              </w:rPr>
              <w:t>Be Earned with</w:t>
            </w: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Respect to Open</w:t>
            </w:r>
          </w:p>
        </w:tc>
        <w:tc>
          <w:tcPr>
            <w:tcW w:w="0" w:type="dxa"/>
            <w:vAlign w:val="bottom"/>
          </w:tcPr>
          <w:p>
            <w:pPr>
              <w:spacing w:after="0"/>
              <w:rPr>
                <w:sz w:val="1"/>
                <w:szCs w:val="1"/>
                <w:color w:val="auto"/>
              </w:rPr>
            </w:pPr>
          </w:p>
        </w:tc>
      </w:tr>
      <w:tr>
        <w:trPr>
          <w:trHeight w:val="162"/>
        </w:trPr>
        <w:tc>
          <w:tcPr>
            <w:tcW w:w="456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Name and Principal Position</w:t>
            </w:r>
          </w:p>
        </w:tc>
        <w:tc>
          <w:tcPr>
            <w:tcW w:w="10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F5DA8"/>
              </w:rPr>
              <w:t>Awarded</w:t>
            </w:r>
          </w:p>
        </w:tc>
        <w:tc>
          <w:tcPr>
            <w:tcW w:w="100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2F5DA8"/>
              </w:rPr>
              <w:t>Earned</w:t>
            </w:r>
          </w:p>
        </w:tc>
        <w:tc>
          <w:tcPr>
            <w:tcW w:w="10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2F5DA8"/>
              </w:rPr>
              <w:t>Forfeited</w:t>
            </w:r>
          </w:p>
        </w:tc>
        <w:tc>
          <w:tcPr>
            <w:tcW w:w="146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Performance</w:t>
            </w: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2F5DA8"/>
              </w:rPr>
              <w:t>Periods</w:t>
            </w:r>
          </w:p>
        </w:tc>
        <w:tc>
          <w:tcPr>
            <w:tcW w:w="0" w:type="dxa"/>
            <w:vAlign w:val="bottom"/>
          </w:tcPr>
          <w:p>
            <w:pPr>
              <w:spacing w:after="0"/>
              <w:rPr>
                <w:sz w:val="1"/>
                <w:szCs w:val="1"/>
                <w:color w:val="auto"/>
              </w:rPr>
            </w:pPr>
          </w:p>
        </w:tc>
      </w:tr>
      <w:tr>
        <w:trPr>
          <w:trHeight w:val="52"/>
        </w:trPr>
        <w:tc>
          <w:tcPr>
            <w:tcW w:w="4560" w:type="dxa"/>
            <w:vAlign w:val="bottom"/>
            <w:tcBorders>
              <w:bottom w:val="single" w:sz="8" w:color="2F5DA8"/>
            </w:tcBorders>
          </w:tcPr>
          <w:p>
            <w:pPr>
              <w:spacing w:after="0"/>
              <w:rPr>
                <w:sz w:val="4"/>
                <w:szCs w:val="4"/>
                <w:color w:val="auto"/>
              </w:rPr>
            </w:pPr>
          </w:p>
        </w:tc>
        <w:tc>
          <w:tcPr>
            <w:tcW w:w="1020" w:type="dxa"/>
            <w:vAlign w:val="bottom"/>
            <w:tcBorders>
              <w:bottom w:val="single" w:sz="8" w:color="2F5DA8"/>
            </w:tcBorders>
          </w:tcPr>
          <w:p>
            <w:pPr>
              <w:spacing w:after="0"/>
              <w:rPr>
                <w:sz w:val="4"/>
                <w:szCs w:val="4"/>
                <w:color w:val="auto"/>
              </w:rPr>
            </w:pPr>
          </w:p>
        </w:tc>
        <w:tc>
          <w:tcPr>
            <w:tcW w:w="1000" w:type="dxa"/>
            <w:vAlign w:val="bottom"/>
            <w:tcBorders>
              <w:bottom w:val="single" w:sz="8" w:color="2F5DA8"/>
            </w:tcBorders>
          </w:tcPr>
          <w:p>
            <w:pPr>
              <w:spacing w:after="0"/>
              <w:rPr>
                <w:sz w:val="4"/>
                <w:szCs w:val="4"/>
                <w:color w:val="auto"/>
              </w:rPr>
            </w:pPr>
          </w:p>
        </w:tc>
        <w:tc>
          <w:tcPr>
            <w:tcW w:w="1060" w:type="dxa"/>
            <w:vAlign w:val="bottom"/>
            <w:tcBorders>
              <w:bottom w:val="single" w:sz="8" w:color="2F5DA8"/>
            </w:tcBorders>
          </w:tcPr>
          <w:p>
            <w:pPr>
              <w:spacing w:after="0"/>
              <w:rPr>
                <w:sz w:val="4"/>
                <w:szCs w:val="4"/>
                <w:color w:val="auto"/>
              </w:rPr>
            </w:pPr>
          </w:p>
        </w:tc>
        <w:tc>
          <w:tcPr>
            <w:tcW w:w="146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60" w:type="dxa"/>
            <w:vAlign w:val="bottom"/>
          </w:tcPr>
          <w:p>
            <w:pPr>
              <w:ind w:left="260"/>
              <w:spacing w:after="0"/>
              <w:rPr>
                <w:sz w:val="20"/>
                <w:szCs w:val="20"/>
                <w:color w:val="auto"/>
              </w:rPr>
            </w:pPr>
            <w:r>
              <w:rPr>
                <w:rFonts w:ascii="Arial" w:cs="Arial" w:eastAsia="Arial" w:hAnsi="Arial"/>
                <w:sz w:val="15"/>
                <w:szCs w:val="15"/>
                <w:color w:val="auto"/>
              </w:rPr>
              <w:t>President and Chief Executive Officer</w:t>
            </w:r>
          </w:p>
        </w:tc>
        <w:tc>
          <w:tcPr>
            <w:tcW w:w="1020" w:type="dxa"/>
            <w:vAlign w:val="bottom"/>
          </w:tcPr>
          <w:p>
            <w:pPr>
              <w:jc w:val="right"/>
              <w:ind w:right="104"/>
              <w:spacing w:after="0"/>
              <w:rPr>
                <w:sz w:val="20"/>
                <w:szCs w:val="20"/>
                <w:color w:val="auto"/>
              </w:rPr>
            </w:pPr>
            <w:r>
              <w:rPr>
                <w:rFonts w:ascii="Arial" w:cs="Arial" w:eastAsia="Arial" w:hAnsi="Arial"/>
                <w:sz w:val="15"/>
                <w:szCs w:val="15"/>
                <w:color w:val="auto"/>
              </w:rPr>
              <w:t>684,341</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678,987</w:t>
            </w: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6,389</w:t>
            </w:r>
          </w:p>
        </w:tc>
        <w:tc>
          <w:tcPr>
            <w:tcW w:w="1460" w:type="dxa"/>
            <w:vAlign w:val="bottom"/>
          </w:tcPr>
          <w:p>
            <w:pPr>
              <w:jc w:val="right"/>
              <w:spacing w:after="0"/>
              <w:rPr>
                <w:sz w:val="20"/>
                <w:szCs w:val="20"/>
                <w:color w:val="auto"/>
              </w:rPr>
            </w:pPr>
            <w:r>
              <w:rPr>
                <w:rFonts w:ascii="Arial" w:cs="Arial" w:eastAsia="Arial" w:hAnsi="Arial"/>
                <w:sz w:val="15"/>
                <w:szCs w:val="15"/>
                <w:color w:val="auto"/>
              </w:rPr>
              <w:t>5,353</w:t>
            </w:r>
          </w:p>
        </w:tc>
        <w:tc>
          <w:tcPr>
            <w:tcW w:w="0" w:type="dxa"/>
            <w:vAlign w:val="bottom"/>
          </w:tcPr>
          <w:p>
            <w:pPr>
              <w:spacing w:after="0"/>
              <w:rPr>
                <w:sz w:val="1"/>
                <w:szCs w:val="1"/>
                <w:color w:val="auto"/>
              </w:rPr>
            </w:pPr>
          </w:p>
        </w:tc>
      </w:tr>
      <w:tr>
        <w:trPr>
          <w:trHeight w:val="60"/>
        </w:trPr>
        <w:tc>
          <w:tcPr>
            <w:tcW w:w="4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60" w:type="dxa"/>
            <w:vAlign w:val="bottom"/>
          </w:tcPr>
          <w:p>
            <w:pPr>
              <w:ind w:left="220"/>
              <w:spacing w:after="0"/>
              <w:rPr>
                <w:sz w:val="20"/>
                <w:szCs w:val="20"/>
                <w:color w:val="auto"/>
              </w:rPr>
            </w:pPr>
            <w:r>
              <w:rPr>
                <w:rFonts w:ascii="Arial" w:cs="Arial" w:eastAsia="Arial" w:hAnsi="Arial"/>
                <w:sz w:val="15"/>
                <w:szCs w:val="15"/>
                <w:color w:val="auto"/>
              </w:rPr>
              <w:t>Senior Vice President and Chief Financial Officer</w:t>
            </w:r>
          </w:p>
        </w:tc>
        <w:tc>
          <w:tcPr>
            <w:tcW w:w="1020" w:type="dxa"/>
            <w:vAlign w:val="bottom"/>
          </w:tcPr>
          <w:p>
            <w:pPr>
              <w:jc w:val="right"/>
              <w:ind w:right="104"/>
              <w:spacing w:after="0"/>
              <w:rPr>
                <w:sz w:val="20"/>
                <w:szCs w:val="20"/>
                <w:color w:val="auto"/>
              </w:rPr>
            </w:pPr>
            <w:r>
              <w:rPr>
                <w:rFonts w:ascii="Arial" w:cs="Arial" w:eastAsia="Arial" w:hAnsi="Arial"/>
                <w:sz w:val="15"/>
                <w:szCs w:val="15"/>
                <w:color w:val="auto"/>
              </w:rPr>
              <w:t>35,266</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34,529</w:t>
            </w: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60"/>
        </w:trPr>
        <w:tc>
          <w:tcPr>
            <w:tcW w:w="4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2F5DA8"/>
            </w:tcBorders>
          </w:tcPr>
          <w:p>
            <w:pPr>
              <w:ind w:left="220"/>
              <w:spacing w:after="0"/>
              <w:rPr>
                <w:sz w:val="20"/>
                <w:szCs w:val="20"/>
                <w:color w:val="auto"/>
              </w:rPr>
            </w:pPr>
            <w:r>
              <w:rPr>
                <w:rFonts w:ascii="Arial" w:cs="Arial" w:eastAsia="Arial" w:hAnsi="Arial"/>
                <w:sz w:val="15"/>
                <w:szCs w:val="15"/>
                <w:color w:val="auto"/>
              </w:rPr>
              <w:t>President, Allied Innovum Group</w:t>
            </w:r>
          </w:p>
        </w:tc>
        <w:tc>
          <w:tcPr>
            <w:tcW w:w="1020" w:type="dxa"/>
            <w:vAlign w:val="bottom"/>
            <w:tcBorders>
              <w:bottom w:val="single" w:sz="8" w:color="2F5DA8"/>
            </w:tcBorders>
          </w:tcPr>
          <w:p>
            <w:pPr>
              <w:jc w:val="right"/>
              <w:ind w:right="104"/>
              <w:spacing w:after="0"/>
              <w:rPr>
                <w:sz w:val="20"/>
                <w:szCs w:val="20"/>
                <w:color w:val="auto"/>
              </w:rPr>
            </w:pPr>
            <w:r>
              <w:rPr>
                <w:rFonts w:ascii="Arial" w:cs="Arial" w:eastAsia="Arial" w:hAnsi="Arial"/>
                <w:sz w:val="15"/>
                <w:szCs w:val="15"/>
                <w:color w:val="auto"/>
              </w:rPr>
              <w:t>73,443</w:t>
            </w:r>
          </w:p>
        </w:tc>
        <w:tc>
          <w:tcPr>
            <w:tcW w:w="1000" w:type="dxa"/>
            <w:vAlign w:val="bottom"/>
            <w:tcBorders>
              <w:bottom w:val="single" w:sz="8" w:color="2F5DA8"/>
            </w:tcBorders>
          </w:tcPr>
          <w:p>
            <w:pPr>
              <w:jc w:val="right"/>
              <w:ind w:right="144"/>
              <w:spacing w:after="0"/>
              <w:rPr>
                <w:sz w:val="20"/>
                <w:szCs w:val="20"/>
                <w:color w:val="auto"/>
              </w:rPr>
            </w:pPr>
            <w:r>
              <w:rPr>
                <w:rFonts w:ascii="Arial" w:cs="Arial" w:eastAsia="Arial" w:hAnsi="Arial"/>
                <w:sz w:val="15"/>
                <w:szCs w:val="15"/>
                <w:color w:val="auto"/>
              </w:rPr>
              <w:t>72,810</w:t>
            </w:r>
          </w:p>
        </w:tc>
        <w:tc>
          <w:tcPr>
            <w:tcW w:w="1060" w:type="dxa"/>
            <w:vAlign w:val="bottom"/>
            <w:tcBorders>
              <w:bottom w:val="single" w:sz="8" w:color="2F5DA8"/>
            </w:tcBorders>
          </w:tcPr>
          <w:p>
            <w:pPr>
              <w:jc w:val="right"/>
              <w:ind w:right="144"/>
              <w:spacing w:after="0"/>
              <w:rPr>
                <w:sz w:val="20"/>
                <w:szCs w:val="20"/>
                <w:color w:val="auto"/>
              </w:rPr>
            </w:pPr>
            <w:r>
              <w:rPr>
                <w:rFonts w:ascii="Arial" w:cs="Arial" w:eastAsia="Arial" w:hAnsi="Arial"/>
                <w:sz w:val="15"/>
                <w:szCs w:val="15"/>
                <w:color w:val="auto"/>
              </w:rPr>
              <w:t>2,780</w:t>
            </w:r>
          </w:p>
        </w:tc>
        <w:tc>
          <w:tcPr>
            <w:tcW w:w="146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9320"/>
          </w:cols>
          <w:pgMar w:left="1280" w:top="263" w:right="1299" w:bottom="1440" w:gutter="0" w:footer="0" w:header="0"/>
          <w:type w:val="continuous"/>
        </w:sectPr>
      </w:pPr>
    </w:p>
    <w:p>
      <w:pPr>
        <w:spacing w:after="0" w:line="256" w:lineRule="auto"/>
        <w:rPr>
          <w:sz w:val="20"/>
          <w:szCs w:val="20"/>
          <w:color w:val="auto"/>
        </w:rPr>
      </w:pPr>
      <w:r>
        <w:rPr>
          <w:rFonts w:ascii="Arial" w:cs="Arial" w:eastAsia="Arial" w:hAnsi="Arial"/>
          <w:sz w:val="16"/>
          <w:szCs w:val="16"/>
          <w:color w:val="auto"/>
        </w:rPr>
        <w:t>The Compensation Committee believes that the LTIP has contributed to the Company’s growth since its inception in 2013, and that the Company’s shareholders have received significant benefits as a result of such growth. The growth in revenue encouraged by the LTIP has driven an increase in</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6"/>
          <w:szCs w:val="16"/>
          <w:color w:val="auto"/>
        </w:rPr>
        <w:t>the profits and market capitalization of the Company over the period that the LTIP has been in effect. The Compensation Committee reviewed those Company financial metrics for 2021 compared to 2012 in evaluating the effectiveness of the LTIP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37465</wp:posOffset>
            </wp:positionV>
            <wp:extent cx="57778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300" w:space="360"/>
            <w:col w:w="4660"/>
          </w:cols>
          <w:pgMar w:left="1280" w:top="263" w:right="12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right"/>
              <w:ind w:right="284"/>
              <w:spacing w:after="0"/>
              <w:rPr>
                <w:sz w:val="20"/>
                <w:szCs w:val="20"/>
                <w:color w:val="auto"/>
              </w:rPr>
            </w:pPr>
            <w:r>
              <w:rPr>
                <w:rFonts w:ascii="Arial" w:cs="Arial" w:eastAsia="Arial" w:hAnsi="Arial"/>
                <w:sz w:val="15"/>
                <w:szCs w:val="15"/>
                <w:b w:val="1"/>
                <w:bCs w:val="1"/>
                <w:color w:val="2F5DA8"/>
              </w:rPr>
              <w:t>2012</w:t>
            </w:r>
          </w:p>
        </w:tc>
        <w:tc>
          <w:tcPr>
            <w:tcW w:w="1760" w:type="dxa"/>
            <w:vAlign w:val="bottom"/>
          </w:tcPr>
          <w:p>
            <w:pPr>
              <w:jc w:val="right"/>
              <w:ind w:right="364"/>
              <w:spacing w:after="0"/>
              <w:rPr>
                <w:sz w:val="20"/>
                <w:szCs w:val="20"/>
                <w:color w:val="auto"/>
              </w:rPr>
            </w:pPr>
            <w:r>
              <w:rPr>
                <w:rFonts w:ascii="Arial" w:cs="Arial" w:eastAsia="Arial" w:hAnsi="Arial"/>
                <w:sz w:val="15"/>
                <w:szCs w:val="15"/>
                <w:b w:val="1"/>
                <w:bCs w:val="1"/>
                <w:color w:val="2F5DA8"/>
              </w:rPr>
              <w:t>2021</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2F5DA8"/>
              </w:rPr>
              <w:t>Percentage Increase</w:t>
            </w:r>
          </w:p>
        </w:tc>
      </w:tr>
      <w:tr>
        <w:trPr>
          <w:trHeight w:val="52"/>
        </w:trPr>
        <w:tc>
          <w:tcPr>
            <w:tcW w:w="3080" w:type="dxa"/>
            <w:vAlign w:val="bottom"/>
            <w:tcBorders>
              <w:bottom w:val="single" w:sz="8" w:color="2F5DA8"/>
            </w:tcBorders>
          </w:tcPr>
          <w:p>
            <w:pPr>
              <w:spacing w:after="0"/>
              <w:rPr>
                <w:sz w:val="4"/>
                <w:szCs w:val="4"/>
                <w:color w:val="auto"/>
              </w:rPr>
            </w:pPr>
          </w:p>
        </w:tc>
        <w:tc>
          <w:tcPr>
            <w:tcW w:w="1100" w:type="dxa"/>
            <w:vAlign w:val="bottom"/>
            <w:tcBorders>
              <w:bottom w:val="single" w:sz="8" w:color="2F5DA8"/>
            </w:tcBorders>
          </w:tcPr>
          <w:p>
            <w:pPr>
              <w:spacing w:after="0"/>
              <w:rPr>
                <w:sz w:val="4"/>
                <w:szCs w:val="4"/>
                <w:color w:val="auto"/>
              </w:rPr>
            </w:pPr>
          </w:p>
        </w:tc>
        <w:tc>
          <w:tcPr>
            <w:tcW w:w="1220" w:type="dxa"/>
            <w:vAlign w:val="bottom"/>
            <w:tcBorders>
              <w:bottom w:val="single" w:sz="8" w:color="2F5DA8"/>
            </w:tcBorders>
          </w:tcPr>
          <w:p>
            <w:pPr>
              <w:spacing w:after="0"/>
              <w:rPr>
                <w:sz w:val="4"/>
                <w:szCs w:val="4"/>
                <w:color w:val="auto"/>
              </w:rPr>
            </w:pPr>
          </w:p>
        </w:tc>
        <w:tc>
          <w:tcPr>
            <w:tcW w:w="1760" w:type="dxa"/>
            <w:vAlign w:val="bottom"/>
            <w:tcBorders>
              <w:bottom w:val="single" w:sz="8" w:color="2F5DA8"/>
            </w:tcBorders>
          </w:tcPr>
          <w:p>
            <w:pPr>
              <w:spacing w:after="0"/>
              <w:rPr>
                <w:sz w:val="4"/>
                <w:szCs w:val="4"/>
                <w:color w:val="auto"/>
              </w:rPr>
            </w:pPr>
          </w:p>
        </w:tc>
        <w:tc>
          <w:tcPr>
            <w:tcW w:w="1940" w:type="dxa"/>
            <w:vAlign w:val="bottom"/>
            <w:tcBorders>
              <w:bottom w:val="single" w:sz="8" w:color="2F5DA8"/>
            </w:tcBorders>
          </w:tcPr>
          <w:p>
            <w:pPr>
              <w:spacing w:after="0"/>
              <w:rPr>
                <w:sz w:val="4"/>
                <w:szCs w:val="4"/>
                <w:color w:val="auto"/>
              </w:rPr>
            </w:pPr>
          </w:p>
        </w:tc>
      </w:tr>
      <w:tr>
        <w:trPr>
          <w:trHeight w:val="258"/>
        </w:trPr>
        <w:tc>
          <w:tcPr>
            <w:tcW w:w="3080" w:type="dxa"/>
            <w:vAlign w:val="bottom"/>
          </w:tcPr>
          <w:p>
            <w:pPr>
              <w:ind w:left="40"/>
              <w:spacing w:after="0"/>
              <w:rPr>
                <w:sz w:val="20"/>
                <w:szCs w:val="20"/>
                <w:color w:val="auto"/>
              </w:rPr>
            </w:pPr>
            <w:r>
              <w:rPr>
                <w:rFonts w:ascii="Arial" w:cs="Arial" w:eastAsia="Arial" w:hAnsi="Arial"/>
                <w:sz w:val="15"/>
                <w:szCs w:val="15"/>
                <w:color w:val="auto"/>
              </w:rPr>
              <w:t>Revenues</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4"/>
              <w:spacing w:after="0"/>
              <w:rPr>
                <w:sz w:val="20"/>
                <w:szCs w:val="20"/>
                <w:color w:val="auto"/>
              </w:rPr>
            </w:pPr>
            <w:r>
              <w:rPr>
                <w:rFonts w:ascii="Arial" w:cs="Arial" w:eastAsia="Arial" w:hAnsi="Arial"/>
                <w:sz w:val="15"/>
                <w:szCs w:val="15"/>
                <w:color w:val="auto"/>
              </w:rPr>
              <w:t>101,968,000</w:t>
            </w:r>
          </w:p>
        </w:tc>
        <w:tc>
          <w:tcPr>
            <w:tcW w:w="1760" w:type="dxa"/>
            <w:vAlign w:val="bottom"/>
          </w:tcPr>
          <w:p>
            <w:pPr>
              <w:jc w:val="right"/>
              <w:ind w:right="384"/>
              <w:spacing w:after="0"/>
              <w:rPr>
                <w:sz w:val="20"/>
                <w:szCs w:val="20"/>
                <w:color w:val="auto"/>
              </w:rPr>
            </w:pPr>
            <w:r>
              <w:rPr>
                <w:rFonts w:ascii="Arial" w:cs="Arial" w:eastAsia="Arial" w:hAnsi="Arial"/>
                <w:sz w:val="15"/>
                <w:szCs w:val="15"/>
                <w:color w:val="auto"/>
              </w:rPr>
              <w:t>$403,516,000</w:t>
            </w:r>
          </w:p>
        </w:tc>
        <w:tc>
          <w:tcPr>
            <w:tcW w:w="1940" w:type="dxa"/>
            <w:vAlign w:val="bottom"/>
          </w:tcPr>
          <w:p>
            <w:pPr>
              <w:jc w:val="right"/>
              <w:spacing w:after="0"/>
              <w:rPr>
                <w:sz w:val="20"/>
                <w:szCs w:val="20"/>
                <w:color w:val="auto"/>
              </w:rPr>
            </w:pPr>
            <w:r>
              <w:rPr>
                <w:rFonts w:ascii="Arial" w:cs="Arial" w:eastAsia="Arial" w:hAnsi="Arial"/>
                <w:sz w:val="15"/>
                <w:szCs w:val="15"/>
                <w:color w:val="auto"/>
              </w:rPr>
              <w:t>296%</w:t>
            </w:r>
          </w:p>
        </w:tc>
      </w:tr>
      <w:tr>
        <w:trPr>
          <w:trHeight w:val="60"/>
        </w:trPr>
        <w:tc>
          <w:tcPr>
            <w:tcW w:w="3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258"/>
        </w:trPr>
        <w:tc>
          <w:tcPr>
            <w:tcW w:w="3080" w:type="dxa"/>
            <w:vAlign w:val="bottom"/>
          </w:tcPr>
          <w:p>
            <w:pPr>
              <w:ind w:left="40"/>
              <w:spacing w:after="0"/>
              <w:rPr>
                <w:sz w:val="20"/>
                <w:szCs w:val="20"/>
                <w:color w:val="auto"/>
              </w:rPr>
            </w:pPr>
            <w:r>
              <w:rPr>
                <w:rFonts w:ascii="Arial" w:cs="Arial" w:eastAsia="Arial" w:hAnsi="Arial"/>
                <w:sz w:val="15"/>
                <w:szCs w:val="15"/>
                <w:color w:val="auto"/>
              </w:rPr>
              <w:t>Market Capitalization at 12/31</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54,505,000</w:t>
            </w:r>
          </w:p>
        </w:tc>
        <w:tc>
          <w:tcPr>
            <w:tcW w:w="1760" w:type="dxa"/>
            <w:vAlign w:val="bottom"/>
          </w:tcPr>
          <w:p>
            <w:pPr>
              <w:jc w:val="right"/>
              <w:ind w:right="384"/>
              <w:spacing w:after="0"/>
              <w:rPr>
                <w:sz w:val="20"/>
                <w:szCs w:val="20"/>
                <w:color w:val="auto"/>
              </w:rPr>
            </w:pPr>
            <w:r>
              <w:rPr>
                <w:rFonts w:ascii="Arial" w:cs="Arial" w:eastAsia="Arial" w:hAnsi="Arial"/>
                <w:sz w:val="15"/>
                <w:szCs w:val="15"/>
                <w:color w:val="auto"/>
              </w:rPr>
              <w:t>$560,523,000</w:t>
            </w:r>
          </w:p>
        </w:tc>
        <w:tc>
          <w:tcPr>
            <w:tcW w:w="1940" w:type="dxa"/>
            <w:vAlign w:val="bottom"/>
          </w:tcPr>
          <w:p>
            <w:pPr>
              <w:jc w:val="right"/>
              <w:spacing w:after="0"/>
              <w:rPr>
                <w:sz w:val="20"/>
                <w:szCs w:val="20"/>
                <w:color w:val="auto"/>
              </w:rPr>
            </w:pPr>
            <w:r>
              <w:rPr>
                <w:rFonts w:ascii="Arial" w:cs="Arial" w:eastAsia="Arial" w:hAnsi="Arial"/>
                <w:sz w:val="15"/>
                <w:szCs w:val="15"/>
                <w:color w:val="auto"/>
              </w:rPr>
              <w:t>928%</w:t>
            </w:r>
          </w:p>
        </w:tc>
      </w:tr>
      <w:tr>
        <w:trPr>
          <w:trHeight w:val="60"/>
        </w:trPr>
        <w:tc>
          <w:tcPr>
            <w:tcW w:w="3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270"/>
        </w:trPr>
        <w:tc>
          <w:tcPr>
            <w:tcW w:w="308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Enterprise Value at 12/31</w:t>
            </w:r>
          </w:p>
        </w:tc>
        <w:tc>
          <w:tcPr>
            <w:tcW w:w="11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2F5DA8"/>
            </w:tcBorders>
          </w:tcPr>
          <w:p>
            <w:pPr>
              <w:jc w:val="right"/>
              <w:ind w:right="304"/>
              <w:spacing w:after="0"/>
              <w:rPr>
                <w:sz w:val="20"/>
                <w:szCs w:val="20"/>
                <w:color w:val="auto"/>
              </w:rPr>
            </w:pPr>
            <w:r>
              <w:rPr>
                <w:rFonts w:ascii="Arial" w:cs="Arial" w:eastAsia="Arial" w:hAnsi="Arial"/>
                <w:sz w:val="15"/>
                <w:szCs w:val="15"/>
                <w:color w:val="auto"/>
              </w:rPr>
              <w:t>45,174,000</w:t>
            </w:r>
          </w:p>
        </w:tc>
        <w:tc>
          <w:tcPr>
            <w:tcW w:w="1760" w:type="dxa"/>
            <w:vAlign w:val="bottom"/>
            <w:tcBorders>
              <w:bottom w:val="single" w:sz="8" w:color="2F5DA8"/>
            </w:tcBorders>
          </w:tcPr>
          <w:p>
            <w:pPr>
              <w:jc w:val="right"/>
              <w:ind w:right="384"/>
              <w:spacing w:after="0"/>
              <w:rPr>
                <w:sz w:val="20"/>
                <w:szCs w:val="20"/>
                <w:color w:val="auto"/>
              </w:rPr>
            </w:pPr>
            <w:r>
              <w:rPr>
                <w:rFonts w:ascii="Arial" w:cs="Arial" w:eastAsia="Arial" w:hAnsi="Arial"/>
                <w:sz w:val="15"/>
                <w:szCs w:val="15"/>
                <w:color w:val="auto"/>
              </w:rPr>
              <w:t>$697,455,000</w:t>
            </w:r>
          </w:p>
        </w:tc>
        <w:tc>
          <w:tcPr>
            <w:tcW w:w="19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1,444%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Warzala is provided with exclusive use of a company automobile, an annual physical and $500,000 of life insurance plus a $24,500 annual payment to be used to purchase additional life insurance for which he may designate the beneficiaries.</w:t>
      </w:r>
    </w:p>
    <w:p>
      <w:pPr>
        <w:spacing w:after="0" w:line="7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generally provides employees with medical, life and disability insurance benefits. All employees in the United States are eligible to participate in the Company’s 401(k) Plan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98"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Deductibility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w:t>
      </w:r>
    </w:p>
    <w:p>
      <w:pPr>
        <w:spacing w:after="0" w:line="764"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p>
      <w:pPr>
        <w:spacing w:after="0" w:line="3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both"/>
        <w:ind w:left="220" w:right="240"/>
        <w:spacing w:after="0" w:line="259" w:lineRule="auto"/>
        <w:rPr>
          <w:sz w:val="20"/>
          <w:szCs w:val="20"/>
          <w:color w:val="auto"/>
        </w:rPr>
      </w:pPr>
      <w:r>
        <w:rPr>
          <w:rFonts w:ascii="Arial" w:cs="Arial" w:eastAsia="Arial" w:hAnsi="Arial"/>
          <w:sz w:val="16"/>
          <w:szCs w:val="16"/>
          <w:color w:val="auto"/>
        </w:rPr>
        <w:t>performance-based remuneration provided pursuant to a written binding contract that was in effect on November 2, 2017 provided that such contract is not materially modified after that date.</w:t>
      </w:r>
    </w:p>
    <w:p>
      <w:pPr>
        <w:spacing w:after="0" w:line="70"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The Company monitors the application of Section 162(m) and the associated Treasury regulations on an ongoing basis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90" w:lineRule="exact"/>
        <w:rPr>
          <w:sz w:val="20"/>
          <w:szCs w:val="20"/>
          <w:color w:val="auto"/>
        </w:rPr>
      </w:pPr>
    </w:p>
    <w:p>
      <w:pPr>
        <w:sectPr>
          <w:pgSz w:w="11900" w:h="16838" w:orient="portrait"/>
          <w:cols w:equalWidth="0" w:num="2">
            <w:col w:w="4640" w:space="24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Potential Recoupment of Compensation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33655</wp:posOffset>
            </wp:positionV>
            <wp:extent cx="57778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In February 2019, the Company’s Board adopted a Clawback Policy. All equity and non-equity incentive plan compensation granted by the Company in 2019 and thereafter is subject to this Clawback Policy. The policy provides that if an accounting restatement is required due to the Company’s material non-compliance with any accounting requirements, then all of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executive officers, regardless of whether they were at fault or not in the circumstances leading to the restatement, will be subject to forfeiting any excess in the incentive compensation they earned over the prior three years over what they would have earned if there had not been a material non-compliance in the financial statements.</w:t>
      </w:r>
    </w:p>
    <w:p>
      <w:pPr>
        <w:spacing w:after="0" w:line="82" w:lineRule="exact"/>
        <w:rPr>
          <w:sz w:val="20"/>
          <w:szCs w:val="20"/>
          <w:color w:val="auto"/>
        </w:rPr>
      </w:pPr>
    </w:p>
    <w:p>
      <w:pPr>
        <w:sectPr>
          <w:pgSz w:w="11900" w:h="16838" w:orient="portrait"/>
          <w:cols w:equalWidth="0" w:num="2">
            <w:col w:w="4660" w:space="22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33655</wp:posOffset>
            </wp:positionV>
            <wp:extent cx="5777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ind w:left="220" w:right="60"/>
        <w:spacing w:after="0" w:line="256" w:lineRule="auto"/>
        <w:rPr>
          <w:sz w:val="20"/>
          <w:szCs w:val="20"/>
          <w:color w:val="auto"/>
        </w:rPr>
      </w:pPr>
      <w:r>
        <w:rPr>
          <w:rFonts w:ascii="Arial" w:cs="Arial" w:eastAsia="Arial" w:hAnsi="Arial"/>
          <w:sz w:val="16"/>
          <w:szCs w:val="16"/>
          <w:color w:val="auto"/>
        </w:rPr>
        <w:t>The Company’s Insider Trading Policy prohibits Company directors, officers and certain designated employees from</w:t>
      </w:r>
    </w:p>
    <w:p>
      <w:pPr>
        <w:spacing w:after="0" w:line="1" w:lineRule="exact"/>
        <w:rPr>
          <w:sz w:val="20"/>
          <w:szCs w:val="20"/>
          <w:color w:val="auto"/>
        </w:rPr>
      </w:pPr>
    </w:p>
    <w:p>
      <w:pPr>
        <w:ind w:left="220" w:hanging="2"/>
        <w:spacing w:after="0" w:line="265" w:lineRule="auto"/>
        <w:tabs>
          <w:tab w:leader="none" w:pos="4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engaging in any hedging or monetization transactions involving Company securities or from purchasing or selling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any put or call option contract or similar instrument with respect to Company securities and (ii) pledging Company securities as collateral for a loan or holding such shares in a margin account.</w:t>
      </w:r>
    </w:p>
    <w:p>
      <w:pPr>
        <w:spacing w:after="0" w:line="78" w:lineRule="exact"/>
        <w:rPr>
          <w:sz w:val="20"/>
          <w:szCs w:val="20"/>
          <w:color w:val="auto"/>
        </w:rPr>
      </w:pPr>
    </w:p>
    <w:p>
      <w:pPr>
        <w:sectPr>
          <w:pgSz w:w="11900" w:h="16838" w:orient="portrait"/>
          <w:cols w:equalWidth="0" w:num="2">
            <w:col w:w="4400" w:space="48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Consideration of Most Recent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33655</wp:posOffset>
            </wp:positionV>
            <wp:extent cx="57778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ind w:left="220"/>
        <w:spacing w:after="0" w:line="256" w:lineRule="auto"/>
        <w:rPr>
          <w:sz w:val="20"/>
          <w:szCs w:val="20"/>
          <w:color w:val="auto"/>
        </w:rPr>
      </w:pPr>
      <w:r>
        <w:rPr>
          <w:rFonts w:ascii="Arial" w:cs="Arial" w:eastAsia="Arial" w:hAnsi="Arial"/>
          <w:sz w:val="16"/>
          <w:szCs w:val="16"/>
          <w:color w:val="auto"/>
        </w:rPr>
        <w:t>At the annual meeting of shareholders on May 5, 2021, 96.4% of the shares voted were voted in support of the compensation of our Named Executive Officers, as discussed and disclosed in the 2021 proxy statement. Irrespective of the strong support, the Compensation Committee continues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review the Company’s compensation strategy to ensure that it provides appropriate compensation to the Company’s Named Executive Officers and to further align the interests of management and shareholders.</w:t>
      </w:r>
    </w:p>
    <w:p>
      <w:pPr>
        <w:spacing w:after="0" w:line="267" w:lineRule="exact"/>
        <w:rPr>
          <w:sz w:val="20"/>
          <w:szCs w:val="20"/>
          <w:color w:val="auto"/>
        </w:rPr>
      </w:pPr>
    </w:p>
    <w:p>
      <w:pPr>
        <w:sectPr>
          <w:pgSz w:w="11900" w:h="16838" w:orient="portrait"/>
          <w:cols w:equalWidth="0" w:num="2">
            <w:col w:w="4640" w:space="240"/>
            <w:col w:w="4440"/>
          </w:cols>
          <w:pgMar w:left="1280" w:top="263"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Compensation Changes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33655</wp:posOffset>
            </wp:positionV>
            <wp:extent cx="57778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4"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The Compensation Committee recently approved certain revisions to the Company’s compensation program for 2022.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u w:val="single" w:color="auto"/>
          <w:color w:val="auto"/>
        </w:rPr>
        <w:t>Target Compensation Mix</w:t>
      </w:r>
      <w:r>
        <w:rPr>
          <w:rFonts w:ascii="Arial" w:cs="Arial" w:eastAsia="Arial" w:hAnsi="Arial"/>
          <w:sz w:val="16"/>
          <w:szCs w:val="16"/>
          <w:color w:val="auto"/>
        </w:rPr>
        <w:t>. The table below shows the mix of 2022 fixed pay (base salary) and at-risk pay incentives (cash incentive compensation and equity awards), presented at target, for each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27305</wp:posOffset>
            </wp:positionV>
            <wp:extent cx="5777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4540" w:space="340"/>
            <w:col w:w="4440"/>
          </w:cols>
          <w:pgMar w:left="1280" w:top="263" w:right="1299" w:bottom="1440" w:gutter="0" w:footer="0" w:header="0"/>
          <w:type w:val="continuous"/>
        </w:sectPr>
      </w:pPr>
    </w:p>
    <w:tbl>
      <w:tblPr>
        <w:tblLayout w:type="fixed"/>
        <w:tblInd w:w="22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Arial" w:cs="Arial" w:eastAsia="Arial" w:hAnsi="Arial"/>
                <w:sz w:val="15"/>
                <w:szCs w:val="15"/>
                <w:b w:val="1"/>
                <w:bCs w:val="1"/>
                <w:color w:val="2F5DA8"/>
              </w:rPr>
              <w:t>Percentage of Base Salary</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20" w:type="dxa"/>
            <w:vAlign w:val="bottom"/>
            <w:tcBorders>
              <w:bottom w:val="single" w:sz="8" w:color="2F5DA8"/>
            </w:tcBorders>
          </w:tcPr>
          <w:p>
            <w:pPr>
              <w:spacing w:after="0"/>
              <w:rPr>
                <w:sz w:val="4"/>
                <w:szCs w:val="4"/>
                <w:color w:val="auto"/>
              </w:rPr>
            </w:pPr>
          </w:p>
        </w:tc>
        <w:tc>
          <w:tcPr>
            <w:tcW w:w="1380" w:type="dxa"/>
            <w:vAlign w:val="bottom"/>
            <w:tcBorders>
              <w:bottom w:val="single" w:sz="8" w:color="2F5DA8"/>
            </w:tcBorders>
          </w:tcPr>
          <w:p>
            <w:pPr>
              <w:spacing w:after="0"/>
              <w:rPr>
                <w:sz w:val="4"/>
                <w:szCs w:val="4"/>
                <w:color w:val="auto"/>
              </w:rPr>
            </w:pPr>
          </w:p>
        </w:tc>
        <w:tc>
          <w:tcPr>
            <w:tcW w:w="1480" w:type="dxa"/>
            <w:vAlign w:val="bottom"/>
            <w:tcBorders>
              <w:bottom w:val="single" w:sz="8" w:color="2F5DA8"/>
            </w:tcBorders>
          </w:tcPr>
          <w:p>
            <w:pPr>
              <w:spacing w:after="0"/>
              <w:rPr>
                <w:sz w:val="4"/>
                <w:szCs w:val="4"/>
                <w:color w:val="auto"/>
              </w:rPr>
            </w:pPr>
          </w:p>
        </w:tc>
        <w:tc>
          <w:tcPr>
            <w:tcW w:w="132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86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Name</w:t>
            </w:r>
          </w:p>
        </w:tc>
        <w:tc>
          <w:tcPr>
            <w:tcW w:w="154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F5DA8"/>
              </w:rPr>
              <w:t>Base Salary</w:t>
            </w:r>
          </w:p>
        </w:tc>
        <w:tc>
          <w:tcPr>
            <w:tcW w:w="1520" w:type="dxa"/>
            <w:vAlign w:val="bottom"/>
          </w:tcPr>
          <w:p>
            <w:pPr>
              <w:jc w:val="right"/>
              <w:ind w:right="204"/>
              <w:spacing w:after="0"/>
              <w:rPr>
                <w:sz w:val="20"/>
                <w:szCs w:val="20"/>
                <w:color w:val="auto"/>
              </w:rPr>
            </w:pPr>
            <w:r>
              <w:rPr>
                <w:rFonts w:ascii="Arial" w:cs="Arial" w:eastAsia="Arial" w:hAnsi="Arial"/>
                <w:sz w:val="15"/>
                <w:szCs w:val="15"/>
                <w:b w:val="1"/>
                <w:bCs w:val="1"/>
                <w:color w:val="2F5DA8"/>
              </w:rPr>
              <w:t>Annual Cash</w:t>
            </w:r>
          </w:p>
        </w:tc>
        <w:tc>
          <w:tcPr>
            <w:tcW w:w="1380" w:type="dxa"/>
            <w:vAlign w:val="bottom"/>
          </w:tcPr>
          <w:p>
            <w:pPr>
              <w:jc w:val="right"/>
              <w:ind w:right="204"/>
              <w:spacing w:after="0"/>
              <w:rPr>
                <w:sz w:val="20"/>
                <w:szCs w:val="20"/>
                <w:color w:val="auto"/>
              </w:rPr>
            </w:pPr>
            <w:r>
              <w:rPr>
                <w:rFonts w:ascii="Arial" w:cs="Arial" w:eastAsia="Arial" w:hAnsi="Arial"/>
                <w:sz w:val="15"/>
                <w:szCs w:val="15"/>
                <w:b w:val="1"/>
                <w:bCs w:val="1"/>
                <w:color w:val="2F5DA8"/>
              </w:rPr>
              <w:t>Time-Based</w:t>
            </w:r>
          </w:p>
        </w:tc>
        <w:tc>
          <w:tcPr>
            <w:tcW w:w="1480" w:type="dxa"/>
            <w:vAlign w:val="bottom"/>
          </w:tcPr>
          <w:p>
            <w:pPr>
              <w:jc w:val="right"/>
              <w:ind w:right="224"/>
              <w:spacing w:after="0"/>
              <w:rPr>
                <w:sz w:val="20"/>
                <w:szCs w:val="20"/>
                <w:color w:val="auto"/>
              </w:rPr>
            </w:pPr>
            <w:r>
              <w:rPr>
                <w:rFonts w:ascii="Arial" w:cs="Arial" w:eastAsia="Arial" w:hAnsi="Arial"/>
                <w:sz w:val="15"/>
                <w:szCs w:val="15"/>
                <w:b w:val="1"/>
                <w:bCs w:val="1"/>
                <w:color w:val="2F5DA8"/>
              </w:rPr>
              <w:t>Performance</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2F5DA8"/>
              </w:rPr>
              <w:t>Long Term</w:t>
            </w:r>
          </w:p>
        </w:tc>
        <w:tc>
          <w:tcPr>
            <w:tcW w:w="0" w:type="dxa"/>
            <w:vAlign w:val="bottom"/>
          </w:tcPr>
          <w:p>
            <w:pPr>
              <w:spacing w:after="0"/>
              <w:rPr>
                <w:sz w:val="1"/>
                <w:szCs w:val="1"/>
                <w:color w:val="auto"/>
              </w:rPr>
            </w:pPr>
          </w:p>
        </w:tc>
      </w:tr>
      <w:tr>
        <w:trPr>
          <w:trHeight w:val="210"/>
        </w:trPr>
        <w:tc>
          <w:tcPr>
            <w:tcW w:w="186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520" w:type="dxa"/>
            <w:vAlign w:val="bottom"/>
          </w:tcPr>
          <w:p>
            <w:pPr>
              <w:jc w:val="right"/>
              <w:ind w:right="164"/>
              <w:spacing w:after="0"/>
              <w:rPr>
                <w:sz w:val="20"/>
                <w:szCs w:val="20"/>
                <w:color w:val="auto"/>
              </w:rPr>
            </w:pPr>
            <w:r>
              <w:rPr>
                <w:rFonts w:ascii="Arial" w:cs="Arial" w:eastAsia="Arial" w:hAnsi="Arial"/>
                <w:sz w:val="15"/>
                <w:szCs w:val="15"/>
                <w:b w:val="1"/>
                <w:bCs w:val="1"/>
                <w:color w:val="2F5DA8"/>
              </w:rPr>
              <w:t>Incentive</w:t>
            </w:r>
          </w:p>
        </w:tc>
        <w:tc>
          <w:tcPr>
            <w:tcW w:w="1380" w:type="dxa"/>
            <w:vAlign w:val="bottom"/>
          </w:tcPr>
          <w:p>
            <w:pPr>
              <w:jc w:val="right"/>
              <w:ind w:right="164"/>
              <w:spacing w:after="0"/>
              <w:rPr>
                <w:sz w:val="20"/>
                <w:szCs w:val="20"/>
                <w:color w:val="auto"/>
              </w:rPr>
            </w:pPr>
            <w:r>
              <w:rPr>
                <w:rFonts w:ascii="Arial" w:cs="Arial" w:eastAsia="Arial" w:hAnsi="Arial"/>
                <w:sz w:val="15"/>
                <w:szCs w:val="15"/>
                <w:b w:val="1"/>
                <w:bCs w:val="1"/>
                <w:color w:val="2F5DA8"/>
              </w:rPr>
              <w:t>Award</w:t>
            </w:r>
          </w:p>
        </w:tc>
        <w:tc>
          <w:tcPr>
            <w:tcW w:w="1480" w:type="dxa"/>
            <w:vAlign w:val="bottom"/>
          </w:tcPr>
          <w:p>
            <w:pPr>
              <w:jc w:val="right"/>
              <w:ind w:right="184"/>
              <w:spacing w:after="0"/>
              <w:rPr>
                <w:sz w:val="20"/>
                <w:szCs w:val="20"/>
                <w:color w:val="auto"/>
              </w:rPr>
            </w:pPr>
            <w:r>
              <w:rPr>
                <w:rFonts w:ascii="Arial" w:cs="Arial" w:eastAsia="Arial" w:hAnsi="Arial"/>
                <w:sz w:val="15"/>
                <w:szCs w:val="15"/>
                <w:b w:val="1"/>
                <w:bCs w:val="1"/>
                <w:color w:val="2F5DA8"/>
              </w:rPr>
              <w:t>Share Plan</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2F5DA8"/>
              </w:rPr>
              <w:t>Incentive Plan</w:t>
            </w:r>
          </w:p>
        </w:tc>
        <w:tc>
          <w:tcPr>
            <w:tcW w:w="0" w:type="dxa"/>
            <w:vAlign w:val="bottom"/>
          </w:tcPr>
          <w:p>
            <w:pPr>
              <w:spacing w:after="0"/>
              <w:rPr>
                <w:sz w:val="1"/>
                <w:szCs w:val="1"/>
                <w:color w:val="auto"/>
              </w:rPr>
            </w:pPr>
          </w:p>
        </w:tc>
      </w:tr>
      <w:tr>
        <w:trPr>
          <w:trHeight w:val="52"/>
        </w:trPr>
        <w:tc>
          <w:tcPr>
            <w:tcW w:w="1860" w:type="dxa"/>
            <w:vAlign w:val="bottom"/>
            <w:tcBorders>
              <w:bottom w:val="single" w:sz="8" w:color="2F5DA8"/>
            </w:tcBorders>
          </w:tcPr>
          <w:p>
            <w:pPr>
              <w:spacing w:after="0"/>
              <w:rPr>
                <w:sz w:val="4"/>
                <w:szCs w:val="4"/>
                <w:color w:val="auto"/>
              </w:rPr>
            </w:pPr>
          </w:p>
        </w:tc>
        <w:tc>
          <w:tcPr>
            <w:tcW w:w="1540" w:type="dxa"/>
            <w:vAlign w:val="bottom"/>
            <w:tcBorders>
              <w:bottom w:val="single" w:sz="8" w:color="2F5DA8"/>
            </w:tcBorders>
          </w:tcPr>
          <w:p>
            <w:pPr>
              <w:spacing w:after="0"/>
              <w:rPr>
                <w:sz w:val="4"/>
                <w:szCs w:val="4"/>
                <w:color w:val="auto"/>
              </w:rPr>
            </w:pPr>
          </w:p>
        </w:tc>
        <w:tc>
          <w:tcPr>
            <w:tcW w:w="1520" w:type="dxa"/>
            <w:vAlign w:val="bottom"/>
            <w:tcBorders>
              <w:bottom w:val="single" w:sz="8" w:color="2F5DA8"/>
            </w:tcBorders>
          </w:tcPr>
          <w:p>
            <w:pPr>
              <w:spacing w:after="0"/>
              <w:rPr>
                <w:sz w:val="4"/>
                <w:szCs w:val="4"/>
                <w:color w:val="auto"/>
              </w:rPr>
            </w:pPr>
          </w:p>
        </w:tc>
        <w:tc>
          <w:tcPr>
            <w:tcW w:w="1380" w:type="dxa"/>
            <w:vAlign w:val="bottom"/>
            <w:tcBorders>
              <w:bottom w:val="single" w:sz="8" w:color="2F5DA8"/>
            </w:tcBorders>
          </w:tcPr>
          <w:p>
            <w:pPr>
              <w:spacing w:after="0"/>
              <w:rPr>
                <w:sz w:val="4"/>
                <w:szCs w:val="4"/>
                <w:color w:val="auto"/>
              </w:rPr>
            </w:pPr>
          </w:p>
        </w:tc>
        <w:tc>
          <w:tcPr>
            <w:tcW w:w="1480" w:type="dxa"/>
            <w:vAlign w:val="bottom"/>
            <w:tcBorders>
              <w:bottom w:val="single" w:sz="8" w:color="2F5DA8"/>
            </w:tcBorders>
          </w:tcPr>
          <w:p>
            <w:pPr>
              <w:spacing w:after="0"/>
              <w:rPr>
                <w:sz w:val="4"/>
                <w:szCs w:val="4"/>
                <w:color w:val="auto"/>
              </w:rPr>
            </w:pPr>
          </w:p>
        </w:tc>
        <w:tc>
          <w:tcPr>
            <w:tcW w:w="132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86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$650,000</w:t>
            </w:r>
          </w:p>
        </w:tc>
        <w:tc>
          <w:tcPr>
            <w:tcW w:w="1520" w:type="dxa"/>
            <w:vAlign w:val="bottom"/>
          </w:tcPr>
          <w:p>
            <w:pPr>
              <w:jc w:val="right"/>
              <w:ind w:right="184"/>
              <w:spacing w:after="0"/>
              <w:rPr>
                <w:sz w:val="20"/>
                <w:szCs w:val="20"/>
                <w:color w:val="auto"/>
              </w:rPr>
            </w:pPr>
            <w:r>
              <w:rPr>
                <w:rFonts w:ascii="Arial" w:cs="Arial" w:eastAsia="Arial" w:hAnsi="Arial"/>
                <w:sz w:val="15"/>
                <w:szCs w:val="15"/>
                <w:color w:val="auto"/>
              </w:rPr>
              <w:t>125%</w:t>
            </w:r>
          </w:p>
        </w:tc>
        <w:tc>
          <w:tcPr>
            <w:tcW w:w="1380" w:type="dxa"/>
            <w:vAlign w:val="bottom"/>
          </w:tcPr>
          <w:p>
            <w:pPr>
              <w:jc w:val="right"/>
              <w:ind w:right="184"/>
              <w:spacing w:after="0"/>
              <w:rPr>
                <w:sz w:val="20"/>
                <w:szCs w:val="20"/>
                <w:color w:val="auto"/>
              </w:rPr>
            </w:pPr>
            <w:r>
              <w:rPr>
                <w:rFonts w:ascii="Arial" w:cs="Arial" w:eastAsia="Arial" w:hAnsi="Arial"/>
                <w:sz w:val="15"/>
                <w:szCs w:val="15"/>
                <w:color w:val="auto"/>
              </w:rPr>
              <w:t>75%</w:t>
            </w:r>
          </w:p>
        </w:tc>
        <w:tc>
          <w:tcPr>
            <w:tcW w:w="1480" w:type="dxa"/>
            <w:vAlign w:val="bottom"/>
          </w:tcPr>
          <w:p>
            <w:pPr>
              <w:jc w:val="right"/>
              <w:ind w:right="204"/>
              <w:spacing w:after="0"/>
              <w:rPr>
                <w:sz w:val="20"/>
                <w:szCs w:val="20"/>
                <w:color w:val="auto"/>
              </w:rPr>
            </w:pPr>
            <w:r>
              <w:rPr>
                <w:rFonts w:ascii="Arial" w:cs="Arial" w:eastAsia="Arial" w:hAnsi="Arial"/>
                <w:sz w:val="15"/>
                <w:szCs w:val="15"/>
                <w:color w:val="auto"/>
              </w:rPr>
              <w:t>75%</w:t>
            </w:r>
          </w:p>
        </w:tc>
        <w:tc>
          <w:tcPr>
            <w:tcW w:w="1320" w:type="dxa"/>
            <w:vAlign w:val="bottom"/>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860" w:type="dxa"/>
            <w:vAlign w:val="bottom"/>
          </w:tcPr>
          <w:p>
            <w:pPr>
              <w:ind w:left="40"/>
              <w:spacing w:after="0"/>
              <w:rPr>
                <w:sz w:val="20"/>
                <w:szCs w:val="20"/>
                <w:color w:val="auto"/>
              </w:rPr>
            </w:pPr>
            <w:r>
              <w:rPr>
                <w:rFonts w:ascii="Arial" w:cs="Arial" w:eastAsia="Arial" w:hAnsi="Arial"/>
                <w:sz w:val="15"/>
                <w:szCs w:val="15"/>
                <w:color w:val="auto"/>
              </w:rPr>
              <w:t>Michael R. Leach</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$365,000</w:t>
            </w:r>
          </w:p>
        </w:tc>
        <w:tc>
          <w:tcPr>
            <w:tcW w:w="1520" w:type="dxa"/>
            <w:vAlign w:val="bottom"/>
          </w:tcPr>
          <w:p>
            <w:pPr>
              <w:jc w:val="right"/>
              <w:ind w:right="184"/>
              <w:spacing w:after="0"/>
              <w:rPr>
                <w:sz w:val="20"/>
                <w:szCs w:val="20"/>
                <w:color w:val="auto"/>
              </w:rPr>
            </w:pPr>
            <w:r>
              <w:rPr>
                <w:rFonts w:ascii="Arial" w:cs="Arial" w:eastAsia="Arial" w:hAnsi="Arial"/>
                <w:sz w:val="15"/>
                <w:szCs w:val="15"/>
                <w:color w:val="auto"/>
              </w:rPr>
              <w:t>50%</w:t>
            </w:r>
          </w:p>
        </w:tc>
        <w:tc>
          <w:tcPr>
            <w:tcW w:w="1380" w:type="dxa"/>
            <w:vAlign w:val="bottom"/>
          </w:tcPr>
          <w:p>
            <w:pPr>
              <w:jc w:val="right"/>
              <w:ind w:right="164"/>
              <w:spacing w:after="0"/>
              <w:rPr>
                <w:sz w:val="20"/>
                <w:szCs w:val="20"/>
                <w:color w:val="auto"/>
              </w:rPr>
            </w:pPr>
            <w:r>
              <w:rPr>
                <w:rFonts w:ascii="Arial" w:cs="Arial" w:eastAsia="Arial" w:hAnsi="Arial"/>
                <w:sz w:val="15"/>
                <w:szCs w:val="15"/>
                <w:color w:val="auto"/>
              </w:rPr>
              <w:t>22.5%</w:t>
            </w:r>
          </w:p>
        </w:tc>
        <w:tc>
          <w:tcPr>
            <w:tcW w:w="1480" w:type="dxa"/>
            <w:vAlign w:val="bottom"/>
          </w:tcPr>
          <w:p>
            <w:pPr>
              <w:jc w:val="right"/>
              <w:ind w:right="184"/>
              <w:spacing w:after="0"/>
              <w:rPr>
                <w:sz w:val="20"/>
                <w:szCs w:val="20"/>
                <w:color w:val="auto"/>
              </w:rPr>
            </w:pPr>
            <w:r>
              <w:rPr>
                <w:rFonts w:ascii="Arial" w:cs="Arial" w:eastAsia="Arial" w:hAnsi="Arial"/>
                <w:sz w:val="15"/>
                <w:szCs w:val="15"/>
                <w:color w:val="auto"/>
              </w:rPr>
              <w:t>22.5%</w:t>
            </w:r>
          </w:p>
        </w:tc>
        <w:tc>
          <w:tcPr>
            <w:tcW w:w="132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860" w:type="dxa"/>
            <w:vAlign w:val="bottom"/>
          </w:tcPr>
          <w:p>
            <w:pPr>
              <w:ind w:left="40"/>
              <w:spacing w:after="0"/>
              <w:rPr>
                <w:sz w:val="20"/>
                <w:szCs w:val="20"/>
                <w:color w:val="auto"/>
              </w:rPr>
            </w:pPr>
            <w:r>
              <w:rPr>
                <w:rFonts w:ascii="Arial" w:cs="Arial" w:eastAsia="Arial" w:hAnsi="Arial"/>
                <w:sz w:val="15"/>
                <w:szCs w:val="15"/>
                <w:color w:val="auto"/>
              </w:rPr>
              <w:t>Robert P. Maida</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$335,000</w:t>
            </w:r>
          </w:p>
        </w:tc>
        <w:tc>
          <w:tcPr>
            <w:tcW w:w="1520" w:type="dxa"/>
            <w:vAlign w:val="bottom"/>
          </w:tcPr>
          <w:p>
            <w:pPr>
              <w:jc w:val="right"/>
              <w:ind w:right="184"/>
              <w:spacing w:after="0"/>
              <w:rPr>
                <w:sz w:val="20"/>
                <w:szCs w:val="20"/>
                <w:color w:val="auto"/>
              </w:rPr>
            </w:pPr>
            <w:r>
              <w:rPr>
                <w:rFonts w:ascii="Arial" w:cs="Arial" w:eastAsia="Arial" w:hAnsi="Arial"/>
                <w:sz w:val="15"/>
                <w:szCs w:val="15"/>
                <w:color w:val="auto"/>
              </w:rPr>
              <w:t>50%</w:t>
            </w:r>
          </w:p>
        </w:tc>
        <w:tc>
          <w:tcPr>
            <w:tcW w:w="1380" w:type="dxa"/>
            <w:vAlign w:val="bottom"/>
          </w:tcPr>
          <w:p>
            <w:pPr>
              <w:jc w:val="right"/>
              <w:ind w:right="164"/>
              <w:spacing w:after="0"/>
              <w:rPr>
                <w:sz w:val="20"/>
                <w:szCs w:val="20"/>
                <w:color w:val="auto"/>
              </w:rPr>
            </w:pPr>
            <w:r>
              <w:rPr>
                <w:rFonts w:ascii="Arial" w:cs="Arial" w:eastAsia="Arial" w:hAnsi="Arial"/>
                <w:sz w:val="15"/>
                <w:szCs w:val="15"/>
                <w:color w:val="auto"/>
              </w:rPr>
              <w:t>22.5%</w:t>
            </w:r>
          </w:p>
        </w:tc>
        <w:tc>
          <w:tcPr>
            <w:tcW w:w="1480" w:type="dxa"/>
            <w:vAlign w:val="bottom"/>
          </w:tcPr>
          <w:p>
            <w:pPr>
              <w:jc w:val="right"/>
              <w:ind w:right="184"/>
              <w:spacing w:after="0"/>
              <w:rPr>
                <w:sz w:val="20"/>
                <w:szCs w:val="20"/>
                <w:color w:val="auto"/>
              </w:rPr>
            </w:pPr>
            <w:r>
              <w:rPr>
                <w:rFonts w:ascii="Arial" w:cs="Arial" w:eastAsia="Arial" w:hAnsi="Arial"/>
                <w:sz w:val="15"/>
                <w:szCs w:val="15"/>
                <w:color w:val="auto"/>
              </w:rPr>
              <w:t>22.5%</w:t>
            </w:r>
          </w:p>
        </w:tc>
        <w:tc>
          <w:tcPr>
            <w:tcW w:w="132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86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$378,000</w:t>
            </w:r>
          </w:p>
        </w:tc>
        <w:tc>
          <w:tcPr>
            <w:tcW w:w="1520" w:type="dxa"/>
            <w:vAlign w:val="bottom"/>
          </w:tcPr>
          <w:p>
            <w:pPr>
              <w:jc w:val="right"/>
              <w:ind w:right="184"/>
              <w:spacing w:after="0"/>
              <w:rPr>
                <w:sz w:val="20"/>
                <w:szCs w:val="20"/>
                <w:color w:val="auto"/>
              </w:rPr>
            </w:pPr>
            <w:r>
              <w:rPr>
                <w:rFonts w:ascii="Arial" w:cs="Arial" w:eastAsia="Arial" w:hAnsi="Arial"/>
                <w:sz w:val="15"/>
                <w:szCs w:val="15"/>
                <w:color w:val="auto"/>
              </w:rPr>
              <w:t>20%</w:t>
            </w:r>
          </w:p>
        </w:tc>
        <w:tc>
          <w:tcPr>
            <w:tcW w:w="1380" w:type="dxa"/>
            <w:vAlign w:val="bottom"/>
          </w:tcPr>
          <w:p>
            <w:pPr>
              <w:jc w:val="right"/>
              <w:ind w:right="184"/>
              <w:spacing w:after="0"/>
              <w:rPr>
                <w:sz w:val="20"/>
                <w:szCs w:val="20"/>
                <w:color w:val="auto"/>
              </w:rPr>
            </w:pPr>
            <w:r>
              <w:rPr>
                <w:rFonts w:ascii="Arial" w:cs="Arial" w:eastAsia="Arial" w:hAnsi="Arial"/>
                <w:sz w:val="15"/>
                <w:szCs w:val="15"/>
                <w:color w:val="auto"/>
              </w:rPr>
              <w:t>7.5%</w:t>
            </w:r>
          </w:p>
        </w:tc>
        <w:tc>
          <w:tcPr>
            <w:tcW w:w="1480" w:type="dxa"/>
            <w:vAlign w:val="bottom"/>
          </w:tcPr>
          <w:p>
            <w:pPr>
              <w:jc w:val="right"/>
              <w:ind w:right="204"/>
              <w:spacing w:after="0"/>
              <w:rPr>
                <w:sz w:val="20"/>
                <w:szCs w:val="20"/>
                <w:color w:val="auto"/>
              </w:rPr>
            </w:pPr>
            <w:r>
              <w:rPr>
                <w:rFonts w:ascii="Arial" w:cs="Arial" w:eastAsia="Arial" w:hAnsi="Arial"/>
                <w:sz w:val="15"/>
                <w:szCs w:val="15"/>
                <w:color w:val="auto"/>
              </w:rPr>
              <w:t>7.5%</w:t>
            </w: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6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Helmut D. Pirthauer</w:t>
            </w:r>
          </w:p>
        </w:tc>
        <w:tc>
          <w:tcPr>
            <w:tcW w:w="1540" w:type="dxa"/>
            <w:vAlign w:val="bottom"/>
            <w:tcBorders>
              <w:bottom w:val="single" w:sz="8" w:color="2F5DA8"/>
            </w:tcBorders>
          </w:tcPr>
          <w:p>
            <w:pPr>
              <w:jc w:val="right"/>
              <w:ind w:right="124"/>
              <w:spacing w:after="0"/>
              <w:rPr>
                <w:sz w:val="20"/>
                <w:szCs w:val="20"/>
                <w:color w:val="auto"/>
              </w:rPr>
            </w:pPr>
            <w:r>
              <w:rPr>
                <w:rFonts w:ascii="Arial" w:cs="Arial" w:eastAsia="Arial" w:hAnsi="Arial"/>
                <w:sz w:val="15"/>
                <w:szCs w:val="15"/>
                <w:color w:val="auto"/>
              </w:rPr>
              <w:t>€305,000</w:t>
            </w:r>
          </w:p>
        </w:tc>
        <w:tc>
          <w:tcPr>
            <w:tcW w:w="1520" w:type="dxa"/>
            <w:vAlign w:val="bottom"/>
            <w:tcBorders>
              <w:bottom w:val="single" w:sz="8" w:color="2F5DA8"/>
            </w:tcBorders>
          </w:tcPr>
          <w:p>
            <w:pPr>
              <w:jc w:val="right"/>
              <w:ind w:right="184"/>
              <w:spacing w:after="0"/>
              <w:rPr>
                <w:sz w:val="20"/>
                <w:szCs w:val="20"/>
                <w:color w:val="auto"/>
              </w:rPr>
            </w:pPr>
            <w:r>
              <w:rPr>
                <w:rFonts w:ascii="Arial" w:cs="Arial" w:eastAsia="Arial" w:hAnsi="Arial"/>
                <w:sz w:val="15"/>
                <w:szCs w:val="15"/>
                <w:color w:val="auto"/>
              </w:rPr>
              <w:t>35%</w:t>
            </w:r>
          </w:p>
        </w:tc>
        <w:tc>
          <w:tcPr>
            <w:tcW w:w="1380" w:type="dxa"/>
            <w:vAlign w:val="bottom"/>
            <w:tcBorders>
              <w:bottom w:val="single" w:sz="8" w:color="2F5DA8"/>
            </w:tcBorders>
          </w:tcPr>
          <w:p>
            <w:pPr>
              <w:jc w:val="right"/>
              <w:ind w:right="184"/>
              <w:spacing w:after="0"/>
              <w:rPr>
                <w:sz w:val="20"/>
                <w:szCs w:val="20"/>
                <w:color w:val="auto"/>
              </w:rPr>
            </w:pPr>
            <w:r>
              <w:rPr>
                <w:rFonts w:ascii="Arial" w:cs="Arial" w:eastAsia="Arial" w:hAnsi="Arial"/>
                <w:sz w:val="15"/>
                <w:szCs w:val="15"/>
                <w:color w:val="auto"/>
              </w:rPr>
              <w:t>20%</w:t>
            </w:r>
          </w:p>
        </w:tc>
        <w:tc>
          <w:tcPr>
            <w:tcW w:w="1480" w:type="dxa"/>
            <w:vAlign w:val="bottom"/>
            <w:tcBorders>
              <w:bottom w:val="single" w:sz="8" w:color="2F5DA8"/>
            </w:tcBorders>
          </w:tcPr>
          <w:p>
            <w:pPr>
              <w:jc w:val="right"/>
              <w:ind w:right="34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2F5DA8"/>
            </w:tcBorders>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9320"/>
          </w:cols>
          <w:pgMar w:left="1280" w:top="263" w:right="1299" w:bottom="1440" w:gutter="0" w:footer="0" w:header="0"/>
          <w:type w:val="continuous"/>
        </w:sectPr>
      </w:pPr>
    </w:p>
    <w:p>
      <w:pPr>
        <w:ind w:left="220" w:right="20"/>
        <w:spacing w:after="0" w:line="254" w:lineRule="auto"/>
        <w:rPr>
          <w:sz w:val="20"/>
          <w:szCs w:val="20"/>
          <w:color w:val="auto"/>
        </w:rPr>
      </w:pPr>
      <w:r>
        <w:rPr>
          <w:rFonts w:ascii="Arial" w:cs="Arial" w:eastAsia="Arial" w:hAnsi="Arial"/>
          <w:sz w:val="16"/>
          <w:szCs w:val="16"/>
          <w:u w:val="single" w:color="auto"/>
          <w:color w:val="auto"/>
        </w:rPr>
        <w:t>LTIP</w:t>
      </w:r>
      <w:r>
        <w:rPr>
          <w:rFonts w:ascii="Arial" w:cs="Arial" w:eastAsia="Arial" w:hAnsi="Arial"/>
          <w:sz w:val="16"/>
          <w:szCs w:val="16"/>
          <w:color w:val="auto"/>
        </w:rPr>
        <w:t>. The LTIP is a multi-year pay-for-performance incentive program. The current LTIP was first implemented in 2013 and has been amended from time to time as performance goals were achieved. This original LTIP is discussed above under the heading “Elements of Compensation – Equity Incentive Compensation – LTIP.”</w:t>
      </w:r>
    </w:p>
    <w:p>
      <w:pPr>
        <w:spacing w:after="0" w:line="7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Beginning in 2022, the Committee established a new LTIP that expanded the list of eligible participants thereunder (the “New LTIP”) to improve retention and better align the interests of a larger group of key executives with shareholders. The annual target LTIP award, reflected as a percentage of base salary, for each of the Company’s named executive officers is shown above under “Target Compensation Mix.” Awards under the New LTIP continue to be based upon the achievement of organic sales growth and acquired sales, however, the awards for certain participants will be based, in whole or in part, on revenue growth at a specific business unit level.</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6"/>
          <w:szCs w:val="16"/>
          <w:color w:val="auto"/>
        </w:rPr>
        <w:t>The Committee established sales targets under the New LTIP for both the Company, on a consolidated basis, and each business unit. Awards for the Company’s Chief Executive Officer and Chief Financial Officer and a portion of the award for the President, Allied Innovum Group, will be paid at target if the Company’s sales, on a consolidated basis, increase by 33.3% over the three-year period ending December 31, 2024. The target for the Innovum and Orion business units have been set at a cumulative sales increase of 22.5% over the same period. If the increase in sales is above or below target, awards will be made on a pro rata basis.</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New LTIP performance criteria will be measured after the end of each year of the performance period and the number of shares that will be granted with respect to a performance period will be calculated based on the Company stock price (closing price) as measured at the beginning of the applicable performance period. When calculating the increase in sales, the Company will make appropriate adjustments to account</w:t>
      </w:r>
    </w:p>
    <w:p>
      <w:pPr>
        <w:spacing w:after="0" w:line="200" w:lineRule="exact"/>
        <w:rPr>
          <w:sz w:val="20"/>
          <w:szCs w:val="20"/>
          <w:color w:val="auto"/>
        </w:rPr>
      </w:pPr>
    </w:p>
    <w:p>
      <w:pPr>
        <w:sectPr>
          <w:pgSz w:w="11900" w:h="16838" w:orient="portrait"/>
          <w:cols w:equalWidth="0" w:num="2">
            <w:col w:w="4640" w:space="240"/>
            <w:col w:w="4440"/>
          </w:cols>
          <w:pgMar w:left="1280" w:top="263" w:right="129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22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for any acquired sales for which an LTIP award has previously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been made. The restricted stock awards will vest over a two-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year period after the year of the performance period. If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recipient’s employment with the Company is terminated due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cause or voluntary resignation, any unvested LTIP shares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 be forfeited.</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Director Compensation in 2021</w:t>
      </w:r>
    </w:p>
    <w:p>
      <w:pPr>
        <w:sectPr>
          <w:pgSz w:w="11900" w:h="16838" w:orient="portrait"/>
          <w:cols w:equalWidth="0" w:num="1">
            <w:col w:w="9320"/>
          </w:cols>
          <w:pgMar w:left="1280" w:top="263" w:right="129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Under the Company’s director compensation program,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amended and restated on May 5, 2021, each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 receives an annual cash retainer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$53,600. The chairperson of the Audit Committee receives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$15,800 annual cash retainer and other members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Audit Committee receive an additional annual cash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retainer in the amount of $8,400. The chairperson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and the Governance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Nominating Committee each receive an additional $12,600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and other members of those committees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 receive an additional annual cash retainer in the amount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$6,300. The Lead Director receives an additional $32,400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All cash retainers are payable ratably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quarterly basis in arrears. Additionally, each non-employee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director is reimbursed for his or her expenses in connection with attendance at each meeting.</w:t>
      </w:r>
    </w:p>
    <w:p>
      <w:pPr>
        <w:spacing w:after="0" w:line="4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Non-employee directors also receive an annual award of restricted stock under the 2017 Omnibus Incentive Plan. The annual award consists of shares of the Company’s common stock with a value of $57,800 as of the date of grant.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7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following table shows the compensation paid by the Company to each non-employee director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13335</wp:posOffset>
            </wp:positionV>
            <wp:extent cx="57778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3240" w:type="dxa"/>
            <w:vAlign w:val="bottom"/>
          </w:tcPr>
          <w:p>
            <w:pPr>
              <w:jc w:val="right"/>
              <w:ind w:right="364"/>
              <w:spacing w:after="0"/>
              <w:rPr>
                <w:sz w:val="20"/>
                <w:szCs w:val="20"/>
                <w:color w:val="auto"/>
              </w:rPr>
            </w:pPr>
            <w:r>
              <w:rPr>
                <w:rFonts w:ascii="Arial" w:cs="Arial" w:eastAsia="Arial" w:hAnsi="Arial"/>
                <w:sz w:val="15"/>
                <w:szCs w:val="15"/>
                <w:b w:val="1"/>
                <w:bCs w:val="1"/>
                <w:color w:val="2F5DA8"/>
              </w:rPr>
              <w:t>Fees Earned</w:t>
            </w:r>
          </w:p>
        </w:tc>
        <w:tc>
          <w:tcPr>
            <w:tcW w:w="142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2F5DA8"/>
              </w:rPr>
              <w:t>Stock</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3240" w:type="dxa"/>
            <w:vAlign w:val="bottom"/>
          </w:tcPr>
          <w:p>
            <w:pPr>
              <w:ind w:left="2240"/>
              <w:spacing w:after="0" w:line="162" w:lineRule="exact"/>
              <w:rPr>
                <w:sz w:val="20"/>
                <w:szCs w:val="20"/>
                <w:color w:val="auto"/>
              </w:rPr>
            </w:pPr>
            <w:r>
              <w:rPr>
                <w:rFonts w:ascii="Arial" w:cs="Arial" w:eastAsia="Arial" w:hAnsi="Arial"/>
                <w:sz w:val="15"/>
                <w:szCs w:val="15"/>
                <w:b w:val="1"/>
                <w:bCs w:val="1"/>
                <w:color w:val="2F5DA8"/>
              </w:rPr>
              <w:t>or Paid</w:t>
            </w: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2F5DA8"/>
              </w:rPr>
              <w:t>Total</w:t>
            </w:r>
          </w:p>
        </w:tc>
        <w:tc>
          <w:tcPr>
            <w:tcW w:w="0" w:type="dxa"/>
            <w:vAlign w:val="bottom"/>
          </w:tcPr>
          <w:p>
            <w:pPr>
              <w:spacing w:after="0"/>
              <w:rPr>
                <w:sz w:val="1"/>
                <w:szCs w:val="1"/>
                <w:color w:val="auto"/>
              </w:rPr>
            </w:pPr>
          </w:p>
        </w:tc>
      </w:tr>
      <w:tr>
        <w:trPr>
          <w:trHeight w:val="162"/>
        </w:trPr>
        <w:tc>
          <w:tcPr>
            <w:tcW w:w="334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Current Directors</w:t>
            </w:r>
          </w:p>
        </w:tc>
        <w:tc>
          <w:tcPr>
            <w:tcW w:w="3240" w:type="dxa"/>
            <w:vAlign w:val="bottom"/>
          </w:tcPr>
          <w:p>
            <w:pPr>
              <w:ind w:left="2220"/>
              <w:spacing w:after="0" w:line="162" w:lineRule="exact"/>
              <w:rPr>
                <w:sz w:val="20"/>
                <w:szCs w:val="20"/>
                <w:color w:val="auto"/>
              </w:rPr>
            </w:pPr>
            <w:r>
              <w:rPr>
                <w:rFonts w:ascii="Arial" w:cs="Arial" w:eastAsia="Arial" w:hAnsi="Arial"/>
                <w:sz w:val="15"/>
                <w:szCs w:val="15"/>
                <w:b w:val="1"/>
                <w:bCs w:val="1"/>
                <w:color w:val="2F5DA8"/>
              </w:rPr>
              <w:t>in Cash</w:t>
            </w:r>
          </w:p>
        </w:tc>
        <w:tc>
          <w:tcPr>
            <w:tcW w:w="1420" w:type="dxa"/>
            <w:vAlign w:val="bottom"/>
          </w:tcPr>
          <w:p>
            <w:pPr>
              <w:jc w:val="right"/>
              <w:ind w:right="364"/>
              <w:spacing w:after="0" w:line="162" w:lineRule="exact"/>
              <w:rPr>
                <w:sz w:val="20"/>
                <w:szCs w:val="20"/>
                <w:color w:val="auto"/>
              </w:rPr>
            </w:pPr>
            <w:r>
              <w:rPr>
                <w:rFonts w:ascii="Arial" w:cs="Arial" w:eastAsia="Arial" w:hAnsi="Arial"/>
                <w:sz w:val="15"/>
                <w:szCs w:val="15"/>
                <w:b w:val="1"/>
                <w:bCs w:val="1"/>
                <w:color w:val="2F5DA8"/>
              </w:rPr>
              <w:t>Awards</w:t>
            </w:r>
          </w:p>
        </w:tc>
        <w:tc>
          <w:tcPr>
            <w:tcW w:w="5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3240" w:type="dxa"/>
            <w:vAlign w:val="bottom"/>
          </w:tcPr>
          <w:p>
            <w:pPr>
              <w:jc w:val="right"/>
              <w:ind w:right="364"/>
              <w:spacing w:after="0"/>
              <w:rPr>
                <w:sz w:val="20"/>
                <w:szCs w:val="20"/>
                <w:color w:val="auto"/>
              </w:rPr>
            </w:pPr>
            <w:r>
              <w:rPr>
                <w:rFonts w:ascii="Arial" w:cs="Arial" w:eastAsia="Arial" w:hAnsi="Arial"/>
                <w:sz w:val="15"/>
                <w:szCs w:val="15"/>
                <w:b w:val="1"/>
                <w:bCs w:val="1"/>
                <w:color w:val="2F5DA8"/>
              </w:rPr>
              <w:t>($)</w:t>
            </w:r>
          </w:p>
        </w:tc>
        <w:tc>
          <w:tcPr>
            <w:tcW w:w="1420" w:type="dxa"/>
            <w:vAlign w:val="bottom"/>
          </w:tcPr>
          <w:p>
            <w:pPr>
              <w:jc w:val="right"/>
              <w:ind w:right="364"/>
              <w:spacing w:after="0"/>
              <w:rPr>
                <w:sz w:val="20"/>
                <w:szCs w:val="20"/>
                <w:color w:val="auto"/>
              </w:rPr>
            </w:pPr>
            <w:r>
              <w:rPr>
                <w:rFonts w:ascii="Arial" w:cs="Arial" w:eastAsia="Arial" w:hAnsi="Arial"/>
                <w:sz w:val="15"/>
                <w:szCs w:val="15"/>
                <w:b w:val="1"/>
                <w:bCs w:val="1"/>
                <w:color w:val="2F5DA8"/>
              </w:rPr>
              <w:t>($)</w:t>
            </w:r>
            <w:r>
              <w:rPr>
                <w:rFonts w:ascii="Arial" w:cs="Arial" w:eastAsia="Arial" w:hAnsi="Arial"/>
                <w:sz w:val="12"/>
                <w:szCs w:val="12"/>
                <w:b w:val="1"/>
                <w:bCs w:val="1"/>
                <w:color w:val="2F5DA8"/>
              </w:rPr>
              <w:t>(1)</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2F5DA8"/>
              </w:rPr>
              <w:t>($)</w:t>
            </w:r>
          </w:p>
        </w:tc>
        <w:tc>
          <w:tcPr>
            <w:tcW w:w="0" w:type="dxa"/>
            <w:vAlign w:val="bottom"/>
          </w:tcPr>
          <w:p>
            <w:pPr>
              <w:spacing w:after="0"/>
              <w:rPr>
                <w:sz w:val="1"/>
                <w:szCs w:val="1"/>
                <w:color w:val="auto"/>
              </w:rPr>
            </w:pPr>
          </w:p>
        </w:tc>
      </w:tr>
      <w:tr>
        <w:trPr>
          <w:trHeight w:val="52"/>
        </w:trPr>
        <w:tc>
          <w:tcPr>
            <w:tcW w:w="3340" w:type="dxa"/>
            <w:vAlign w:val="bottom"/>
            <w:tcBorders>
              <w:bottom w:val="single" w:sz="8" w:color="2F5DA8"/>
            </w:tcBorders>
          </w:tcPr>
          <w:p>
            <w:pPr>
              <w:spacing w:after="0"/>
              <w:rPr>
                <w:sz w:val="4"/>
                <w:szCs w:val="4"/>
                <w:color w:val="auto"/>
              </w:rPr>
            </w:pPr>
          </w:p>
        </w:tc>
        <w:tc>
          <w:tcPr>
            <w:tcW w:w="3240" w:type="dxa"/>
            <w:vAlign w:val="bottom"/>
            <w:tcBorders>
              <w:bottom w:val="single" w:sz="8" w:color="2F5DA8"/>
            </w:tcBorders>
          </w:tcPr>
          <w:p>
            <w:pPr>
              <w:spacing w:after="0"/>
              <w:rPr>
                <w:sz w:val="4"/>
                <w:szCs w:val="4"/>
                <w:color w:val="auto"/>
              </w:rPr>
            </w:pPr>
          </w:p>
        </w:tc>
        <w:tc>
          <w:tcPr>
            <w:tcW w:w="1420" w:type="dxa"/>
            <w:vAlign w:val="bottom"/>
            <w:tcBorders>
              <w:bottom w:val="single" w:sz="8" w:color="2F5DA8"/>
            </w:tcBorders>
          </w:tcPr>
          <w:p>
            <w:pPr>
              <w:spacing w:after="0"/>
              <w:rPr>
                <w:sz w:val="4"/>
                <w:szCs w:val="4"/>
                <w:color w:val="auto"/>
              </w:rPr>
            </w:pPr>
          </w:p>
        </w:tc>
        <w:tc>
          <w:tcPr>
            <w:tcW w:w="520" w:type="dxa"/>
            <w:vAlign w:val="bottom"/>
            <w:tcBorders>
              <w:bottom w:val="single" w:sz="8" w:color="2F5DA8"/>
            </w:tcBorders>
          </w:tcPr>
          <w:p>
            <w:pPr>
              <w:spacing w:after="0"/>
              <w:rPr>
                <w:sz w:val="4"/>
                <w:szCs w:val="4"/>
                <w:color w:val="auto"/>
              </w:rPr>
            </w:pPr>
          </w:p>
        </w:tc>
        <w:tc>
          <w:tcPr>
            <w:tcW w:w="58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340" w:type="dxa"/>
            <w:vAlign w:val="bottom"/>
          </w:tcPr>
          <w:p>
            <w:pPr>
              <w:ind w:left="60"/>
              <w:spacing w:after="0"/>
              <w:rPr>
                <w:sz w:val="20"/>
                <w:szCs w:val="20"/>
                <w:color w:val="auto"/>
              </w:rPr>
            </w:pPr>
            <w:r>
              <w:rPr>
                <w:rFonts w:ascii="Arial" w:cs="Arial" w:eastAsia="Arial" w:hAnsi="Arial"/>
                <w:sz w:val="15"/>
                <w:szCs w:val="15"/>
                <w:color w:val="auto"/>
              </w:rPr>
              <w:t>Robert B. Engel</w:t>
            </w:r>
          </w:p>
        </w:tc>
        <w:tc>
          <w:tcPr>
            <w:tcW w:w="3240" w:type="dxa"/>
            <w:vAlign w:val="bottom"/>
          </w:tcPr>
          <w:p>
            <w:pPr>
              <w:ind w:left="2240"/>
              <w:spacing w:after="0"/>
              <w:rPr>
                <w:sz w:val="20"/>
                <w:szCs w:val="20"/>
                <w:color w:val="auto"/>
              </w:rPr>
            </w:pPr>
            <w:r>
              <w:rPr>
                <w:rFonts w:ascii="Arial" w:cs="Arial" w:eastAsia="Arial" w:hAnsi="Arial"/>
                <w:sz w:val="15"/>
                <w:szCs w:val="15"/>
                <w:color w:val="auto"/>
              </w:rPr>
              <w:t>$66,650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5"/>
              </w:rPr>
              <w:t>126,331</w:t>
            </w:r>
          </w:p>
        </w:tc>
        <w:tc>
          <w:tcPr>
            <w:tcW w:w="0" w:type="dxa"/>
            <w:vAlign w:val="bottom"/>
          </w:tcPr>
          <w:p>
            <w:pPr>
              <w:spacing w:after="0"/>
              <w:rPr>
                <w:sz w:val="1"/>
                <w:szCs w:val="1"/>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60"/>
              <w:spacing w:after="0"/>
              <w:rPr>
                <w:sz w:val="20"/>
                <w:szCs w:val="20"/>
                <w:color w:val="auto"/>
              </w:rPr>
            </w:pPr>
            <w:r>
              <w:rPr>
                <w:rFonts w:ascii="Arial" w:cs="Arial" w:eastAsia="Arial" w:hAnsi="Arial"/>
                <w:sz w:val="15"/>
                <w:szCs w:val="15"/>
                <w:color w:val="auto"/>
              </w:rPr>
              <w:t>Richard D. Federico</w:t>
            </w:r>
          </w:p>
        </w:tc>
        <w:tc>
          <w:tcPr>
            <w:tcW w:w="3240" w:type="dxa"/>
            <w:vAlign w:val="bottom"/>
          </w:tcPr>
          <w:p>
            <w:pPr>
              <w:ind w:left="2240"/>
              <w:spacing w:after="0"/>
              <w:rPr>
                <w:sz w:val="20"/>
                <w:szCs w:val="20"/>
                <w:color w:val="auto"/>
              </w:rPr>
            </w:pPr>
            <w:r>
              <w:rPr>
                <w:rFonts w:ascii="Arial" w:cs="Arial" w:eastAsia="Arial" w:hAnsi="Arial"/>
                <w:sz w:val="15"/>
                <w:szCs w:val="15"/>
                <w:color w:val="auto"/>
              </w:rPr>
              <w:t>$79,350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5"/>
              </w:rPr>
              <w:t>139,031</w:t>
            </w:r>
          </w:p>
        </w:tc>
        <w:tc>
          <w:tcPr>
            <w:tcW w:w="0" w:type="dxa"/>
            <w:vAlign w:val="bottom"/>
          </w:tcPr>
          <w:p>
            <w:pPr>
              <w:spacing w:after="0"/>
              <w:rPr>
                <w:sz w:val="1"/>
                <w:szCs w:val="1"/>
                <w:color w:val="auto"/>
              </w:rPr>
            </w:pPr>
          </w:p>
        </w:tc>
      </w:tr>
      <w:tr>
        <w:trPr>
          <w:trHeight w:val="47"/>
        </w:trPr>
        <w:tc>
          <w:tcPr>
            <w:tcW w:w="33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Steven C. Finch</w:t>
            </w:r>
            <w:r>
              <w:rPr>
                <w:rFonts w:ascii="Arial" w:cs="Arial" w:eastAsia="Arial" w:hAnsi="Arial"/>
                <w:sz w:val="25"/>
                <w:szCs w:val="25"/>
                <w:color w:val="auto"/>
                <w:vertAlign w:val="superscript"/>
              </w:rPr>
              <w:t>(2)</w:t>
            </w:r>
          </w:p>
        </w:tc>
        <w:tc>
          <w:tcPr>
            <w:tcW w:w="3240" w:type="dxa"/>
            <w:vAlign w:val="bottom"/>
            <w:tcBorders>
              <w:bottom w:val="single" w:sz="8" w:color="auto"/>
            </w:tcBorders>
          </w:tcPr>
          <w:p>
            <w:pPr>
              <w:ind w:left="2240"/>
              <w:spacing w:after="0"/>
              <w:rPr>
                <w:sz w:val="20"/>
                <w:szCs w:val="20"/>
                <w:color w:val="auto"/>
              </w:rPr>
            </w:pPr>
            <w:r>
              <w:rPr>
                <w:rFonts w:ascii="Arial" w:cs="Arial" w:eastAsia="Arial" w:hAnsi="Arial"/>
                <w:sz w:val="15"/>
                <w:szCs w:val="15"/>
                <w:color w:val="auto"/>
              </w:rPr>
              <w:t>$34,150</w:t>
            </w: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93,831</w:t>
            </w:r>
          </w:p>
        </w:tc>
        <w:tc>
          <w:tcPr>
            <w:tcW w:w="0" w:type="dxa"/>
            <w:vAlign w:val="bottom"/>
          </w:tcPr>
          <w:p>
            <w:pPr>
              <w:spacing w:after="0"/>
              <w:rPr>
                <w:sz w:val="1"/>
                <w:szCs w:val="1"/>
                <w:color w:val="auto"/>
              </w:rPr>
            </w:pPr>
          </w:p>
        </w:tc>
      </w:tr>
      <w:tr>
        <w:trPr>
          <w:trHeight w:val="244"/>
        </w:trPr>
        <w:tc>
          <w:tcPr>
            <w:tcW w:w="3340" w:type="dxa"/>
            <w:vAlign w:val="bottom"/>
          </w:tcPr>
          <w:p>
            <w:pPr>
              <w:ind w:left="60"/>
              <w:spacing w:after="0"/>
              <w:rPr>
                <w:sz w:val="20"/>
                <w:szCs w:val="20"/>
                <w:color w:val="auto"/>
              </w:rPr>
            </w:pPr>
            <w:r>
              <w:rPr>
                <w:rFonts w:ascii="Arial" w:cs="Arial" w:eastAsia="Arial" w:hAnsi="Arial"/>
                <w:sz w:val="15"/>
                <w:szCs w:val="15"/>
                <w:color w:val="auto"/>
              </w:rPr>
              <w:t>James J. Tanous</w:t>
            </w:r>
          </w:p>
        </w:tc>
        <w:tc>
          <w:tcPr>
            <w:tcW w:w="3240" w:type="dxa"/>
            <w:vAlign w:val="bottom"/>
          </w:tcPr>
          <w:p>
            <w:pPr>
              <w:ind w:left="2240"/>
              <w:spacing w:after="0"/>
              <w:rPr>
                <w:sz w:val="20"/>
                <w:szCs w:val="20"/>
                <w:color w:val="auto"/>
              </w:rPr>
            </w:pPr>
            <w:r>
              <w:rPr>
                <w:rFonts w:ascii="Arial" w:cs="Arial" w:eastAsia="Arial" w:hAnsi="Arial"/>
                <w:sz w:val="15"/>
                <w:szCs w:val="15"/>
                <w:color w:val="auto"/>
              </w:rPr>
              <w:t>$72,800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5"/>
              </w:rPr>
              <w:t>132,481</w:t>
            </w:r>
          </w:p>
        </w:tc>
        <w:tc>
          <w:tcPr>
            <w:tcW w:w="0" w:type="dxa"/>
            <w:vAlign w:val="bottom"/>
          </w:tcPr>
          <w:p>
            <w:pPr>
              <w:spacing w:after="0"/>
              <w:rPr>
                <w:sz w:val="1"/>
                <w:szCs w:val="1"/>
                <w:color w:val="auto"/>
              </w:rPr>
            </w:pPr>
          </w:p>
        </w:tc>
      </w:tr>
      <w:tr>
        <w:trPr>
          <w:trHeight w:val="47"/>
        </w:trPr>
        <w:tc>
          <w:tcPr>
            <w:tcW w:w="33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Nicole R. Tzetzo</w:t>
            </w:r>
            <w:r>
              <w:rPr>
                <w:rFonts w:ascii="Arial" w:cs="Arial" w:eastAsia="Arial" w:hAnsi="Arial"/>
                <w:sz w:val="25"/>
                <w:szCs w:val="25"/>
                <w:color w:val="auto"/>
                <w:vertAlign w:val="superscript"/>
              </w:rPr>
              <w:t>(2)</w:t>
            </w:r>
          </w:p>
        </w:tc>
        <w:tc>
          <w:tcPr>
            <w:tcW w:w="3240" w:type="dxa"/>
            <w:vAlign w:val="bottom"/>
            <w:tcBorders>
              <w:bottom w:val="single" w:sz="8" w:color="auto"/>
            </w:tcBorders>
          </w:tcPr>
          <w:p>
            <w:pPr>
              <w:ind w:left="2240"/>
              <w:spacing w:after="0"/>
              <w:rPr>
                <w:sz w:val="20"/>
                <w:szCs w:val="20"/>
                <w:color w:val="auto"/>
              </w:rPr>
            </w:pPr>
            <w:r>
              <w:rPr>
                <w:rFonts w:ascii="Arial" w:cs="Arial" w:eastAsia="Arial" w:hAnsi="Arial"/>
                <w:sz w:val="15"/>
                <w:szCs w:val="15"/>
                <w:color w:val="auto"/>
              </w:rPr>
              <w:t>$33,100</w:t>
            </w: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92,781</w:t>
            </w:r>
          </w:p>
        </w:tc>
        <w:tc>
          <w:tcPr>
            <w:tcW w:w="0" w:type="dxa"/>
            <w:vAlign w:val="bottom"/>
          </w:tcPr>
          <w:p>
            <w:pPr>
              <w:spacing w:after="0"/>
              <w:rPr>
                <w:sz w:val="1"/>
                <w:szCs w:val="1"/>
                <w:color w:val="auto"/>
              </w:rPr>
            </w:pPr>
          </w:p>
        </w:tc>
      </w:tr>
      <w:tr>
        <w:trPr>
          <w:trHeight w:val="244"/>
        </w:trPr>
        <w:tc>
          <w:tcPr>
            <w:tcW w:w="3340" w:type="dxa"/>
            <w:vAlign w:val="bottom"/>
          </w:tcPr>
          <w:p>
            <w:pPr>
              <w:ind w:left="60"/>
              <w:spacing w:after="0"/>
              <w:rPr>
                <w:sz w:val="20"/>
                <w:szCs w:val="20"/>
                <w:color w:val="auto"/>
              </w:rPr>
            </w:pPr>
            <w:r>
              <w:rPr>
                <w:rFonts w:ascii="Arial" w:cs="Arial" w:eastAsia="Arial" w:hAnsi="Arial"/>
                <w:sz w:val="15"/>
                <w:szCs w:val="15"/>
                <w:color w:val="auto"/>
              </w:rPr>
              <w:t>Michael R. Winter</w:t>
            </w:r>
          </w:p>
        </w:tc>
        <w:tc>
          <w:tcPr>
            <w:tcW w:w="3240" w:type="dxa"/>
            <w:vAlign w:val="bottom"/>
          </w:tcPr>
          <w:p>
            <w:pPr>
              <w:ind w:left="2240"/>
              <w:spacing w:after="0"/>
              <w:rPr>
                <w:sz w:val="20"/>
                <w:szCs w:val="20"/>
                <w:color w:val="auto"/>
              </w:rPr>
            </w:pPr>
            <w:r>
              <w:rPr>
                <w:rFonts w:ascii="Arial" w:cs="Arial" w:eastAsia="Arial" w:hAnsi="Arial"/>
                <w:sz w:val="15"/>
                <w:szCs w:val="15"/>
                <w:color w:val="auto"/>
              </w:rPr>
              <w:t>$73,850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$59,681</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5"/>
              </w:rPr>
              <w:t>133,531</w:t>
            </w:r>
          </w:p>
        </w:tc>
        <w:tc>
          <w:tcPr>
            <w:tcW w:w="0" w:type="dxa"/>
            <w:vAlign w:val="bottom"/>
          </w:tcPr>
          <w:p>
            <w:pPr>
              <w:spacing w:after="0"/>
              <w:rPr>
                <w:sz w:val="1"/>
                <w:szCs w:val="1"/>
                <w:color w:val="auto"/>
              </w:rPr>
            </w:pPr>
          </w:p>
        </w:tc>
      </w:tr>
      <w:tr>
        <w:trPr>
          <w:trHeight w:val="47"/>
        </w:trPr>
        <w:tc>
          <w:tcPr>
            <w:tcW w:w="33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60"/>
              <w:spacing w:after="0"/>
              <w:rPr>
                <w:sz w:val="20"/>
                <w:szCs w:val="20"/>
                <w:color w:val="auto"/>
              </w:rPr>
            </w:pPr>
            <w:r>
              <w:rPr>
                <w:rFonts w:ascii="Arial" w:cs="Arial" w:eastAsia="Arial" w:hAnsi="Arial"/>
                <w:sz w:val="15"/>
                <w:szCs w:val="15"/>
                <w:color w:val="auto"/>
              </w:rPr>
              <w:t>Former Directors</w:t>
            </w:r>
          </w:p>
        </w:tc>
        <w:tc>
          <w:tcPr>
            <w:tcW w:w="3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Linda P. Duch</w:t>
            </w:r>
            <w:r>
              <w:rPr>
                <w:rFonts w:ascii="Arial" w:cs="Arial" w:eastAsia="Arial" w:hAnsi="Arial"/>
                <w:sz w:val="25"/>
                <w:szCs w:val="25"/>
                <w:color w:val="auto"/>
                <w:vertAlign w:val="superscript"/>
              </w:rPr>
              <w:t>(3)</w:t>
            </w:r>
          </w:p>
        </w:tc>
        <w:tc>
          <w:tcPr>
            <w:tcW w:w="3240" w:type="dxa"/>
            <w:vAlign w:val="bottom"/>
            <w:tcBorders>
              <w:bottom w:val="single" w:sz="8" w:color="auto"/>
            </w:tcBorders>
          </w:tcPr>
          <w:p>
            <w:pPr>
              <w:ind w:left="2240"/>
              <w:spacing w:after="0"/>
              <w:rPr>
                <w:sz w:val="20"/>
                <w:szCs w:val="20"/>
                <w:color w:val="auto"/>
              </w:rPr>
            </w:pPr>
            <w:r>
              <w:rPr>
                <w:rFonts w:ascii="Arial" w:cs="Arial" w:eastAsia="Arial" w:hAnsi="Arial"/>
                <w:sz w:val="15"/>
                <w:szCs w:val="15"/>
                <w:color w:val="auto"/>
              </w:rPr>
              <w:t>$32,500</w:t>
            </w: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32,500</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2F5DA8"/>
            </w:tcBorders>
          </w:tcPr>
          <w:p>
            <w:pPr>
              <w:ind w:left="60"/>
              <w:spacing w:after="0" w:line="250" w:lineRule="exact"/>
              <w:rPr>
                <w:sz w:val="20"/>
                <w:szCs w:val="20"/>
                <w:color w:val="auto"/>
              </w:rPr>
            </w:pPr>
            <w:r>
              <w:rPr>
                <w:rFonts w:ascii="Arial" w:cs="Arial" w:eastAsia="Arial" w:hAnsi="Arial"/>
                <w:sz w:val="15"/>
                <w:szCs w:val="15"/>
                <w:color w:val="auto"/>
              </w:rPr>
              <w:t>Gerald J. Laber</w:t>
            </w:r>
            <w:r>
              <w:rPr>
                <w:rFonts w:ascii="Arial" w:cs="Arial" w:eastAsia="Arial" w:hAnsi="Arial"/>
                <w:sz w:val="25"/>
                <w:szCs w:val="25"/>
                <w:color w:val="auto"/>
                <w:vertAlign w:val="superscript"/>
              </w:rPr>
              <w:t>(3)</w:t>
            </w:r>
          </w:p>
        </w:tc>
        <w:tc>
          <w:tcPr>
            <w:tcW w:w="3240" w:type="dxa"/>
            <w:vAlign w:val="bottom"/>
            <w:tcBorders>
              <w:bottom w:val="single" w:sz="8" w:color="2F5DA8"/>
            </w:tcBorders>
          </w:tcPr>
          <w:p>
            <w:pPr>
              <w:ind w:left="2240"/>
              <w:spacing w:after="0"/>
              <w:rPr>
                <w:sz w:val="20"/>
                <w:szCs w:val="20"/>
                <w:color w:val="auto"/>
              </w:rPr>
            </w:pPr>
            <w:r>
              <w:rPr>
                <w:rFonts w:ascii="Arial" w:cs="Arial" w:eastAsia="Arial" w:hAnsi="Arial"/>
                <w:sz w:val="15"/>
                <w:szCs w:val="15"/>
                <w:color w:val="auto"/>
              </w:rPr>
              <w:t>$28,500</w:t>
            </w:r>
          </w:p>
        </w:tc>
        <w:tc>
          <w:tcPr>
            <w:tcW w:w="1420" w:type="dxa"/>
            <w:vAlign w:val="bottom"/>
            <w:tcBorders>
              <w:bottom w:val="single" w:sz="8" w:color="2F5DA8"/>
            </w:tcBorders>
          </w:tcPr>
          <w:p>
            <w:pPr>
              <w:jc w:val="right"/>
              <w:ind w:right="36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28,500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300" w:hanging="358"/>
        <w:spacing w:after="0" w:line="252" w:lineRule="auto"/>
        <w:tabs>
          <w:tab w:leader="none" w:pos="3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total grant date fair value of the annual retainer share awards on the date of the award as reported on the Nasdaq Global Market on the date of grant. The annual retainer share awards vest in four equal quarterly installments on the first business day of each of June, September, December and April that occurs during the 12-month period after the date of grant. 1,695 restricted shares were granted to each non-employee director on May 6, 2021 and 423 shares were unvested at December 31, 2021.</w:t>
      </w:r>
    </w:p>
    <w:p>
      <w:pPr>
        <w:spacing w:after="0" w:line="20" w:lineRule="exact"/>
        <w:rPr>
          <w:rFonts w:ascii="Arial" w:cs="Arial" w:eastAsia="Arial" w:hAnsi="Arial"/>
          <w:sz w:val="13"/>
          <w:szCs w:val="13"/>
          <w:color w:val="auto"/>
        </w:rPr>
      </w:pPr>
    </w:p>
    <w:p>
      <w:pPr>
        <w:ind w:left="360" w:hanging="358"/>
        <w:spacing w:after="0"/>
        <w:tabs>
          <w:tab w:leader="none" w:pos="3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Mr. Finch and Ms. Tzetzo were first elected as directors of the Company at the 2021 annual meeting of shareholders.</w:t>
      </w:r>
    </w:p>
    <w:p>
      <w:pPr>
        <w:spacing w:after="0" w:line="53" w:lineRule="exact"/>
        <w:rPr>
          <w:rFonts w:ascii="Arial" w:cs="Arial" w:eastAsia="Arial" w:hAnsi="Arial"/>
          <w:sz w:val="13"/>
          <w:szCs w:val="13"/>
          <w:color w:val="auto"/>
        </w:rPr>
      </w:pPr>
    </w:p>
    <w:p>
      <w:pPr>
        <w:ind w:left="360" w:right="220" w:hanging="358"/>
        <w:spacing w:after="0" w:line="281" w:lineRule="auto"/>
        <w:tabs>
          <w:tab w:leader="none" w:pos="3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Ms. Duch and Mr. Laber did not stand for re-election at the Company’s annual meeting of shareholders held on May 5, 2021, and therefore ceased to be directors of the Company as of that date.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Employment Agreements and Related Arrangements</w:t>
      </w:r>
    </w:p>
    <w:p>
      <w:pPr>
        <w:sectPr>
          <w:pgSz w:w="11900" w:h="16838" w:orient="portrait"/>
          <w:cols w:equalWidth="0" w:num="1">
            <w:col w:w="9320"/>
          </w:cols>
          <w:pgMar w:left="1280" w:top="263" w:right="1299" w:bottom="1440" w:gutter="0" w:footer="0" w:header="0"/>
          <w:type w:val="continuous"/>
        </w:sectPr>
      </w:pPr>
    </w:p>
    <w:p>
      <w:pPr>
        <w:spacing w:after="0" w:line="26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are a party to the following employment agreements with our Named Executive Officers:</w:t>
      </w:r>
    </w:p>
    <w:p>
      <w:pPr>
        <w:spacing w:after="0" w:line="1" w:lineRule="exact"/>
        <w:rPr>
          <w:sz w:val="20"/>
          <w:szCs w:val="20"/>
          <w:color w:val="auto"/>
        </w:rPr>
      </w:pPr>
    </w:p>
    <w:p>
      <w:pPr>
        <w:ind w:left="180" w:hanging="178"/>
        <w:spacing w:after="0" w:line="256"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Richard S. Warzala. Pursuant to an employment agreement whereby Richard S. Warzala serves as President and Chief Executive Officer, Mr. Warzala is entitled to an annual base salary of not less than $650,000 effective March 1, 2022.</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76" w:right="240" w:hanging="176"/>
        <w:spacing w:after="0" w:line="256" w:lineRule="auto"/>
        <w:tabs>
          <w:tab w:leader="none" w:pos="1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Michael R. Leach. Pursuant to an employment agreement whereby Michael R. Leach serves as Senior Vice President and Chief Financial Officer, Mr. Leach is entitled to an annual base salary of not less than $365,000 effective March 1, 2022.</w:t>
      </w:r>
    </w:p>
    <w:p>
      <w:pPr>
        <w:spacing w:after="0" w:line="618" w:lineRule="exact"/>
        <w:rPr>
          <w:sz w:val="20"/>
          <w:szCs w:val="20"/>
          <w:color w:val="auto"/>
        </w:rPr>
      </w:pPr>
    </w:p>
    <w:p>
      <w:pPr>
        <w:sectPr>
          <w:pgSz w:w="11900" w:h="16838" w:orient="portrait"/>
          <w:cols w:equalWidth="0" w:num="2">
            <w:col w:w="4380" w:space="284"/>
            <w:col w:w="4656"/>
          </w:cols>
          <w:pgMar w:left="1280" w:top="263" w:right="1299" w:bottom="1440" w:gutter="0" w:footer="0" w:header="0"/>
          <w:type w:val="continuous"/>
        </w:sectPr>
      </w:pPr>
    </w:p>
    <w:p>
      <w:pPr>
        <w:spacing w:after="0" w:line="3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0" w:right="60" w:hanging="182"/>
        <w:spacing w:after="0" w:line="256"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Robert P. Maida. Pursuant to an employment agreement whereby Robert P. Maida serves as Senior Vice President and President of Allied Innovum Group, Mr. Maida is entitled to an annual base salary of not less than $335,000 effective March 1, 2022.</w:t>
      </w:r>
    </w:p>
    <w:p>
      <w:pPr>
        <w:spacing w:after="0" w:line="4" w:lineRule="exact"/>
        <w:rPr>
          <w:rFonts w:ascii="Arial" w:cs="Arial" w:eastAsia="Arial" w:hAnsi="Arial"/>
          <w:sz w:val="16"/>
          <w:szCs w:val="16"/>
          <w:color w:val="auto"/>
        </w:rPr>
      </w:pPr>
    </w:p>
    <w:p>
      <w:pPr>
        <w:ind w:left="400" w:hanging="182"/>
        <w:spacing w:after="0" w:line="253"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Ashish R Bendre. Pursuant to an employment agreement whereby Ashish R. Bendre serves as Vice President and President of Allied Orion Group, Mr. Bendre is entitled to an annual base salary of not less than $378,000 effective March 1, 2022.</w:t>
      </w:r>
    </w:p>
    <w:p>
      <w:pPr>
        <w:spacing w:after="0" w:line="2" w:lineRule="exact"/>
        <w:rPr>
          <w:rFonts w:ascii="Arial" w:cs="Arial" w:eastAsia="Arial" w:hAnsi="Arial"/>
          <w:sz w:val="16"/>
          <w:szCs w:val="16"/>
          <w:color w:val="auto"/>
        </w:rPr>
      </w:pPr>
    </w:p>
    <w:p>
      <w:pPr>
        <w:ind w:left="400" w:right="280" w:hanging="182"/>
        <w:spacing w:after="0" w:line="253"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Allied Dynamos Group,</w:t>
      </w:r>
    </w:p>
    <w:p>
      <w:pPr>
        <w:spacing w:after="0" w:line="1" w:lineRule="exact"/>
        <w:rPr>
          <w:rFonts w:ascii="Arial" w:cs="Arial" w:eastAsia="Arial" w:hAnsi="Arial"/>
          <w:sz w:val="16"/>
          <w:szCs w:val="16"/>
          <w:color w:val="auto"/>
        </w:rPr>
      </w:pPr>
    </w:p>
    <w:p>
      <w:pPr>
        <w:ind w:left="400" w:right="20"/>
        <w:spacing w:after="0" w:line="265" w:lineRule="auto"/>
        <w:rPr>
          <w:rFonts w:ascii="Arial" w:cs="Arial" w:eastAsia="Arial" w:hAnsi="Arial"/>
          <w:sz w:val="16"/>
          <w:szCs w:val="16"/>
          <w:color w:val="auto"/>
        </w:rPr>
      </w:pPr>
      <w:r>
        <w:rPr>
          <w:rFonts w:ascii="Arial" w:cs="Arial" w:eastAsia="Arial" w:hAnsi="Arial"/>
          <w:sz w:val="16"/>
          <w:szCs w:val="16"/>
          <w:color w:val="auto"/>
        </w:rPr>
        <w:t>Mr. Pirthauer is entitled to an annual base salary of not less than €305,000 effective March 1, 2022.</w:t>
      </w:r>
    </w:p>
    <w:p>
      <w:pPr>
        <w:spacing w:after="0" w:line="64"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Unless terminated earlier in accordance with its terms, Mr. Warzala’s employment agreement will remain effective until January 2, 2023. Pursuant to the employment agreements with each of Messrs. Leach, Maida and Bendre, each executive serves for a term ending on December 31, 2022, which is automatically extended for additional one-year periods unless either party gives notice of nonrenewal</w:t>
      </w:r>
    </w:p>
    <w:p>
      <w:pPr>
        <w:spacing w:after="0" w:line="3"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180 days in advance of the annual renewal date. Pursuant to Mr. Pirthauer’s employment agreement,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79" w:lineRule="exact"/>
        <w:rPr>
          <w:sz w:val="20"/>
          <w:szCs w:val="20"/>
          <w:color w:val="auto"/>
        </w:rPr>
      </w:pPr>
    </w:p>
    <w:p>
      <w:pPr>
        <w:ind w:left="220" w:right="200"/>
        <w:spacing w:after="0" w:line="286" w:lineRule="auto"/>
        <w:rPr>
          <w:sz w:val="20"/>
          <w:szCs w:val="20"/>
          <w:color w:val="auto"/>
        </w:rPr>
      </w:pPr>
      <w:r>
        <w:rPr>
          <w:rFonts w:ascii="Arial" w:cs="Arial" w:eastAsia="Arial" w:hAnsi="Arial"/>
          <w:sz w:val="16"/>
          <w:szCs w:val="16"/>
          <w:color w:val="auto"/>
        </w:rPr>
        <w:t>Each of our Named Executive Officers is eligible to receive annual incentive bonuses as our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may determine based upon our results of operations and other relevant factors. Our Named Executive Officers also 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7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 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8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200" w:lineRule="exact"/>
        <w:rPr>
          <w:sz w:val="20"/>
          <w:szCs w:val="20"/>
          <w:color w:val="auto"/>
        </w:rPr>
      </w:pPr>
    </w:p>
    <w:p>
      <w:pPr>
        <w:sectPr>
          <w:pgSz w:w="11900" w:h="16838" w:orient="portrait"/>
          <w:cols w:equalWidth="0" w:num="2">
            <w:col w:w="4660" w:space="220"/>
            <w:col w:w="4440"/>
          </w:cols>
          <w:pgMar w:left="1280" w:top="263" w:right="129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REPORT OF THE HUMAN CAPITAL AND COMPENSATION COMMITTEE</w:t>
      </w:r>
    </w:p>
    <w:p>
      <w:pPr>
        <w:spacing w:after="0" w:line="130" w:lineRule="exact"/>
        <w:rPr>
          <w:sz w:val="20"/>
          <w:szCs w:val="20"/>
          <w:color w:val="auto"/>
        </w:rPr>
      </w:pPr>
    </w:p>
    <w:p>
      <w:pPr>
        <w:ind w:left="220" w:right="20"/>
        <w:spacing w:after="0" w:line="265" w:lineRule="auto"/>
        <w:rPr>
          <w:sz w:val="20"/>
          <w:szCs w:val="20"/>
          <w:color w:val="auto"/>
        </w:rPr>
      </w:pPr>
      <w:r>
        <w:rPr>
          <w:rFonts w:ascii="Arial" w:cs="Arial" w:eastAsia="Arial" w:hAnsi="Arial"/>
          <w:sz w:val="16"/>
          <w:szCs w:val="16"/>
          <w:i w:val="1"/>
          <w:iCs w:val="1"/>
          <w:color w:val="auto"/>
        </w:rPr>
        <w:t>The following Report of the Human Capital and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color w:val="auto"/>
        </w:rPr>
        <w:t>The Human Capital and Compensation Committee of the Company has reviewed and discussed the Compensation Discussion and Analysis required by Item 402(b) of Regulation S-K with management and based on such review and discussions, the Human Capital and Compensation Committee recommended to the Board that the Compensation Discussion and Analysis be included in this Proxy Statement.</w:t>
      </w:r>
    </w:p>
    <w:p>
      <w:pPr>
        <w:spacing w:after="0" w:line="83"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HUMAN CAPITAL AND COMPENSATION COMMITTEE</w:t>
      </w: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Richard D. Federico, Chair</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Nicole R. Tzetzo</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w:t>
      </w:r>
      <w:r>
        <w:rPr>
          <w:rFonts w:ascii="Arial" w:cs="Arial" w:eastAsia="Arial" w:hAnsi="Arial"/>
          <w:sz w:val="13"/>
          <w:szCs w:val="13"/>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Pay Ratio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Allied Motion and its subsidiaries have approximately</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1,950 employees worldwide, with approximately 52% in North America and 37% are located in Europe and the balance are located in Asia-Pacific. Our philosophy is to pay our employees competitively with similar positions in the applicable labor market. By doing so, we believe we maintain a high-quality, stable workforce.</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7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median-compensated employee was originally identified in fiscal 2020. We identified the employee with compensation at the median of all employees by using taxable income for 2020 and applied this method consistently across our global employee population. We did not make any cost-of-living adjustments despite the large variety of labor markets in which our employees work, nor did we use any statistical sampling to determine the median employee. For 2021, we determined that there were no material changes to the Company’s employee population or compensation arrangements reasonably likely to result in a change in the ratio. In 2021, the prior year’s median employee terminated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employment. Therefore, as allowed by the SEC, we identified an alternate median employee with comparable pay as the median employee for 2021.</w:t>
      </w:r>
    </w:p>
    <w:p>
      <w:pPr>
        <w:spacing w:after="0" w:line="63"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For 2021, our active workforce does not include approximately 120 employees which we acquired in separate transactions involving the acquisition of (i) ORMEC Systems Corp. on November 2, 2021, (ii) ALIO Industries on November 4, 2021, and (iii) Spectrum Controls, Inc. on December 30, 2021. Pursuant to SEC rules, these employees will be included for our next pay ratio disclosure but were not included in this year’s calculation.</w:t>
      </w:r>
    </w:p>
    <w:p>
      <w:pPr>
        <w:spacing w:after="0" w:line="75"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This median employee had a total compensation for 2021 of $39,676. Our Chief Executive Officers’ total 2021 compensation was $3,907,236 as reported in the summary compensation table. Based on this information, the ratio of the annual total compensation was 98:1.</w:t>
      </w:r>
    </w:p>
    <w:p>
      <w:pPr>
        <w:spacing w:after="0" w:line="7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278" w:lineRule="exact"/>
        <w:rPr>
          <w:sz w:val="20"/>
          <w:szCs w:val="20"/>
          <w:color w:val="auto"/>
        </w:rPr>
      </w:pPr>
    </w:p>
    <w:p>
      <w:pPr>
        <w:sectPr>
          <w:pgSz w:w="11900" w:h="16838" w:orient="portrait"/>
          <w:cols w:equalWidth="0" w:num="2">
            <w:col w:w="4440" w:space="220"/>
            <w:col w:w="4660"/>
          </w:cols>
          <w:pgMar w:left="1280" w:top="263" w:right="129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Summary Compensation Table</w:t>
      </w:r>
    </w:p>
    <w:p>
      <w:pPr>
        <w:spacing w:after="0" w:line="128"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presents information relating to total compensation of the Named Executive Officers for the fiscal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57778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Name and Principal</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2F5DA8"/>
              </w:rPr>
              <w:t>Stock</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F5DA8"/>
              </w:rPr>
              <w:t>Non-Equity</w:t>
            </w:r>
          </w:p>
        </w:tc>
        <w:tc>
          <w:tcPr>
            <w:tcW w:w="1580" w:type="dxa"/>
            <w:vAlign w:val="bottom"/>
            <w:gridSpan w:val="2"/>
            <w:vMerge w:val="restart"/>
          </w:tcPr>
          <w:p>
            <w:pPr>
              <w:jc w:val="right"/>
              <w:ind w:right="144"/>
              <w:spacing w:after="0"/>
              <w:rPr>
                <w:sz w:val="20"/>
                <w:szCs w:val="20"/>
                <w:color w:val="auto"/>
              </w:rPr>
            </w:pPr>
            <w:r>
              <w:rPr>
                <w:rFonts w:ascii="Arial" w:cs="Arial" w:eastAsia="Arial" w:hAnsi="Arial"/>
                <w:sz w:val="15"/>
                <w:szCs w:val="15"/>
                <w:b w:val="1"/>
                <w:bCs w:val="1"/>
                <w:color w:val="2F5DA8"/>
              </w:rPr>
              <w:t>All Other</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780" w:type="dxa"/>
            <w:vAlign w:val="bottom"/>
            <w:vMerge w:val="restart"/>
          </w:tcPr>
          <w:p>
            <w:pPr>
              <w:jc w:val="center"/>
              <w:ind w:left="24"/>
              <w:spacing w:after="0"/>
              <w:rPr>
                <w:sz w:val="20"/>
                <w:szCs w:val="20"/>
                <w:color w:val="auto"/>
              </w:rPr>
            </w:pPr>
            <w:r>
              <w:rPr>
                <w:rFonts w:ascii="Arial" w:cs="Arial" w:eastAsia="Arial" w:hAnsi="Arial"/>
                <w:sz w:val="15"/>
                <w:szCs w:val="15"/>
                <w:b w:val="1"/>
                <w:bCs w:val="1"/>
                <w:color w:val="2F5DA8"/>
                <w:w w:val="98"/>
              </w:rPr>
              <w:t>Year</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F5DA8"/>
              </w:rPr>
              <w:t>Salary</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580" w:type="dxa"/>
            <w:vAlign w:val="bottom"/>
            <w:gridSpan w:val="2"/>
          </w:tcPr>
          <w:p>
            <w:pPr>
              <w:jc w:val="right"/>
              <w:ind w:right="144"/>
              <w:spacing w:after="0" w:line="162" w:lineRule="exact"/>
              <w:rPr>
                <w:sz w:val="20"/>
                <w:szCs w:val="20"/>
                <w:color w:val="auto"/>
              </w:rPr>
            </w:pPr>
            <w:r>
              <w:rPr>
                <w:rFonts w:ascii="Arial" w:cs="Arial" w:eastAsia="Arial" w:hAnsi="Arial"/>
                <w:sz w:val="15"/>
                <w:szCs w:val="15"/>
                <w:b w:val="1"/>
                <w:bCs w:val="1"/>
                <w:color w:val="2F5DA8"/>
              </w:rPr>
              <w:t>Incentive Plan</w:t>
            </w:r>
          </w:p>
        </w:tc>
        <w:tc>
          <w:tcPr>
            <w:tcW w:w="15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2F5DA8"/>
              </w:rPr>
              <w:t>Total</w:t>
            </w:r>
          </w:p>
        </w:tc>
        <w:tc>
          <w:tcPr>
            <w:tcW w:w="0" w:type="dxa"/>
            <w:vAlign w:val="bottom"/>
          </w:tcPr>
          <w:p>
            <w:pPr>
              <w:spacing w:after="0"/>
              <w:rPr>
                <w:sz w:val="1"/>
                <w:szCs w:val="1"/>
                <w:color w:val="auto"/>
              </w:rPr>
            </w:pPr>
          </w:p>
        </w:tc>
      </w:tr>
      <w:tr>
        <w:trPr>
          <w:trHeight w:val="262"/>
        </w:trPr>
        <w:tc>
          <w:tcPr>
            <w:tcW w:w="2080" w:type="dxa"/>
            <w:vAlign w:val="bottom"/>
            <w:tcBorders>
              <w:bottom w:val="single" w:sz="8" w:color="2F5DA8"/>
            </w:tcBorders>
          </w:tcPr>
          <w:p>
            <w:pPr>
              <w:ind w:left="60"/>
              <w:spacing w:after="0"/>
              <w:rPr>
                <w:sz w:val="20"/>
                <w:szCs w:val="20"/>
                <w:color w:val="auto"/>
              </w:rPr>
            </w:pPr>
            <w:r>
              <w:rPr>
                <w:rFonts w:ascii="Arial" w:cs="Arial" w:eastAsia="Arial" w:hAnsi="Arial"/>
                <w:sz w:val="15"/>
                <w:szCs w:val="15"/>
                <w:b w:val="1"/>
                <w:bCs w:val="1"/>
                <w:color w:val="2F5DA8"/>
              </w:rPr>
              <w:t>Position</w:t>
            </w:r>
          </w:p>
        </w:tc>
        <w:tc>
          <w:tcPr>
            <w:tcW w:w="780" w:type="dxa"/>
            <w:vAlign w:val="bottom"/>
            <w:tcBorders>
              <w:bottom w:val="single" w:sz="8" w:color="2F5DA8"/>
            </w:tcBorders>
            <w:vMerge w:val="continue"/>
          </w:tcPr>
          <w:p>
            <w:pPr>
              <w:spacing w:after="0"/>
              <w:rPr>
                <w:sz w:val="22"/>
                <w:szCs w:val="22"/>
                <w:color w:val="auto"/>
              </w:rPr>
            </w:pPr>
          </w:p>
        </w:tc>
        <w:tc>
          <w:tcPr>
            <w:tcW w:w="1000" w:type="dxa"/>
            <w:vAlign w:val="bottom"/>
            <w:tcBorders>
              <w:bottom w:val="single" w:sz="8" w:color="2F5DA8"/>
            </w:tcBorders>
            <w:vMerge w:val="continue"/>
          </w:tcPr>
          <w:p>
            <w:pPr>
              <w:spacing w:after="0"/>
              <w:rPr>
                <w:sz w:val="22"/>
                <w:szCs w:val="22"/>
                <w:color w:val="auto"/>
              </w:rPr>
            </w:pPr>
          </w:p>
        </w:tc>
        <w:tc>
          <w:tcPr>
            <w:tcW w:w="1120" w:type="dxa"/>
            <w:vAlign w:val="bottom"/>
            <w:tcBorders>
              <w:bottom w:val="single" w:sz="8" w:color="2F5DA8"/>
            </w:tcBorders>
            <w:gridSpan w:val="2"/>
          </w:tcPr>
          <w:p>
            <w:pPr>
              <w:jc w:val="right"/>
              <w:ind w:right="104"/>
              <w:spacing w:after="0" w:line="263" w:lineRule="exact"/>
              <w:rPr>
                <w:sz w:val="20"/>
                <w:szCs w:val="20"/>
                <w:color w:val="auto"/>
              </w:rPr>
            </w:pPr>
            <w:r>
              <w:rPr>
                <w:rFonts w:ascii="Arial" w:cs="Arial" w:eastAsia="Arial" w:hAnsi="Arial"/>
                <w:sz w:val="15"/>
                <w:szCs w:val="15"/>
                <w:b w:val="1"/>
                <w:bCs w:val="1"/>
                <w:color w:val="2F5DA8"/>
              </w:rPr>
              <w:t>Awards</w:t>
            </w:r>
            <w:r>
              <w:rPr>
                <w:rFonts w:ascii="Arial" w:cs="Arial" w:eastAsia="Arial" w:hAnsi="Arial"/>
                <w:sz w:val="25"/>
                <w:szCs w:val="25"/>
                <w:b w:val="1"/>
                <w:bCs w:val="1"/>
                <w:color w:val="2F5DA8"/>
                <w:vertAlign w:val="superscript"/>
              </w:rPr>
              <w:t>(1)</w:t>
            </w:r>
          </w:p>
        </w:tc>
        <w:tc>
          <w:tcPr>
            <w:tcW w:w="1580" w:type="dxa"/>
            <w:vAlign w:val="bottom"/>
            <w:tcBorders>
              <w:bottom w:val="single" w:sz="8" w:color="2F5DA8"/>
            </w:tcBorders>
            <w:gridSpan w:val="2"/>
          </w:tcPr>
          <w:p>
            <w:pPr>
              <w:jc w:val="right"/>
              <w:ind w:right="104"/>
              <w:spacing w:after="0" w:line="263" w:lineRule="exact"/>
              <w:rPr>
                <w:sz w:val="20"/>
                <w:szCs w:val="20"/>
                <w:color w:val="auto"/>
              </w:rPr>
            </w:pPr>
            <w:r>
              <w:rPr>
                <w:rFonts w:ascii="Arial" w:cs="Arial" w:eastAsia="Arial" w:hAnsi="Arial"/>
                <w:sz w:val="15"/>
                <w:szCs w:val="15"/>
                <w:b w:val="1"/>
                <w:bCs w:val="1"/>
                <w:color w:val="2F5DA8"/>
              </w:rPr>
              <w:t>Compensation</w:t>
            </w:r>
            <w:r>
              <w:rPr>
                <w:rFonts w:ascii="Arial" w:cs="Arial" w:eastAsia="Arial" w:hAnsi="Arial"/>
                <w:sz w:val="25"/>
                <w:szCs w:val="25"/>
                <w:b w:val="1"/>
                <w:bCs w:val="1"/>
                <w:color w:val="2F5DA8"/>
                <w:vertAlign w:val="superscript"/>
              </w:rPr>
              <w:t>(2)</w:t>
            </w:r>
          </w:p>
        </w:tc>
        <w:tc>
          <w:tcPr>
            <w:tcW w:w="1580" w:type="dxa"/>
            <w:vAlign w:val="bottom"/>
            <w:tcBorders>
              <w:bottom w:val="single" w:sz="8" w:color="2F5DA8"/>
            </w:tcBorders>
            <w:gridSpan w:val="2"/>
          </w:tcPr>
          <w:p>
            <w:pPr>
              <w:jc w:val="center"/>
              <w:spacing w:after="0" w:line="263" w:lineRule="exact"/>
              <w:rPr>
                <w:sz w:val="20"/>
                <w:szCs w:val="20"/>
                <w:color w:val="auto"/>
              </w:rPr>
            </w:pPr>
            <w:r>
              <w:rPr>
                <w:rFonts w:ascii="Arial" w:cs="Arial" w:eastAsia="Arial" w:hAnsi="Arial"/>
                <w:sz w:val="15"/>
                <w:szCs w:val="15"/>
                <w:b w:val="1"/>
                <w:bCs w:val="1"/>
                <w:color w:val="2F5DA8"/>
                <w:w w:val="97"/>
              </w:rPr>
              <w:t>Compensation</w:t>
            </w:r>
            <w:r>
              <w:rPr>
                <w:rFonts w:ascii="Arial" w:cs="Arial" w:eastAsia="Arial" w:hAnsi="Arial"/>
                <w:sz w:val="25"/>
                <w:szCs w:val="25"/>
                <w:b w:val="1"/>
                <w:bCs w:val="1"/>
                <w:color w:val="2F5DA8"/>
                <w:w w:val="97"/>
                <w:vertAlign w:val="superscript"/>
              </w:rPr>
              <w:t>(3)</w:t>
            </w:r>
          </w:p>
        </w:tc>
        <w:tc>
          <w:tcPr>
            <w:tcW w:w="260" w:type="dxa"/>
            <w:vAlign w:val="bottom"/>
            <w:tcBorders>
              <w:bottom w:val="single" w:sz="8" w:color="2F5DA8"/>
            </w:tcBorders>
          </w:tcPr>
          <w:p>
            <w:pPr>
              <w:spacing w:after="0"/>
              <w:rPr>
                <w:sz w:val="22"/>
                <w:szCs w:val="22"/>
                <w:color w:val="auto"/>
              </w:rPr>
            </w:pPr>
          </w:p>
        </w:tc>
        <w:tc>
          <w:tcPr>
            <w:tcW w:w="700" w:type="dxa"/>
            <w:vAlign w:val="bottom"/>
            <w:tcBorders>
              <w:bottom w:val="single" w:sz="8" w:color="2F5DA8"/>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780" w:type="dxa"/>
            <w:vAlign w:val="bottom"/>
          </w:tcPr>
          <w:p>
            <w:pPr>
              <w:jc w:val="center"/>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$584,583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1,648,214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1,574,104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w w:val="99"/>
              </w:rPr>
              <w:t>100,335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3,907,236</w:t>
            </w: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line="162" w:lineRule="exact"/>
              <w:rPr>
                <w:sz w:val="20"/>
                <w:szCs w:val="20"/>
                <w:color w:val="auto"/>
              </w:rPr>
            </w:pPr>
            <w:r>
              <w:rPr>
                <w:rFonts w:ascii="Arial" w:cs="Arial" w:eastAsia="Arial" w:hAnsi="Arial"/>
                <w:sz w:val="15"/>
                <w:szCs w:val="15"/>
                <w:color w:val="auto"/>
              </w:rPr>
              <w:t>President and Chief</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60"/>
              <w:spacing w:after="0"/>
              <w:rPr>
                <w:sz w:val="20"/>
                <w:szCs w:val="20"/>
                <w:color w:val="auto"/>
              </w:rPr>
            </w:pPr>
            <w:r>
              <w:rPr>
                <w:rFonts w:ascii="Arial" w:cs="Arial" w:eastAsia="Arial" w:hAnsi="Arial"/>
                <w:sz w:val="15"/>
                <w:szCs w:val="15"/>
                <w:color w:val="auto"/>
              </w:rPr>
              <w:t>Executive Officer</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$570,833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2,429,647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373,269</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51,824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3,425,573</w:t>
            </w: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rPr>
              <w:t>2019</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$544,583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2,351,581</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1,339,314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43,945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4,279,423</w:t>
            </w:r>
          </w:p>
        </w:tc>
        <w:tc>
          <w:tcPr>
            <w:tcW w:w="0" w:type="dxa"/>
            <w:vAlign w:val="bottom"/>
          </w:tcPr>
          <w:p>
            <w:pPr>
              <w:spacing w:after="0"/>
              <w:rPr>
                <w:sz w:val="1"/>
                <w:szCs w:val="1"/>
                <w:color w:val="auto"/>
              </w:rPr>
            </w:pPr>
          </w:p>
        </w:tc>
      </w:tr>
      <w:tr>
        <w:trPr>
          <w:trHeight w:val="60"/>
        </w:trPr>
        <w:tc>
          <w:tcPr>
            <w:tcW w:w="20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780" w:type="dxa"/>
            <w:vAlign w:val="bottom"/>
          </w:tcPr>
          <w:p>
            <w:pPr>
              <w:jc w:val="center"/>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$350,750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283,848</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377,785</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30,229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1,042,612</w:t>
            </w: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60"/>
              <w:spacing w:after="0"/>
              <w:rPr>
                <w:sz w:val="20"/>
                <w:szCs w:val="20"/>
                <w:color w:val="auto"/>
              </w:rPr>
            </w:pPr>
            <w:r>
              <w:rPr>
                <w:rFonts w:ascii="Arial" w:cs="Arial" w:eastAsia="Arial" w:hAnsi="Arial"/>
                <w:sz w:val="15"/>
                <w:szCs w:val="15"/>
                <w:color w:val="auto"/>
              </w:rPr>
              <w:t>Chief Financial Officer</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$340,000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488,624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148,218</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17,206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994,048</w:t>
            </w: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rPr>
              <w:t>2019</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$310,026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340,446</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302,602</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19,445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972,518</w:t>
            </w:r>
          </w:p>
        </w:tc>
        <w:tc>
          <w:tcPr>
            <w:tcW w:w="0" w:type="dxa"/>
            <w:vAlign w:val="bottom"/>
          </w:tcPr>
          <w:p>
            <w:pPr>
              <w:spacing w:after="0"/>
              <w:rPr>
                <w:sz w:val="1"/>
                <w:szCs w:val="1"/>
                <w:color w:val="auto"/>
              </w:rPr>
            </w:pPr>
          </w:p>
        </w:tc>
      </w:tr>
      <w:tr>
        <w:trPr>
          <w:trHeight w:val="60"/>
        </w:trPr>
        <w:tc>
          <w:tcPr>
            <w:tcW w:w="20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8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780" w:type="dxa"/>
            <w:vAlign w:val="bottom"/>
          </w:tcPr>
          <w:p>
            <w:pPr>
              <w:jc w:val="center"/>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$320,250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246,222</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303,754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29,680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899,906</w:t>
            </w: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60"/>
              <w:spacing w:after="0"/>
              <w:rPr>
                <w:sz w:val="20"/>
                <w:szCs w:val="20"/>
                <w:color w:val="auto"/>
              </w:rPr>
            </w:pPr>
            <w:r>
              <w:rPr>
                <w:rFonts w:ascii="Arial" w:cs="Arial" w:eastAsia="Arial" w:hAnsi="Arial"/>
                <w:sz w:val="15"/>
                <w:szCs w:val="15"/>
                <w:color w:val="auto"/>
              </w:rPr>
              <w:t>Group President</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$308,334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413,349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111,134</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17,206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850,023</w:t>
            </w: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rPr>
              <w:t>2019</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$270,000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312,294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263,535</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19,445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865,274</w:t>
            </w:r>
          </w:p>
        </w:tc>
        <w:tc>
          <w:tcPr>
            <w:tcW w:w="0" w:type="dxa"/>
            <w:vAlign w:val="bottom"/>
          </w:tcPr>
          <w:p>
            <w:pPr>
              <w:spacing w:after="0"/>
              <w:rPr>
                <w:sz w:val="1"/>
                <w:szCs w:val="1"/>
                <w:color w:val="auto"/>
              </w:rPr>
            </w:pPr>
          </w:p>
        </w:tc>
      </w:tr>
      <w:tr>
        <w:trPr>
          <w:trHeight w:val="60"/>
        </w:trPr>
        <w:tc>
          <w:tcPr>
            <w:tcW w:w="20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80" w:type="dxa"/>
            <w:vAlign w:val="bottom"/>
          </w:tcPr>
          <w:p>
            <w:pPr>
              <w:ind w:left="60"/>
              <w:spacing w:after="0" w:line="218" w:lineRule="exact"/>
              <w:rPr>
                <w:sz w:val="20"/>
                <w:szCs w:val="20"/>
                <w:color w:val="auto"/>
              </w:rPr>
            </w:pPr>
            <w:r>
              <w:rPr>
                <w:rFonts w:ascii="Arial" w:cs="Arial" w:eastAsia="Arial" w:hAnsi="Arial"/>
                <w:sz w:val="15"/>
                <w:szCs w:val="15"/>
                <w:color w:val="auto"/>
              </w:rPr>
              <w:t>Ashish R. Bendre</w:t>
            </w:r>
            <w:r>
              <w:rPr>
                <w:rFonts w:ascii="Arial" w:cs="Arial" w:eastAsia="Arial" w:hAnsi="Arial"/>
                <w:sz w:val="25"/>
                <w:szCs w:val="25"/>
                <w:color w:val="auto"/>
                <w:vertAlign w:val="superscript"/>
              </w:rPr>
              <w:t>(4)</w:t>
            </w:r>
          </w:p>
        </w:tc>
        <w:tc>
          <w:tcPr>
            <w:tcW w:w="780" w:type="dxa"/>
            <w:vAlign w:val="bottom"/>
          </w:tcPr>
          <w:p>
            <w:pPr>
              <w:jc w:val="center"/>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$378,000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74,401</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104,997</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48,457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605,855</w:t>
            </w: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line="162" w:lineRule="exact"/>
              <w:rPr>
                <w:sz w:val="20"/>
                <w:szCs w:val="20"/>
                <w:color w:val="auto"/>
              </w:rPr>
            </w:pPr>
            <w:r>
              <w:rPr>
                <w:rFonts w:ascii="Arial" w:cs="Arial" w:eastAsia="Arial" w:hAnsi="Arial"/>
                <w:sz w:val="15"/>
                <w:szCs w:val="15"/>
                <w:color w:val="auto"/>
              </w:rPr>
              <w:t>Vice President and Group</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60"/>
              <w:spacing w:after="0"/>
              <w:rPr>
                <w:sz w:val="20"/>
                <w:szCs w:val="20"/>
                <w:color w:val="auto"/>
              </w:rPr>
            </w:pPr>
            <w:r>
              <w:rPr>
                <w:rFonts w:ascii="Arial" w:cs="Arial" w:eastAsia="Arial" w:hAnsi="Arial"/>
                <w:sz w:val="15"/>
                <w:szCs w:val="15"/>
                <w:color w:val="auto"/>
              </w:rPr>
              <w:t>President</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$390,993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117,086</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36,057</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28,124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572,260</w:t>
            </w:r>
          </w:p>
        </w:tc>
        <w:tc>
          <w:tcPr>
            <w:tcW w:w="0" w:type="dxa"/>
            <w:vAlign w:val="bottom"/>
          </w:tcPr>
          <w:p>
            <w:pPr>
              <w:spacing w:after="0"/>
              <w:rPr>
                <w:sz w:val="1"/>
                <w:szCs w:val="1"/>
                <w:color w:val="auto"/>
              </w:rPr>
            </w:pPr>
          </w:p>
        </w:tc>
      </w:tr>
      <w:tr>
        <w:trPr>
          <w:trHeight w:val="60"/>
        </w:trPr>
        <w:tc>
          <w:tcPr>
            <w:tcW w:w="20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80" w:type="dxa"/>
            <w:vAlign w:val="bottom"/>
          </w:tcPr>
          <w:p>
            <w:pPr>
              <w:ind w:left="60"/>
              <w:spacing w:after="0" w:line="218" w:lineRule="exact"/>
              <w:rPr>
                <w:sz w:val="20"/>
                <w:szCs w:val="20"/>
                <w:color w:val="auto"/>
              </w:rPr>
            </w:pPr>
            <w:r>
              <w:rPr>
                <w:rFonts w:ascii="Arial" w:cs="Arial" w:eastAsia="Arial" w:hAnsi="Arial"/>
                <w:sz w:val="15"/>
                <w:szCs w:val="15"/>
                <w:color w:val="auto"/>
              </w:rPr>
              <w:t>Helmut D. Pirthauer</w:t>
            </w:r>
            <w:r>
              <w:rPr>
                <w:rFonts w:ascii="Arial" w:cs="Arial" w:eastAsia="Arial" w:hAnsi="Arial"/>
                <w:sz w:val="25"/>
                <w:szCs w:val="25"/>
                <w:color w:val="auto"/>
                <w:vertAlign w:val="superscript"/>
              </w:rPr>
              <w:t>(4)</w:t>
            </w:r>
          </w:p>
        </w:tc>
        <w:tc>
          <w:tcPr>
            <w:tcW w:w="780" w:type="dxa"/>
            <w:vAlign w:val="bottom"/>
          </w:tcPr>
          <w:p>
            <w:pPr>
              <w:jc w:val="center"/>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$331,388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67,887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156,290</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12,782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568,347</w:t>
            </w: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line="162" w:lineRule="exact"/>
              <w:rPr>
                <w:sz w:val="20"/>
                <w:szCs w:val="20"/>
                <w:color w:val="auto"/>
              </w:rPr>
            </w:pPr>
            <w:r>
              <w:rPr>
                <w:rFonts w:ascii="Arial" w:cs="Arial" w:eastAsia="Arial" w:hAnsi="Arial"/>
                <w:sz w:val="15"/>
                <w:szCs w:val="15"/>
                <w:color w:val="auto"/>
              </w:rPr>
              <w:t>Vice President and Group</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80" w:type="dxa"/>
            <w:vAlign w:val="bottom"/>
          </w:tcPr>
          <w:p>
            <w:pPr>
              <w:ind w:left="60"/>
              <w:spacing w:after="0"/>
              <w:rPr>
                <w:sz w:val="20"/>
                <w:szCs w:val="20"/>
                <w:color w:val="auto"/>
              </w:rPr>
            </w:pPr>
            <w:r>
              <w:rPr>
                <w:rFonts w:ascii="Arial" w:cs="Arial" w:eastAsia="Arial" w:hAnsi="Arial"/>
                <w:sz w:val="15"/>
                <w:szCs w:val="15"/>
                <w:color w:val="auto"/>
              </w:rPr>
              <w:t>President</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$285,373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135,825</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124,491</w:t>
            </w:r>
          </w:p>
        </w:tc>
        <w:tc>
          <w:tcPr>
            <w:tcW w:w="820" w:type="dxa"/>
            <w:vAlign w:val="bottom"/>
          </w:tcPr>
          <w:p>
            <w:pPr>
              <w:jc w:val="center"/>
              <w:ind w:left="6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12,328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558,017</w:t>
            </w:r>
          </w:p>
        </w:tc>
        <w:tc>
          <w:tcPr>
            <w:tcW w:w="0" w:type="dxa"/>
            <w:vAlign w:val="bottom"/>
          </w:tcPr>
          <w:p>
            <w:pPr>
              <w:spacing w:after="0"/>
              <w:rPr>
                <w:sz w:val="1"/>
                <w:szCs w:val="1"/>
                <w:color w:val="auto"/>
              </w:rPr>
            </w:pPr>
          </w:p>
        </w:tc>
      </w:tr>
      <w:tr>
        <w:trPr>
          <w:trHeight w:val="40"/>
        </w:trPr>
        <w:tc>
          <w:tcPr>
            <w:tcW w:w="2080" w:type="dxa"/>
            <w:vAlign w:val="bottom"/>
            <w:tcBorders>
              <w:bottom w:val="single" w:sz="8" w:color="2F5DA8"/>
            </w:tcBorders>
          </w:tcPr>
          <w:p>
            <w:pPr>
              <w:spacing w:after="0"/>
              <w:rPr>
                <w:sz w:val="3"/>
                <w:szCs w:val="3"/>
                <w:color w:val="auto"/>
              </w:rPr>
            </w:pPr>
          </w:p>
        </w:tc>
        <w:tc>
          <w:tcPr>
            <w:tcW w:w="780" w:type="dxa"/>
            <w:vAlign w:val="bottom"/>
            <w:tcBorders>
              <w:bottom w:val="single" w:sz="8" w:color="2F5DA8"/>
            </w:tcBorders>
          </w:tcPr>
          <w:p>
            <w:pPr>
              <w:spacing w:after="0"/>
              <w:rPr>
                <w:sz w:val="3"/>
                <w:szCs w:val="3"/>
                <w:color w:val="auto"/>
              </w:rPr>
            </w:pPr>
          </w:p>
        </w:tc>
        <w:tc>
          <w:tcPr>
            <w:tcW w:w="1000" w:type="dxa"/>
            <w:vAlign w:val="bottom"/>
            <w:tcBorders>
              <w:bottom w:val="single" w:sz="8" w:color="2F5DA8"/>
            </w:tcBorders>
          </w:tcPr>
          <w:p>
            <w:pPr>
              <w:spacing w:after="0"/>
              <w:rPr>
                <w:sz w:val="3"/>
                <w:szCs w:val="3"/>
                <w:color w:val="auto"/>
              </w:rPr>
            </w:pPr>
          </w:p>
        </w:tc>
        <w:tc>
          <w:tcPr>
            <w:tcW w:w="260" w:type="dxa"/>
            <w:vAlign w:val="bottom"/>
            <w:tcBorders>
              <w:bottom w:val="single" w:sz="8" w:color="2F5DA8"/>
            </w:tcBorders>
          </w:tcPr>
          <w:p>
            <w:pPr>
              <w:spacing w:after="0"/>
              <w:rPr>
                <w:sz w:val="3"/>
                <w:szCs w:val="3"/>
                <w:color w:val="auto"/>
              </w:rPr>
            </w:pPr>
          </w:p>
        </w:tc>
        <w:tc>
          <w:tcPr>
            <w:tcW w:w="860" w:type="dxa"/>
            <w:vAlign w:val="bottom"/>
            <w:tcBorders>
              <w:bottom w:val="single" w:sz="8" w:color="2F5DA8"/>
            </w:tcBorders>
          </w:tcPr>
          <w:p>
            <w:pPr>
              <w:spacing w:after="0"/>
              <w:rPr>
                <w:sz w:val="3"/>
                <w:szCs w:val="3"/>
                <w:color w:val="auto"/>
              </w:rPr>
            </w:pPr>
          </w:p>
        </w:tc>
        <w:tc>
          <w:tcPr>
            <w:tcW w:w="700" w:type="dxa"/>
            <w:vAlign w:val="bottom"/>
            <w:tcBorders>
              <w:bottom w:val="single" w:sz="8" w:color="2F5DA8"/>
            </w:tcBorders>
          </w:tcPr>
          <w:p>
            <w:pPr>
              <w:spacing w:after="0"/>
              <w:rPr>
                <w:sz w:val="3"/>
                <w:szCs w:val="3"/>
                <w:color w:val="auto"/>
              </w:rPr>
            </w:pPr>
          </w:p>
        </w:tc>
        <w:tc>
          <w:tcPr>
            <w:tcW w:w="880" w:type="dxa"/>
            <w:vAlign w:val="bottom"/>
            <w:tcBorders>
              <w:bottom w:val="single" w:sz="8" w:color="2F5DA8"/>
            </w:tcBorders>
          </w:tcPr>
          <w:p>
            <w:pPr>
              <w:spacing w:after="0"/>
              <w:rPr>
                <w:sz w:val="3"/>
                <w:szCs w:val="3"/>
                <w:color w:val="auto"/>
              </w:rPr>
            </w:pPr>
          </w:p>
        </w:tc>
        <w:tc>
          <w:tcPr>
            <w:tcW w:w="820" w:type="dxa"/>
            <w:vAlign w:val="bottom"/>
            <w:tcBorders>
              <w:bottom w:val="single" w:sz="8" w:color="2F5DA8"/>
            </w:tcBorders>
          </w:tcPr>
          <w:p>
            <w:pPr>
              <w:spacing w:after="0"/>
              <w:rPr>
                <w:sz w:val="3"/>
                <w:szCs w:val="3"/>
                <w:color w:val="auto"/>
              </w:rPr>
            </w:pPr>
          </w:p>
        </w:tc>
        <w:tc>
          <w:tcPr>
            <w:tcW w:w="760" w:type="dxa"/>
            <w:vAlign w:val="bottom"/>
            <w:tcBorders>
              <w:bottom w:val="single" w:sz="8" w:color="2F5DA8"/>
            </w:tcBorders>
          </w:tcPr>
          <w:p>
            <w:pPr>
              <w:spacing w:after="0"/>
              <w:rPr>
                <w:sz w:val="3"/>
                <w:szCs w:val="3"/>
                <w:color w:val="auto"/>
              </w:rPr>
            </w:pPr>
          </w:p>
        </w:tc>
        <w:tc>
          <w:tcPr>
            <w:tcW w:w="260" w:type="dxa"/>
            <w:vAlign w:val="bottom"/>
            <w:tcBorders>
              <w:bottom w:val="single" w:sz="8" w:color="2F5DA8"/>
            </w:tcBorders>
          </w:tcPr>
          <w:p>
            <w:pPr>
              <w:spacing w:after="0"/>
              <w:rPr>
                <w:sz w:val="3"/>
                <w:szCs w:val="3"/>
                <w:color w:val="auto"/>
              </w:rPr>
            </w:pPr>
          </w:p>
        </w:tc>
        <w:tc>
          <w:tcPr>
            <w:tcW w:w="700" w:type="dxa"/>
            <w:vAlign w:val="bottom"/>
            <w:tcBorders>
              <w:bottom w:val="single" w:sz="8" w:color="2F5DA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60" w:right="420" w:hanging="358"/>
        <w:spacing w:after="0" w:line="281" w:lineRule="auto"/>
        <w:tabs>
          <w:tab w:leader="none" w:pos="3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ind w:left="360" w:right="560" w:hanging="358"/>
        <w:spacing w:after="0" w:line="281" w:lineRule="auto"/>
        <w:tabs>
          <w:tab w:leader="none" w:pos="3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in this column represent the awards earned under the Company’s Annual Cash Incentive Plan for the applicable fiscal year. For Mr. Warzala, this column also includes awards earned under the Company ROE Incentive Plan in 2019.</w:t>
      </w:r>
    </w:p>
    <w:p>
      <w:pPr>
        <w:ind w:left="360" w:right="700" w:hanging="358"/>
        <w:spacing w:after="0" w:line="281" w:lineRule="auto"/>
        <w:tabs>
          <w:tab w:leader="none" w:pos="3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table below shows the components of this column for 2021. The amounts represent the amount paid by, or the incremental cost to, the Company.</w:t>
      </w:r>
    </w:p>
    <w:p>
      <w:pPr>
        <w:sectPr>
          <w:pgSz w:w="11900" w:h="16838" w:orient="portrait"/>
          <w:cols w:equalWidth="0" w:num="1">
            <w:col w:w="9320"/>
          </w:cols>
          <w:pgMar w:left="1280" w:top="263" w:right="1299" w:bottom="1440" w:gutter="0" w:footer="0" w:header="0"/>
          <w:type w:val="continuous"/>
        </w:sectPr>
      </w:pPr>
    </w:p>
    <w:p>
      <w:pPr>
        <w:spacing w:after="0" w:line="212"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257810</wp:posOffset>
            </wp:positionV>
            <wp:extent cx="5554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1300" w:type="dxa"/>
            <w:vAlign w:val="bottom"/>
            <w:vMerge w:val="restart"/>
          </w:tcPr>
          <w:p>
            <w:pPr>
              <w:jc w:val="center"/>
              <w:ind w:left="246"/>
              <w:spacing w:after="0"/>
              <w:rPr>
                <w:sz w:val="20"/>
                <w:szCs w:val="20"/>
                <w:color w:val="auto"/>
              </w:rPr>
            </w:pPr>
            <w:r>
              <w:rPr>
                <w:rFonts w:ascii="Arial" w:cs="Arial" w:eastAsia="Arial" w:hAnsi="Arial"/>
                <w:sz w:val="15"/>
                <w:szCs w:val="15"/>
                <w:b w:val="1"/>
                <w:bCs w:val="1"/>
                <w:color w:val="2F5DA8"/>
              </w:rPr>
              <w:t>Group Life</w:t>
            </w: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2F5DA8"/>
              </w:rPr>
              <w:t>Executive</w:t>
            </w: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2F5DA8"/>
              </w:rPr>
              <w:t>Executive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2F5DA8"/>
              </w:rPr>
              <w:t>Automobile</w:t>
            </w: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2F5DA8"/>
              </w:rPr>
              <w:t>Cash Paid</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2F5DA8"/>
              </w:rPr>
              <w:t>Life</w:t>
            </w:r>
          </w:p>
        </w:tc>
        <w:tc>
          <w:tcPr>
            <w:tcW w:w="880" w:type="dxa"/>
            <w:vAlign w:val="bottom"/>
            <w:vMerge w:val="continue"/>
          </w:tcPr>
          <w:p>
            <w:pPr>
              <w:spacing w:after="0"/>
              <w:rPr>
                <w:sz w:val="14"/>
                <w:szCs w:val="14"/>
                <w:color w:val="auto"/>
              </w:rPr>
            </w:pPr>
          </w:p>
        </w:tc>
        <w:tc>
          <w:tcPr>
            <w:tcW w:w="1060" w:type="dxa"/>
            <w:vAlign w:val="bottom"/>
            <w:vMerge w:val="restart"/>
          </w:tcPr>
          <w:p>
            <w:pPr>
              <w:jc w:val="center"/>
              <w:ind w:left="307"/>
              <w:spacing w:after="0"/>
              <w:rPr>
                <w:sz w:val="20"/>
                <w:szCs w:val="20"/>
                <w:color w:val="auto"/>
              </w:rPr>
            </w:pPr>
            <w:r>
              <w:rPr>
                <w:rFonts w:ascii="Arial" w:cs="Arial" w:eastAsia="Arial" w:hAnsi="Arial"/>
                <w:sz w:val="15"/>
                <w:szCs w:val="15"/>
                <w:b w:val="1"/>
                <w:bCs w:val="1"/>
                <w:color w:val="2F5DA8"/>
              </w:rPr>
              <w:t>401(k)</w:t>
            </w:r>
          </w:p>
        </w:tc>
        <w:tc>
          <w:tcPr>
            <w:tcW w:w="104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2F5DA8"/>
              </w:rPr>
              <w:t>ESOP</w:t>
            </w:r>
          </w:p>
        </w:tc>
        <w:tc>
          <w:tcPr>
            <w:tcW w:w="10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Name</w:t>
            </w:r>
          </w:p>
        </w:tc>
        <w:tc>
          <w:tcPr>
            <w:tcW w:w="1300" w:type="dxa"/>
            <w:vAlign w:val="bottom"/>
          </w:tcPr>
          <w:p>
            <w:pPr>
              <w:jc w:val="center"/>
              <w:ind w:left="226"/>
              <w:spacing w:after="0" w:line="162" w:lineRule="exact"/>
              <w:rPr>
                <w:sz w:val="20"/>
                <w:szCs w:val="20"/>
                <w:color w:val="auto"/>
              </w:rPr>
            </w:pPr>
            <w:r>
              <w:rPr>
                <w:rFonts w:ascii="Arial" w:cs="Arial" w:eastAsia="Arial" w:hAnsi="Arial"/>
                <w:sz w:val="15"/>
                <w:szCs w:val="15"/>
                <w:b w:val="1"/>
                <w:bCs w:val="1"/>
                <w:color w:val="2F5DA8"/>
              </w:rPr>
              <w:t>Insurance</w:t>
            </w:r>
          </w:p>
        </w:tc>
        <w:tc>
          <w:tcPr>
            <w:tcW w:w="90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2F5DA8"/>
              </w:rPr>
              <w:t>Insurance</w:t>
            </w: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2F5DA8"/>
              </w:rPr>
              <w:t>Disability</w:t>
            </w: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tcPr>
          <w:p>
            <w:pPr>
              <w:ind w:left="320"/>
              <w:spacing w:after="0" w:line="162" w:lineRule="exact"/>
              <w:rPr>
                <w:sz w:val="20"/>
                <w:szCs w:val="20"/>
                <w:color w:val="auto"/>
              </w:rPr>
            </w:pPr>
            <w:r>
              <w:rPr>
                <w:rFonts w:ascii="Arial" w:cs="Arial" w:eastAsia="Arial" w:hAnsi="Arial"/>
                <w:sz w:val="15"/>
                <w:szCs w:val="15"/>
                <w:b w:val="1"/>
                <w:bCs w:val="1"/>
                <w:color w:val="2F5DA8"/>
              </w:rPr>
              <w:t>Related</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2F5DA8"/>
              </w:rPr>
              <w:t>In-Lieu of</w:t>
            </w: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1300" w:type="dxa"/>
            <w:vAlign w:val="bottom"/>
          </w:tcPr>
          <w:p>
            <w:pPr>
              <w:jc w:val="center"/>
              <w:ind w:left="286"/>
              <w:spacing w:after="0"/>
              <w:rPr>
                <w:sz w:val="20"/>
                <w:szCs w:val="20"/>
                <w:color w:val="auto"/>
              </w:rPr>
            </w:pPr>
            <w:r>
              <w:rPr>
                <w:rFonts w:ascii="Arial" w:cs="Arial" w:eastAsia="Arial" w:hAnsi="Arial"/>
                <w:sz w:val="15"/>
                <w:szCs w:val="15"/>
                <w:b w:val="1"/>
                <w:bCs w:val="1"/>
                <w:color w:val="2F5DA8"/>
              </w:rPr>
              <w:t>Premiums</w:t>
            </w: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2F5DA8"/>
              </w:rPr>
              <w:t>Premiums</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F5DA8"/>
              </w:rPr>
              <w:t>Premiums</w:t>
            </w:r>
          </w:p>
        </w:tc>
        <w:tc>
          <w:tcPr>
            <w:tcW w:w="1060" w:type="dxa"/>
            <w:vAlign w:val="bottom"/>
          </w:tcPr>
          <w:p>
            <w:pPr>
              <w:ind w:left="60"/>
              <w:spacing w:after="0"/>
              <w:rPr>
                <w:sz w:val="20"/>
                <w:szCs w:val="20"/>
                <w:color w:val="auto"/>
              </w:rPr>
            </w:pPr>
            <w:r>
              <w:rPr>
                <w:rFonts w:ascii="Arial" w:cs="Arial" w:eastAsia="Arial" w:hAnsi="Arial"/>
                <w:sz w:val="15"/>
                <w:szCs w:val="15"/>
                <w:b w:val="1"/>
                <w:bCs w:val="1"/>
                <w:color w:val="2F5DA8"/>
              </w:rPr>
              <w:t>Contribution</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2F5DA8"/>
              </w:rPr>
              <w:t>Contribution</w:t>
            </w: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2F5DA8"/>
              </w:rPr>
              <w:t>Benefits</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2F5DA8"/>
              </w:rPr>
              <w:t>Vacation</w:t>
            </w:r>
          </w:p>
        </w:tc>
        <w:tc>
          <w:tcPr>
            <w:tcW w:w="0" w:type="dxa"/>
            <w:vAlign w:val="bottom"/>
          </w:tcPr>
          <w:p>
            <w:pPr>
              <w:spacing w:after="0"/>
              <w:rPr>
                <w:sz w:val="1"/>
                <w:szCs w:val="1"/>
                <w:color w:val="auto"/>
              </w:rPr>
            </w:pPr>
          </w:p>
        </w:tc>
      </w:tr>
      <w:tr>
        <w:trPr>
          <w:trHeight w:val="52"/>
        </w:trPr>
        <w:tc>
          <w:tcPr>
            <w:tcW w:w="1740" w:type="dxa"/>
            <w:vAlign w:val="bottom"/>
            <w:tcBorders>
              <w:bottom w:val="single" w:sz="8" w:color="2F5DA8"/>
            </w:tcBorders>
          </w:tcPr>
          <w:p>
            <w:pPr>
              <w:spacing w:after="0"/>
              <w:rPr>
                <w:sz w:val="4"/>
                <w:szCs w:val="4"/>
                <w:color w:val="auto"/>
              </w:rPr>
            </w:pPr>
          </w:p>
        </w:tc>
        <w:tc>
          <w:tcPr>
            <w:tcW w:w="1300" w:type="dxa"/>
            <w:vAlign w:val="bottom"/>
            <w:tcBorders>
              <w:bottom w:val="single" w:sz="8" w:color="2F5DA8"/>
            </w:tcBorders>
          </w:tcPr>
          <w:p>
            <w:pPr>
              <w:spacing w:after="0"/>
              <w:rPr>
                <w:sz w:val="4"/>
                <w:szCs w:val="4"/>
                <w:color w:val="auto"/>
              </w:rPr>
            </w:pPr>
          </w:p>
        </w:tc>
        <w:tc>
          <w:tcPr>
            <w:tcW w:w="900" w:type="dxa"/>
            <w:vAlign w:val="bottom"/>
            <w:tcBorders>
              <w:bottom w:val="single" w:sz="8" w:color="2F5DA8"/>
            </w:tcBorders>
          </w:tcPr>
          <w:p>
            <w:pPr>
              <w:spacing w:after="0"/>
              <w:rPr>
                <w:sz w:val="4"/>
                <w:szCs w:val="4"/>
                <w:color w:val="auto"/>
              </w:rPr>
            </w:pPr>
          </w:p>
        </w:tc>
        <w:tc>
          <w:tcPr>
            <w:tcW w:w="880" w:type="dxa"/>
            <w:vAlign w:val="bottom"/>
            <w:tcBorders>
              <w:bottom w:val="single" w:sz="8" w:color="2F5DA8"/>
            </w:tcBorders>
          </w:tcPr>
          <w:p>
            <w:pPr>
              <w:spacing w:after="0"/>
              <w:rPr>
                <w:sz w:val="4"/>
                <w:szCs w:val="4"/>
                <w:color w:val="auto"/>
              </w:rPr>
            </w:pPr>
          </w:p>
        </w:tc>
        <w:tc>
          <w:tcPr>
            <w:tcW w:w="1060" w:type="dxa"/>
            <w:vAlign w:val="bottom"/>
            <w:tcBorders>
              <w:bottom w:val="single" w:sz="8" w:color="2F5DA8"/>
            </w:tcBorders>
          </w:tcPr>
          <w:p>
            <w:pPr>
              <w:spacing w:after="0"/>
              <w:rPr>
                <w:sz w:val="4"/>
                <w:szCs w:val="4"/>
                <w:color w:val="auto"/>
              </w:rPr>
            </w:pPr>
          </w:p>
        </w:tc>
        <w:tc>
          <w:tcPr>
            <w:tcW w:w="1040" w:type="dxa"/>
            <w:vAlign w:val="bottom"/>
            <w:tcBorders>
              <w:bottom w:val="single" w:sz="8" w:color="2F5DA8"/>
            </w:tcBorders>
          </w:tcPr>
          <w:p>
            <w:pPr>
              <w:spacing w:after="0"/>
              <w:rPr>
                <w:sz w:val="4"/>
                <w:szCs w:val="4"/>
                <w:color w:val="auto"/>
              </w:rPr>
            </w:pPr>
          </w:p>
        </w:tc>
        <w:tc>
          <w:tcPr>
            <w:tcW w:w="1000" w:type="dxa"/>
            <w:vAlign w:val="bottom"/>
            <w:tcBorders>
              <w:bottom w:val="single" w:sz="8" w:color="2F5DA8"/>
            </w:tcBorders>
          </w:tcPr>
          <w:p>
            <w:pPr>
              <w:spacing w:after="0"/>
              <w:rPr>
                <w:sz w:val="4"/>
                <w:szCs w:val="4"/>
                <w:color w:val="auto"/>
              </w:rPr>
            </w:pPr>
          </w:p>
        </w:tc>
        <w:tc>
          <w:tcPr>
            <w:tcW w:w="82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color w:val="auto"/>
              </w:rPr>
              <w:t>Richard S. Warzala</w:t>
            </w:r>
          </w:p>
        </w:tc>
        <w:tc>
          <w:tcPr>
            <w:tcW w:w="1300" w:type="dxa"/>
            <w:vAlign w:val="bottom"/>
          </w:tcPr>
          <w:p>
            <w:pPr>
              <w:ind w:left="740"/>
              <w:spacing w:after="0"/>
              <w:rPr>
                <w:sz w:val="20"/>
                <w:szCs w:val="20"/>
                <w:color w:val="auto"/>
              </w:rPr>
            </w:pPr>
            <w:r>
              <w:rPr>
                <w:rFonts w:ascii="Arial" w:cs="Arial" w:eastAsia="Arial" w:hAnsi="Arial"/>
                <w:sz w:val="14"/>
                <w:szCs w:val="14"/>
                <w:color w:val="auto"/>
              </w:rPr>
              <w:t>$8,382</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$24,500</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$2,395</w:t>
            </w:r>
          </w:p>
        </w:tc>
        <w:tc>
          <w:tcPr>
            <w:tcW w:w="1060" w:type="dxa"/>
            <w:vAlign w:val="bottom"/>
          </w:tcPr>
          <w:p>
            <w:pPr>
              <w:jc w:val="center"/>
              <w:ind w:left="307"/>
              <w:spacing w:after="0"/>
              <w:rPr>
                <w:sz w:val="20"/>
                <w:szCs w:val="20"/>
                <w:color w:val="auto"/>
              </w:rPr>
            </w:pPr>
            <w:r>
              <w:rPr>
                <w:rFonts w:ascii="Arial" w:cs="Arial" w:eastAsia="Arial" w:hAnsi="Arial"/>
                <w:sz w:val="14"/>
                <w:szCs w:val="14"/>
                <w:color w:val="auto"/>
              </w:rPr>
              <w:t>$11,600</w:t>
            </w:r>
          </w:p>
        </w:tc>
        <w:tc>
          <w:tcPr>
            <w:tcW w:w="1040" w:type="dxa"/>
            <w:vAlign w:val="bottom"/>
          </w:tcPr>
          <w:p>
            <w:pPr>
              <w:jc w:val="right"/>
              <w:spacing w:after="0"/>
              <w:rPr>
                <w:sz w:val="20"/>
                <w:szCs w:val="20"/>
                <w:color w:val="auto"/>
              </w:rPr>
            </w:pPr>
            <w:r>
              <w:rPr>
                <w:rFonts w:ascii="Arial" w:cs="Arial" w:eastAsia="Arial" w:hAnsi="Arial"/>
                <w:sz w:val="14"/>
                <w:szCs w:val="14"/>
                <w:color w:val="auto"/>
              </w:rPr>
              <w:t>$8,236</w:t>
            </w:r>
          </w:p>
        </w:tc>
        <w:tc>
          <w:tcPr>
            <w:tcW w:w="1000" w:type="dxa"/>
            <w:vAlign w:val="bottom"/>
          </w:tcPr>
          <w:p>
            <w:pPr>
              <w:ind w:left="400"/>
              <w:spacing w:after="0"/>
              <w:rPr>
                <w:sz w:val="20"/>
                <w:szCs w:val="20"/>
                <w:color w:val="auto"/>
              </w:rPr>
            </w:pPr>
            <w:r>
              <w:rPr>
                <w:rFonts w:ascii="Arial" w:cs="Arial" w:eastAsia="Arial" w:hAnsi="Arial"/>
                <w:sz w:val="14"/>
                <w:szCs w:val="14"/>
                <w:color w:val="auto"/>
              </w:rPr>
              <w:t>$45,222</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1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color w:val="auto"/>
              </w:rPr>
              <w:t>Michael R. Leach</w:t>
            </w:r>
          </w:p>
        </w:tc>
        <w:tc>
          <w:tcPr>
            <w:tcW w:w="1300" w:type="dxa"/>
            <w:vAlign w:val="bottom"/>
          </w:tcPr>
          <w:p>
            <w:pPr>
              <w:ind w:left="740"/>
              <w:spacing w:after="0"/>
              <w:rPr>
                <w:sz w:val="20"/>
                <w:szCs w:val="20"/>
                <w:color w:val="auto"/>
              </w:rPr>
            </w:pPr>
            <w:r>
              <w:rPr>
                <w:rFonts w:ascii="Arial" w:cs="Arial" w:eastAsia="Arial" w:hAnsi="Arial"/>
                <w:sz w:val="14"/>
                <w:szCs w:val="14"/>
                <w:color w:val="auto"/>
              </w:rPr>
              <w:t>$1,518</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307"/>
              <w:spacing w:after="0"/>
              <w:rPr>
                <w:sz w:val="20"/>
                <w:szCs w:val="20"/>
                <w:color w:val="auto"/>
              </w:rPr>
            </w:pPr>
            <w:r>
              <w:rPr>
                <w:rFonts w:ascii="Arial" w:cs="Arial" w:eastAsia="Arial" w:hAnsi="Arial"/>
                <w:sz w:val="14"/>
                <w:szCs w:val="14"/>
                <w:color w:val="auto"/>
              </w:rPr>
              <w:t>$10,575</w:t>
            </w:r>
          </w:p>
        </w:tc>
        <w:tc>
          <w:tcPr>
            <w:tcW w:w="1040" w:type="dxa"/>
            <w:vAlign w:val="bottom"/>
          </w:tcPr>
          <w:p>
            <w:pPr>
              <w:jc w:val="right"/>
              <w:spacing w:after="0"/>
              <w:rPr>
                <w:sz w:val="20"/>
                <w:szCs w:val="20"/>
                <w:color w:val="auto"/>
              </w:rPr>
            </w:pPr>
            <w:r>
              <w:rPr>
                <w:rFonts w:ascii="Arial" w:cs="Arial" w:eastAsia="Arial" w:hAnsi="Arial"/>
                <w:sz w:val="14"/>
                <w:szCs w:val="14"/>
                <w:color w:val="auto"/>
              </w:rPr>
              <w:t>$8,236</w:t>
            </w:r>
          </w:p>
        </w:tc>
        <w:tc>
          <w:tcPr>
            <w:tcW w:w="1000" w:type="dxa"/>
            <w:vAlign w:val="bottom"/>
          </w:tcPr>
          <w:p>
            <w:pPr>
              <w:ind w:left="400"/>
              <w:spacing w:after="0"/>
              <w:rPr>
                <w:sz w:val="20"/>
                <w:szCs w:val="20"/>
                <w:color w:val="auto"/>
              </w:rPr>
            </w:pPr>
            <w:r>
              <w:rPr>
                <w:rFonts w:ascii="Arial" w:cs="Arial" w:eastAsia="Arial" w:hAnsi="Arial"/>
                <w:sz w:val="14"/>
                <w:szCs w:val="14"/>
                <w:color w:val="auto"/>
              </w:rPr>
              <w:t>$ 9,900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1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color w:val="auto"/>
              </w:rPr>
              <w:t>Robert P. Maida</w:t>
            </w:r>
          </w:p>
        </w:tc>
        <w:tc>
          <w:tcPr>
            <w:tcW w:w="1300" w:type="dxa"/>
            <w:vAlign w:val="bottom"/>
          </w:tcPr>
          <w:p>
            <w:pPr>
              <w:ind w:left="740"/>
              <w:spacing w:after="0"/>
              <w:rPr>
                <w:sz w:val="20"/>
                <w:szCs w:val="20"/>
                <w:color w:val="auto"/>
              </w:rPr>
            </w:pPr>
            <w:r>
              <w:rPr>
                <w:rFonts w:ascii="Arial" w:cs="Arial" w:eastAsia="Arial" w:hAnsi="Arial"/>
                <w:sz w:val="14"/>
                <w:szCs w:val="14"/>
                <w:color w:val="auto"/>
              </w:rPr>
              <w:t>$2,838</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287"/>
              <w:spacing w:after="0"/>
              <w:rPr>
                <w:sz w:val="20"/>
                <w:szCs w:val="20"/>
                <w:color w:val="auto"/>
              </w:rPr>
            </w:pPr>
            <w:r>
              <w:rPr>
                <w:rFonts w:ascii="Arial" w:cs="Arial" w:eastAsia="Arial" w:hAnsi="Arial"/>
                <w:sz w:val="14"/>
                <w:szCs w:val="14"/>
                <w:color w:val="auto"/>
              </w:rPr>
              <w:t>$ 6,952</w:t>
            </w:r>
          </w:p>
        </w:tc>
        <w:tc>
          <w:tcPr>
            <w:tcW w:w="1040" w:type="dxa"/>
            <w:vAlign w:val="bottom"/>
          </w:tcPr>
          <w:p>
            <w:pPr>
              <w:jc w:val="right"/>
              <w:spacing w:after="0"/>
              <w:rPr>
                <w:sz w:val="20"/>
                <w:szCs w:val="20"/>
                <w:color w:val="auto"/>
              </w:rPr>
            </w:pPr>
            <w:r>
              <w:rPr>
                <w:rFonts w:ascii="Arial" w:cs="Arial" w:eastAsia="Arial" w:hAnsi="Arial"/>
                <w:sz w:val="14"/>
                <w:szCs w:val="14"/>
                <w:color w:val="auto"/>
              </w:rPr>
              <w:t>$8,236</w:t>
            </w:r>
          </w:p>
        </w:tc>
        <w:tc>
          <w:tcPr>
            <w:tcW w:w="1000" w:type="dxa"/>
            <w:vAlign w:val="bottom"/>
          </w:tcPr>
          <w:p>
            <w:pPr>
              <w:ind w:left="400"/>
              <w:spacing w:after="0"/>
              <w:rPr>
                <w:sz w:val="20"/>
                <w:szCs w:val="20"/>
                <w:color w:val="auto"/>
              </w:rPr>
            </w:pPr>
            <w:r>
              <w:rPr>
                <w:rFonts w:ascii="Arial" w:cs="Arial" w:eastAsia="Arial" w:hAnsi="Arial"/>
                <w:sz w:val="14"/>
                <w:szCs w:val="14"/>
                <w:color w:val="auto"/>
              </w:rPr>
              <w:t>$11,654</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1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color w:val="auto"/>
              </w:rPr>
              <w:t>Ashish R. Bendre</w:t>
            </w:r>
          </w:p>
        </w:tc>
        <w:tc>
          <w:tcPr>
            <w:tcW w:w="1300" w:type="dxa"/>
            <w:vAlign w:val="bottom"/>
          </w:tcPr>
          <w:p>
            <w:pPr>
              <w:ind w:left="740"/>
              <w:spacing w:after="0"/>
              <w:rPr>
                <w:sz w:val="20"/>
                <w:szCs w:val="20"/>
                <w:color w:val="auto"/>
              </w:rPr>
            </w:pPr>
            <w:r>
              <w:rPr>
                <w:rFonts w:ascii="Arial" w:cs="Arial" w:eastAsia="Arial" w:hAnsi="Arial"/>
                <w:sz w:val="14"/>
                <w:szCs w:val="14"/>
                <w:color w:val="auto"/>
              </w:rPr>
              <w:t>$  828</w:t>
            </w:r>
          </w:p>
        </w:tc>
        <w:tc>
          <w:tcPr>
            <w:tcW w:w="9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$4,037</w:t>
            </w:r>
          </w:p>
        </w:tc>
        <w:tc>
          <w:tcPr>
            <w:tcW w:w="1060" w:type="dxa"/>
            <w:vAlign w:val="bottom"/>
          </w:tcPr>
          <w:p>
            <w:pPr>
              <w:jc w:val="center"/>
              <w:ind w:left="307"/>
              <w:spacing w:after="0"/>
              <w:rPr>
                <w:sz w:val="20"/>
                <w:szCs w:val="20"/>
                <w:color w:val="auto"/>
              </w:rPr>
            </w:pPr>
            <w:r>
              <w:rPr>
                <w:rFonts w:ascii="Arial" w:cs="Arial" w:eastAsia="Arial" w:hAnsi="Arial"/>
                <w:sz w:val="14"/>
                <w:szCs w:val="14"/>
                <w:color w:val="auto"/>
              </w:rPr>
              <w:t>$10,303</w:t>
            </w:r>
          </w:p>
        </w:tc>
        <w:tc>
          <w:tcPr>
            <w:tcW w:w="1040" w:type="dxa"/>
            <w:vAlign w:val="bottom"/>
          </w:tcPr>
          <w:p>
            <w:pPr>
              <w:jc w:val="right"/>
              <w:spacing w:after="0"/>
              <w:rPr>
                <w:sz w:val="20"/>
                <w:szCs w:val="20"/>
                <w:color w:val="auto"/>
              </w:rPr>
            </w:pPr>
            <w:r>
              <w:rPr>
                <w:rFonts w:ascii="Arial" w:cs="Arial" w:eastAsia="Arial" w:hAnsi="Arial"/>
                <w:sz w:val="14"/>
                <w:szCs w:val="14"/>
                <w:color w:val="auto"/>
              </w:rPr>
              <w:t>$8,236</w:t>
            </w:r>
          </w:p>
        </w:tc>
        <w:tc>
          <w:tcPr>
            <w:tcW w:w="1000" w:type="dxa"/>
            <w:vAlign w:val="bottom"/>
          </w:tcPr>
          <w:p>
            <w:pPr>
              <w:ind w:left="400"/>
              <w:spacing w:after="0"/>
              <w:rPr>
                <w:sz w:val="20"/>
                <w:szCs w:val="20"/>
                <w:color w:val="auto"/>
              </w:rPr>
            </w:pPr>
            <w:r>
              <w:rPr>
                <w:rFonts w:ascii="Arial" w:cs="Arial" w:eastAsia="Arial" w:hAnsi="Arial"/>
                <w:sz w:val="14"/>
                <w:szCs w:val="14"/>
                <w:color w:val="auto"/>
              </w:rPr>
              <w:t>$10,514</w:t>
            </w:r>
          </w:p>
        </w:tc>
        <w:tc>
          <w:tcPr>
            <w:tcW w:w="820" w:type="dxa"/>
            <w:vAlign w:val="bottom"/>
          </w:tcPr>
          <w:p>
            <w:pPr>
              <w:jc w:val="right"/>
              <w:spacing w:after="0"/>
              <w:rPr>
                <w:sz w:val="20"/>
                <w:szCs w:val="20"/>
                <w:color w:val="auto"/>
              </w:rPr>
            </w:pPr>
            <w:r>
              <w:rPr>
                <w:rFonts w:ascii="Arial" w:cs="Arial" w:eastAsia="Arial" w:hAnsi="Arial"/>
                <w:sz w:val="14"/>
                <w:szCs w:val="14"/>
                <w:color w:val="auto"/>
              </w:rPr>
              <w:t>$14,538</w:t>
            </w:r>
          </w:p>
        </w:tc>
        <w:tc>
          <w:tcPr>
            <w:tcW w:w="0" w:type="dxa"/>
            <w:vAlign w:val="bottom"/>
          </w:tcPr>
          <w:p>
            <w:pPr>
              <w:spacing w:after="0"/>
              <w:rPr>
                <w:sz w:val="1"/>
                <w:szCs w:val="1"/>
                <w:color w:val="auto"/>
              </w:rPr>
            </w:pPr>
          </w:p>
        </w:tc>
      </w:tr>
      <w:tr>
        <w:trPr>
          <w:trHeight w:val="62"/>
        </w:trPr>
        <w:tc>
          <w:tcPr>
            <w:tcW w:w="1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1740" w:type="dxa"/>
            <w:vAlign w:val="bottom"/>
            <w:tcBorders>
              <w:bottom w:val="single" w:sz="8" w:color="2F5DA8"/>
            </w:tcBorders>
          </w:tcPr>
          <w:p>
            <w:pPr>
              <w:ind w:left="60"/>
              <w:spacing w:after="0"/>
              <w:rPr>
                <w:sz w:val="20"/>
                <w:szCs w:val="20"/>
                <w:color w:val="auto"/>
              </w:rPr>
            </w:pPr>
            <w:r>
              <w:rPr>
                <w:rFonts w:ascii="Arial" w:cs="Arial" w:eastAsia="Arial" w:hAnsi="Arial"/>
                <w:sz w:val="14"/>
                <w:szCs w:val="14"/>
                <w:color w:val="auto"/>
              </w:rPr>
              <w:t>Helmut D. Pirthauer</w:t>
            </w:r>
          </w:p>
        </w:tc>
        <w:tc>
          <w:tcPr>
            <w:tcW w:w="1300" w:type="dxa"/>
            <w:vAlign w:val="bottom"/>
            <w:tcBorders>
              <w:bottom w:val="single" w:sz="8" w:color="2F5DA8"/>
            </w:tcBorders>
          </w:tcPr>
          <w:p>
            <w:pPr>
              <w:ind w:left="10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F5DA8"/>
            </w:tcBorders>
          </w:tcPr>
          <w:p>
            <w:pPr>
              <w:jc w:val="right"/>
              <w:ind w:right="2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2F5DA8"/>
            </w:tcBorders>
          </w:tcPr>
          <w:p>
            <w:pPr>
              <w:jc w:val="right"/>
              <w:ind w:right="6"/>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F5DA8"/>
            </w:tcBorders>
          </w:tcPr>
          <w:p>
            <w:pPr>
              <w:ind w:left="8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F5DA8"/>
            </w:tcBorders>
          </w:tcPr>
          <w:p>
            <w:pPr>
              <w:jc w:val="right"/>
              <w:ind w:right="7"/>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F5DA8"/>
            </w:tcBorders>
          </w:tcPr>
          <w:p>
            <w:pPr>
              <w:ind w:left="400"/>
              <w:spacing w:after="0"/>
              <w:rPr>
                <w:sz w:val="20"/>
                <w:szCs w:val="20"/>
                <w:color w:val="auto"/>
              </w:rPr>
            </w:pPr>
            <w:r>
              <w:rPr>
                <w:rFonts w:ascii="Arial" w:cs="Arial" w:eastAsia="Arial" w:hAnsi="Arial"/>
                <w:sz w:val="14"/>
                <w:szCs w:val="14"/>
                <w:color w:val="auto"/>
              </w:rPr>
              <w:t>$12,782</w:t>
            </w:r>
          </w:p>
        </w:tc>
        <w:tc>
          <w:tcPr>
            <w:tcW w:w="820" w:type="dxa"/>
            <w:vAlign w:val="bottom"/>
            <w:tcBorders>
              <w:bottom w:val="single" w:sz="8" w:color="2F5DA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Messrs. Bendre and Pirthauer were each named Vice President &amp; Group President in July 2020.</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Grants of Plan-Based Awards in 2021</w:t>
      </w:r>
    </w:p>
    <w:p>
      <w:pPr>
        <w:spacing w:after="0" w:line="128" w:lineRule="exact"/>
        <w:rPr>
          <w:sz w:val="20"/>
          <w:szCs w:val="20"/>
          <w:color w:val="auto"/>
        </w:rPr>
      </w:pPr>
    </w:p>
    <w:p>
      <w:pPr>
        <w:ind w:left="220" w:right="260"/>
        <w:spacing w:after="0" w:line="286" w:lineRule="auto"/>
        <w:rPr>
          <w:sz w:val="20"/>
          <w:szCs w:val="20"/>
          <w:color w:val="auto"/>
        </w:rPr>
      </w:pPr>
      <w:r>
        <w:rPr>
          <w:rFonts w:ascii="Arial" w:cs="Arial" w:eastAsia="Arial" w:hAnsi="Arial"/>
          <w:sz w:val="16"/>
          <w:szCs w:val="16"/>
          <w:color w:val="auto"/>
        </w:rPr>
        <w:t>The following table summarizes the grants of plan-based awards to each of the Named Executive Officers during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2F5DA8"/>
              </w:rPr>
              <w:t>Estimated</w:t>
            </w:r>
          </w:p>
        </w:tc>
        <w:tc>
          <w:tcPr>
            <w:tcW w:w="18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2F5DA8"/>
              </w:rPr>
              <w:t>Estimated</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2F5DA8"/>
              </w:rPr>
              <w:t>Possible Payouts</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F5DA8"/>
              </w:rPr>
              <w:t>Possible Payouts</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F5DA8"/>
              </w:rPr>
              <w:t>Under Non-</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F5DA8"/>
              </w:rPr>
              <w:t>Under Equity</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F5DA8"/>
              </w:rPr>
              <w:t>Equity Incentive</w:t>
            </w:r>
          </w:p>
        </w:tc>
        <w:tc>
          <w:tcPr>
            <w:tcW w:w="180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F5DA8"/>
              </w:rPr>
              <w:t>Incentive</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2F5DA8"/>
              </w:rPr>
              <w:t>Plan Awards</w:t>
            </w:r>
          </w:p>
        </w:tc>
        <w:tc>
          <w:tcPr>
            <w:tcW w:w="18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2F5DA8"/>
              </w:rPr>
              <w:t>Plan Awards</w:t>
            </w:r>
          </w:p>
        </w:tc>
        <w:tc>
          <w:tcPr>
            <w:tcW w:w="12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b w:val="1"/>
                <w:bCs w:val="1"/>
                <w:color w:val="2F5DA8"/>
              </w:rPr>
              <w:t>Grant Date Fair</w:t>
            </w: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60" w:type="dxa"/>
            <w:vAlign w:val="bottom"/>
            <w:tcBorders>
              <w:bottom w:val="single" w:sz="8" w:color="2F5DA8"/>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2F5DA8"/>
            </w:tcBorders>
          </w:tcPr>
          <w:p>
            <w:pPr>
              <w:spacing w:after="0"/>
              <w:rPr>
                <w:sz w:val="7"/>
                <w:szCs w:val="7"/>
                <w:color w:val="auto"/>
              </w:rPr>
            </w:pPr>
          </w:p>
        </w:tc>
        <w:tc>
          <w:tcPr>
            <w:tcW w:w="980" w:type="dxa"/>
            <w:vAlign w:val="bottom"/>
            <w:tcBorders>
              <w:bottom w:val="single" w:sz="8" w:color="2F5DA8"/>
            </w:tcBorders>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vMerge w:val="restart"/>
          </w:tcPr>
          <w:p>
            <w:pPr>
              <w:jc w:val="right"/>
              <w:ind w:right="4"/>
              <w:spacing w:after="0" w:line="162" w:lineRule="exact"/>
              <w:rPr>
                <w:sz w:val="20"/>
                <w:szCs w:val="20"/>
                <w:color w:val="auto"/>
              </w:rPr>
            </w:pPr>
            <w:r>
              <w:rPr>
                <w:rFonts w:ascii="Arial" w:cs="Arial" w:eastAsia="Arial" w:hAnsi="Arial"/>
                <w:sz w:val="15"/>
                <w:szCs w:val="15"/>
                <w:b w:val="1"/>
                <w:bCs w:val="1"/>
                <w:color w:val="2F5DA8"/>
              </w:rPr>
              <w:t>All Other Stock</w:t>
            </w:r>
          </w:p>
        </w:tc>
        <w:tc>
          <w:tcPr>
            <w:tcW w:w="1220" w:type="dxa"/>
            <w:vAlign w:val="bottom"/>
            <w:gridSpan w:val="2"/>
            <w:vMerge w:val="restart"/>
          </w:tcPr>
          <w:p>
            <w:pPr>
              <w:jc w:val="right"/>
              <w:spacing w:after="0" w:line="162" w:lineRule="exact"/>
              <w:rPr>
                <w:sz w:val="20"/>
                <w:szCs w:val="20"/>
                <w:color w:val="auto"/>
              </w:rPr>
            </w:pPr>
            <w:r>
              <w:rPr>
                <w:rFonts w:ascii="Arial" w:cs="Arial" w:eastAsia="Arial" w:hAnsi="Arial"/>
                <w:sz w:val="15"/>
                <w:szCs w:val="15"/>
                <w:b w:val="1"/>
                <w:bCs w:val="1"/>
                <w:color w:val="2F5DA8"/>
              </w:rPr>
              <w:t>Value of Stock</w:t>
            </w:r>
          </w:p>
        </w:tc>
        <w:tc>
          <w:tcPr>
            <w:tcW w:w="0" w:type="dxa"/>
            <w:vAlign w:val="bottom"/>
          </w:tcPr>
          <w:p>
            <w:pPr>
              <w:spacing w:after="0"/>
              <w:rPr>
                <w:sz w:val="1"/>
                <w:szCs w:val="1"/>
                <w:color w:val="auto"/>
              </w:rPr>
            </w:pPr>
          </w:p>
        </w:tc>
      </w:tr>
      <w:tr>
        <w:trPr>
          <w:trHeight w:val="55"/>
        </w:trPr>
        <w:tc>
          <w:tcPr>
            <w:tcW w:w="218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Name</w:t>
            </w:r>
          </w:p>
        </w:tc>
        <w:tc>
          <w:tcPr>
            <w:tcW w:w="11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F5DA8"/>
              </w:rPr>
              <w:t>Grant Date</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2F5DA8"/>
              </w:rPr>
              <w:t>Target($)</w:t>
            </w: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F5DA8"/>
                <w:w w:val="99"/>
              </w:rPr>
              <w:t>Target(#)</w:t>
            </w:r>
          </w:p>
        </w:tc>
        <w:tc>
          <w:tcPr>
            <w:tcW w:w="10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2F5DA8"/>
              </w:rPr>
              <w:t>Maximum(#)</w:t>
            </w:r>
          </w:p>
        </w:tc>
        <w:tc>
          <w:tcPr>
            <w:tcW w:w="12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2F5DA8"/>
            </w:tcBorders>
            <w:vMerge w:val="continue"/>
          </w:tcPr>
          <w:p>
            <w:pPr>
              <w:spacing w:after="0"/>
              <w:rPr>
                <w:sz w:val="22"/>
                <w:szCs w:val="22"/>
                <w:color w:val="auto"/>
              </w:rPr>
            </w:pPr>
          </w:p>
        </w:tc>
        <w:tc>
          <w:tcPr>
            <w:tcW w:w="1100" w:type="dxa"/>
            <w:vAlign w:val="bottom"/>
            <w:tcBorders>
              <w:bottom w:val="single" w:sz="8" w:color="2F5DA8"/>
            </w:tcBorders>
            <w:vMerge w:val="continue"/>
          </w:tcPr>
          <w:p>
            <w:pPr>
              <w:spacing w:after="0"/>
              <w:rPr>
                <w:sz w:val="22"/>
                <w:szCs w:val="22"/>
                <w:color w:val="auto"/>
              </w:rPr>
            </w:pPr>
          </w:p>
        </w:tc>
        <w:tc>
          <w:tcPr>
            <w:tcW w:w="1540" w:type="dxa"/>
            <w:vAlign w:val="bottom"/>
            <w:tcBorders>
              <w:bottom w:val="single" w:sz="8" w:color="2F5DA8"/>
            </w:tcBorders>
            <w:gridSpan w:val="2"/>
            <w:vMerge w:val="continue"/>
          </w:tcPr>
          <w:p>
            <w:pPr>
              <w:spacing w:after="0"/>
              <w:rPr>
                <w:sz w:val="22"/>
                <w:szCs w:val="22"/>
                <w:color w:val="auto"/>
              </w:rPr>
            </w:pPr>
          </w:p>
        </w:tc>
        <w:tc>
          <w:tcPr>
            <w:tcW w:w="740" w:type="dxa"/>
            <w:vAlign w:val="bottom"/>
            <w:tcBorders>
              <w:bottom w:val="single" w:sz="8" w:color="2F5DA8"/>
            </w:tcBorders>
            <w:vMerge w:val="continue"/>
          </w:tcPr>
          <w:p>
            <w:pPr>
              <w:spacing w:after="0"/>
              <w:rPr>
                <w:sz w:val="22"/>
                <w:szCs w:val="22"/>
                <w:color w:val="auto"/>
              </w:rPr>
            </w:pPr>
          </w:p>
        </w:tc>
        <w:tc>
          <w:tcPr>
            <w:tcW w:w="1060" w:type="dxa"/>
            <w:vAlign w:val="bottom"/>
            <w:tcBorders>
              <w:bottom w:val="single" w:sz="8" w:color="2F5DA8"/>
            </w:tcBorders>
            <w:gridSpan w:val="2"/>
            <w:vMerge w:val="continue"/>
          </w:tcPr>
          <w:p>
            <w:pPr>
              <w:spacing w:after="0"/>
              <w:rPr>
                <w:sz w:val="22"/>
                <w:szCs w:val="22"/>
                <w:color w:val="auto"/>
              </w:rPr>
            </w:pPr>
          </w:p>
        </w:tc>
        <w:tc>
          <w:tcPr>
            <w:tcW w:w="1260" w:type="dxa"/>
            <w:vAlign w:val="bottom"/>
            <w:tcBorders>
              <w:bottom w:val="single" w:sz="8" w:color="2F5DA8"/>
            </w:tcBorders>
          </w:tcPr>
          <w:p>
            <w:pPr>
              <w:jc w:val="right"/>
              <w:ind w:right="4"/>
              <w:spacing w:after="0"/>
              <w:rPr>
                <w:sz w:val="20"/>
                <w:szCs w:val="20"/>
                <w:color w:val="auto"/>
              </w:rPr>
            </w:pPr>
            <w:r>
              <w:rPr>
                <w:rFonts w:ascii="Arial" w:cs="Arial" w:eastAsia="Arial" w:hAnsi="Arial"/>
                <w:sz w:val="15"/>
                <w:szCs w:val="15"/>
                <w:b w:val="1"/>
                <w:bCs w:val="1"/>
                <w:color w:val="2F5DA8"/>
              </w:rPr>
              <w:t>Awards (#)</w:t>
            </w:r>
          </w:p>
        </w:tc>
        <w:tc>
          <w:tcPr>
            <w:tcW w:w="1220" w:type="dxa"/>
            <w:vAlign w:val="bottom"/>
            <w:tcBorders>
              <w:bottom w:val="single" w:sz="8" w:color="2F5DA8"/>
            </w:tcBorders>
            <w:gridSpan w:val="2"/>
          </w:tcPr>
          <w:p>
            <w:pPr>
              <w:jc w:val="right"/>
              <w:spacing w:after="0" w:line="263" w:lineRule="exact"/>
              <w:rPr>
                <w:sz w:val="20"/>
                <w:szCs w:val="20"/>
                <w:color w:val="auto"/>
              </w:rPr>
            </w:pPr>
            <w:r>
              <w:rPr>
                <w:rFonts w:ascii="Arial" w:cs="Arial" w:eastAsia="Arial" w:hAnsi="Arial"/>
                <w:sz w:val="15"/>
                <w:szCs w:val="15"/>
                <w:b w:val="1"/>
                <w:bCs w:val="1"/>
                <w:color w:val="2F5DA8"/>
              </w:rPr>
              <w:t>Awards</w:t>
            </w:r>
            <w:r>
              <w:rPr>
                <w:rFonts w:ascii="Arial" w:cs="Arial" w:eastAsia="Arial" w:hAnsi="Arial"/>
                <w:sz w:val="25"/>
                <w:szCs w:val="25"/>
                <w:b w:val="1"/>
                <w:bCs w:val="1"/>
                <w:color w:val="2F5DA8"/>
                <w:vertAlign w:val="superscript"/>
              </w:rPr>
              <w:t>(7)</w:t>
            </w:r>
          </w:p>
        </w:tc>
        <w:tc>
          <w:tcPr>
            <w:tcW w:w="0" w:type="dxa"/>
            <w:vAlign w:val="bottom"/>
          </w:tcPr>
          <w:p>
            <w:pPr>
              <w:spacing w:after="0"/>
              <w:rPr>
                <w:sz w:val="1"/>
                <w:szCs w:val="1"/>
                <w:color w:val="auto"/>
              </w:rPr>
            </w:pPr>
          </w:p>
        </w:tc>
      </w:tr>
      <w:tr>
        <w:trPr>
          <w:trHeight w:val="258"/>
        </w:trPr>
        <w:tc>
          <w:tcPr>
            <w:tcW w:w="21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ind w:left="720"/>
              <w:spacing w:after="0"/>
              <w:rPr>
                <w:sz w:val="20"/>
                <w:szCs w:val="20"/>
                <w:color w:val="auto"/>
              </w:rPr>
            </w:pPr>
            <w:r>
              <w:rPr>
                <w:rFonts w:ascii="Arial" w:cs="Arial" w:eastAsia="Arial" w:hAnsi="Arial"/>
                <w:sz w:val="15"/>
                <w:szCs w:val="15"/>
                <w:color w:val="auto"/>
              </w:rPr>
              <w:t>$733,125</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11,591</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366,569</w:t>
            </w:r>
          </w:p>
        </w:tc>
        <w:tc>
          <w:tcPr>
            <w:tcW w:w="0" w:type="dxa"/>
            <w:vAlign w:val="bottom"/>
          </w:tcPr>
          <w:p>
            <w:pPr>
              <w:spacing w:after="0"/>
              <w:rPr>
                <w:sz w:val="1"/>
                <w:szCs w:val="1"/>
                <w:color w:val="auto"/>
              </w:rPr>
            </w:pPr>
          </w:p>
        </w:tc>
      </w:tr>
      <w:tr>
        <w:trPr>
          <w:trHeight w:val="202"/>
        </w:trPr>
        <w:tc>
          <w:tcPr>
            <w:tcW w:w="2180" w:type="dxa"/>
            <w:vAlign w:val="bottom"/>
          </w:tcPr>
          <w:p>
            <w:pPr>
              <w:ind w:left="240"/>
              <w:spacing w:after="0"/>
              <w:rPr>
                <w:sz w:val="20"/>
                <w:szCs w:val="20"/>
                <w:color w:val="auto"/>
              </w:rPr>
            </w:pPr>
            <w:r>
              <w:rPr>
                <w:rFonts w:ascii="Arial" w:cs="Arial" w:eastAsia="Arial" w:hAnsi="Arial"/>
                <w:sz w:val="15"/>
                <w:szCs w:val="15"/>
                <w:color w:val="auto"/>
              </w:rPr>
              <w:t>PSP</w:t>
            </w:r>
            <w:r>
              <w:rPr>
                <w:rFonts w:ascii="Arial" w:cs="Arial" w:eastAsia="Arial" w:hAnsi="Arial"/>
                <w:sz w:val="12"/>
                <w:szCs w:val="12"/>
                <w:color w:val="auto"/>
              </w:rPr>
              <w:t>(3)</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5,796</w:t>
            </w:r>
          </w:p>
        </w:tc>
        <w:tc>
          <w:tcPr>
            <w:tcW w:w="980" w:type="dxa"/>
            <w:vAlign w:val="bottom"/>
          </w:tcPr>
          <w:p>
            <w:pPr>
              <w:jc w:val="right"/>
              <w:spacing w:after="0"/>
              <w:rPr>
                <w:sz w:val="20"/>
                <w:szCs w:val="20"/>
                <w:color w:val="auto"/>
              </w:rPr>
            </w:pPr>
            <w:r>
              <w:rPr>
                <w:rFonts w:ascii="Arial" w:cs="Arial" w:eastAsia="Arial" w:hAnsi="Arial"/>
                <w:sz w:val="15"/>
                <w:szCs w:val="15"/>
                <w:color w:val="auto"/>
              </w:rPr>
              <w:t>11,591</w:t>
            </w:r>
          </w:p>
        </w:tc>
        <w:tc>
          <w:tcPr>
            <w:tcW w:w="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366,569</w:t>
            </w: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19,019</w:t>
            </w:r>
          </w:p>
        </w:tc>
        <w:tc>
          <w:tcPr>
            <w:tcW w:w="8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601,492</w:t>
            </w:r>
          </w:p>
        </w:tc>
        <w:tc>
          <w:tcPr>
            <w:tcW w:w="0" w:type="dxa"/>
            <w:vAlign w:val="bottom"/>
          </w:tcPr>
          <w:p>
            <w:pPr>
              <w:spacing w:after="0"/>
              <w:rPr>
                <w:sz w:val="1"/>
                <w:szCs w:val="1"/>
                <w:color w:val="auto"/>
              </w:rPr>
            </w:pPr>
          </w:p>
        </w:tc>
      </w:tr>
      <w:tr>
        <w:trPr>
          <w:trHeight w:val="222"/>
        </w:trPr>
        <w:tc>
          <w:tcPr>
            <w:tcW w:w="218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2020 LTIP Modification</w:t>
            </w:r>
            <w:r>
              <w:rPr>
                <w:rFonts w:ascii="Arial" w:cs="Arial" w:eastAsia="Arial" w:hAnsi="Arial"/>
                <w:sz w:val="25"/>
                <w:szCs w:val="25"/>
                <w:color w:val="auto"/>
                <w:vertAlign w:val="superscript"/>
              </w:rPr>
              <w:t>(5)</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313,584</w:t>
            </w:r>
          </w:p>
        </w:tc>
        <w:tc>
          <w:tcPr>
            <w:tcW w:w="0" w:type="dxa"/>
            <w:vAlign w:val="bottom"/>
          </w:tcPr>
          <w:p>
            <w:pPr>
              <w:spacing w:after="0"/>
              <w:rPr>
                <w:sz w:val="1"/>
                <w:szCs w:val="1"/>
                <w:color w:val="auto"/>
              </w:rPr>
            </w:pPr>
          </w:p>
        </w:tc>
      </w:tr>
      <w:tr>
        <w:trPr>
          <w:trHeight w:val="217"/>
        </w:trPr>
        <w:tc>
          <w:tcPr>
            <w:tcW w:w="21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ind w:left="720"/>
              <w:spacing w:after="0"/>
              <w:rPr>
                <w:sz w:val="20"/>
                <w:szCs w:val="20"/>
                <w:color w:val="auto"/>
              </w:rPr>
            </w:pPr>
            <w:r>
              <w:rPr>
                <w:rFonts w:ascii="Arial" w:cs="Arial" w:eastAsia="Arial" w:hAnsi="Arial"/>
                <w:sz w:val="15"/>
                <w:szCs w:val="15"/>
                <w:color w:val="auto"/>
              </w:rPr>
              <w:t>$175,950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2,505</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79,225</w:t>
            </w:r>
          </w:p>
        </w:tc>
        <w:tc>
          <w:tcPr>
            <w:tcW w:w="0" w:type="dxa"/>
            <w:vAlign w:val="bottom"/>
          </w:tcPr>
          <w:p>
            <w:pPr>
              <w:spacing w:after="0"/>
              <w:rPr>
                <w:sz w:val="1"/>
                <w:szCs w:val="1"/>
                <w:color w:val="auto"/>
              </w:rPr>
            </w:pPr>
          </w:p>
        </w:tc>
      </w:tr>
      <w:tr>
        <w:trPr>
          <w:trHeight w:val="202"/>
        </w:trPr>
        <w:tc>
          <w:tcPr>
            <w:tcW w:w="2180" w:type="dxa"/>
            <w:vAlign w:val="bottom"/>
          </w:tcPr>
          <w:p>
            <w:pPr>
              <w:ind w:left="240"/>
              <w:spacing w:after="0"/>
              <w:rPr>
                <w:sz w:val="20"/>
                <w:szCs w:val="20"/>
                <w:color w:val="auto"/>
              </w:rPr>
            </w:pPr>
            <w:r>
              <w:rPr>
                <w:rFonts w:ascii="Arial" w:cs="Arial" w:eastAsia="Arial" w:hAnsi="Arial"/>
                <w:sz w:val="15"/>
                <w:szCs w:val="15"/>
                <w:color w:val="auto"/>
              </w:rPr>
              <w:t>PSP</w:t>
            </w:r>
            <w:r>
              <w:rPr>
                <w:rFonts w:ascii="Arial" w:cs="Arial" w:eastAsia="Arial" w:hAnsi="Arial"/>
                <w:sz w:val="12"/>
                <w:szCs w:val="12"/>
                <w:color w:val="auto"/>
              </w:rPr>
              <w:t>(3)</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1,253</w:t>
            </w:r>
          </w:p>
        </w:tc>
        <w:tc>
          <w:tcPr>
            <w:tcW w:w="980" w:type="dxa"/>
            <w:vAlign w:val="bottom"/>
          </w:tcPr>
          <w:p>
            <w:pPr>
              <w:jc w:val="right"/>
              <w:spacing w:after="0"/>
              <w:rPr>
                <w:sz w:val="20"/>
                <w:szCs w:val="20"/>
                <w:color w:val="auto"/>
              </w:rPr>
            </w:pPr>
            <w:r>
              <w:rPr>
                <w:rFonts w:ascii="Arial" w:cs="Arial" w:eastAsia="Arial" w:hAnsi="Arial"/>
                <w:sz w:val="15"/>
                <w:szCs w:val="15"/>
                <w:color w:val="auto"/>
              </w:rPr>
              <w:t>2,505</w:t>
            </w:r>
          </w:p>
        </w:tc>
        <w:tc>
          <w:tcPr>
            <w:tcW w:w="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79,225</w:t>
            </w: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2,607</w:t>
            </w:r>
          </w:p>
        </w:tc>
        <w:tc>
          <w:tcPr>
            <w:tcW w:w="80" w:type="dxa"/>
            <w:vAlign w:val="bottom"/>
          </w:tcPr>
          <w:p>
            <w:pPr>
              <w:spacing w:after="0"/>
              <w:rPr>
                <w:sz w:val="24"/>
                <w:szCs w:val="24"/>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82,451</w:t>
            </w:r>
          </w:p>
        </w:tc>
        <w:tc>
          <w:tcPr>
            <w:tcW w:w="0" w:type="dxa"/>
            <w:vAlign w:val="bottom"/>
          </w:tcPr>
          <w:p>
            <w:pPr>
              <w:spacing w:after="0"/>
              <w:rPr>
                <w:sz w:val="1"/>
                <w:szCs w:val="1"/>
                <w:color w:val="auto"/>
              </w:rPr>
            </w:pPr>
          </w:p>
        </w:tc>
      </w:tr>
      <w:tr>
        <w:trPr>
          <w:trHeight w:val="222"/>
        </w:trPr>
        <w:tc>
          <w:tcPr>
            <w:tcW w:w="218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2020 LTIP Modification</w:t>
            </w:r>
            <w:r>
              <w:rPr>
                <w:rFonts w:ascii="Arial" w:cs="Arial" w:eastAsia="Arial" w:hAnsi="Arial"/>
                <w:sz w:val="25"/>
                <w:szCs w:val="25"/>
                <w:color w:val="auto"/>
                <w:vertAlign w:val="superscript"/>
              </w:rPr>
              <w:t>(5)</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42,948</w:t>
            </w:r>
          </w:p>
        </w:tc>
        <w:tc>
          <w:tcPr>
            <w:tcW w:w="0" w:type="dxa"/>
            <w:vAlign w:val="bottom"/>
          </w:tcPr>
          <w:p>
            <w:pPr>
              <w:spacing w:after="0"/>
              <w:rPr>
                <w:sz w:val="1"/>
                <w:szCs w:val="1"/>
                <w:color w:val="auto"/>
              </w:rPr>
            </w:pPr>
          </w:p>
        </w:tc>
      </w:tr>
      <w:tr>
        <w:trPr>
          <w:trHeight w:val="217"/>
        </w:trPr>
        <w:tc>
          <w:tcPr>
            <w:tcW w:w="218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ind w:left="720"/>
              <w:spacing w:after="0"/>
              <w:rPr>
                <w:sz w:val="20"/>
                <w:szCs w:val="20"/>
                <w:color w:val="auto"/>
              </w:rPr>
            </w:pPr>
            <w:r>
              <w:rPr>
                <w:rFonts w:ascii="Arial" w:cs="Arial" w:eastAsia="Arial" w:hAnsi="Arial"/>
                <w:sz w:val="15"/>
                <w:szCs w:val="15"/>
                <w:color w:val="auto"/>
              </w:rPr>
              <w:t>$160,650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2,286</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72,299</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1,143</w:t>
            </w:r>
          </w:p>
        </w:tc>
        <w:tc>
          <w:tcPr>
            <w:tcW w:w="980" w:type="dxa"/>
            <w:vAlign w:val="bottom"/>
          </w:tcPr>
          <w:p>
            <w:pPr>
              <w:jc w:val="right"/>
              <w:spacing w:after="0"/>
              <w:rPr>
                <w:sz w:val="20"/>
                <w:szCs w:val="20"/>
                <w:color w:val="auto"/>
              </w:rPr>
            </w:pPr>
            <w:r>
              <w:rPr>
                <w:rFonts w:ascii="Arial" w:cs="Arial" w:eastAsia="Arial" w:hAnsi="Arial"/>
                <w:sz w:val="15"/>
                <w:szCs w:val="15"/>
                <w:color w:val="auto"/>
              </w:rPr>
              <w:t>2,286</w:t>
            </w:r>
          </w:p>
        </w:tc>
        <w:tc>
          <w:tcPr>
            <w:tcW w:w="80" w:type="dxa"/>
            <w:vAlign w:val="bottom"/>
          </w:tcPr>
          <w:p>
            <w:pPr>
              <w:spacing w:after="0"/>
              <w:rPr>
                <w:sz w:val="21"/>
                <w:szCs w:val="21"/>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72,299</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LTIP</w:t>
            </w:r>
            <w:r>
              <w:rPr>
                <w:rFonts w:ascii="Arial" w:cs="Arial" w:eastAsia="Arial" w:hAnsi="Arial"/>
                <w:sz w:val="25"/>
                <w:szCs w:val="25"/>
                <w:color w:val="auto"/>
                <w:vertAlign w:val="superscript"/>
              </w:rPr>
              <w:t>(4)</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2,186</w:t>
            </w:r>
          </w:p>
        </w:tc>
        <w:tc>
          <w:tcPr>
            <w:tcW w:w="80" w:type="dxa"/>
            <w:vAlign w:val="bottom"/>
          </w:tcPr>
          <w:p>
            <w:pPr>
              <w:spacing w:after="0"/>
              <w:rPr>
                <w:sz w:val="21"/>
                <w:szCs w:val="21"/>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69,120</w:t>
            </w:r>
          </w:p>
        </w:tc>
        <w:tc>
          <w:tcPr>
            <w:tcW w:w="0" w:type="dxa"/>
            <w:vAlign w:val="bottom"/>
          </w:tcPr>
          <w:p>
            <w:pPr>
              <w:spacing w:after="0"/>
              <w:rPr>
                <w:sz w:val="1"/>
                <w:szCs w:val="1"/>
                <w:color w:val="auto"/>
              </w:rPr>
            </w:pPr>
          </w:p>
        </w:tc>
      </w:tr>
      <w:tr>
        <w:trPr>
          <w:trHeight w:val="222"/>
        </w:trPr>
        <w:tc>
          <w:tcPr>
            <w:tcW w:w="218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2020 LTIP Modification</w:t>
            </w:r>
            <w:r>
              <w:rPr>
                <w:rFonts w:ascii="Arial" w:cs="Arial" w:eastAsia="Arial" w:hAnsi="Arial"/>
                <w:sz w:val="25"/>
                <w:szCs w:val="25"/>
                <w:color w:val="auto"/>
                <w:vertAlign w:val="superscript"/>
              </w:rPr>
              <w:t>(5)</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32,505</w:t>
            </w:r>
          </w:p>
        </w:tc>
        <w:tc>
          <w:tcPr>
            <w:tcW w:w="0" w:type="dxa"/>
            <w:vAlign w:val="bottom"/>
          </w:tcPr>
          <w:p>
            <w:pPr>
              <w:spacing w:after="0"/>
              <w:rPr>
                <w:sz w:val="1"/>
                <w:szCs w:val="1"/>
                <w:color w:val="auto"/>
              </w:rPr>
            </w:pPr>
          </w:p>
        </w:tc>
      </w:tr>
      <w:tr>
        <w:trPr>
          <w:trHeight w:val="217"/>
        </w:trPr>
        <w:tc>
          <w:tcPr>
            <w:tcW w:w="218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ind w:left="720"/>
              <w:spacing w:after="0"/>
              <w:rPr>
                <w:sz w:val="20"/>
                <w:szCs w:val="20"/>
                <w:color w:val="auto"/>
              </w:rPr>
            </w:pPr>
            <w:r>
              <w:rPr>
                <w:rFonts w:ascii="Arial" w:cs="Arial" w:eastAsia="Arial" w:hAnsi="Arial"/>
                <w:sz w:val="15"/>
                <w:szCs w:val="15"/>
                <w:color w:val="auto"/>
              </w:rPr>
              <w:t>$ 54,810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399</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12,619</w:t>
            </w:r>
          </w:p>
        </w:tc>
        <w:tc>
          <w:tcPr>
            <w:tcW w:w="0" w:type="dxa"/>
            <w:vAlign w:val="bottom"/>
          </w:tcPr>
          <w:p>
            <w:pPr>
              <w:spacing w:after="0"/>
              <w:rPr>
                <w:sz w:val="1"/>
                <w:szCs w:val="1"/>
                <w:color w:val="auto"/>
              </w:rPr>
            </w:pPr>
          </w:p>
        </w:tc>
      </w:tr>
      <w:tr>
        <w:trPr>
          <w:trHeight w:val="202"/>
        </w:trPr>
        <w:tc>
          <w:tcPr>
            <w:tcW w:w="2180" w:type="dxa"/>
            <w:vAlign w:val="bottom"/>
          </w:tcPr>
          <w:p>
            <w:pPr>
              <w:ind w:left="240"/>
              <w:spacing w:after="0"/>
              <w:rPr>
                <w:sz w:val="20"/>
                <w:szCs w:val="20"/>
                <w:color w:val="auto"/>
              </w:rPr>
            </w:pPr>
            <w:r>
              <w:rPr>
                <w:rFonts w:ascii="Arial" w:cs="Arial" w:eastAsia="Arial" w:hAnsi="Arial"/>
                <w:sz w:val="15"/>
                <w:szCs w:val="15"/>
                <w:color w:val="auto"/>
              </w:rPr>
              <w:t>PSP</w:t>
            </w:r>
            <w:r>
              <w:rPr>
                <w:rFonts w:ascii="Arial" w:cs="Arial" w:eastAsia="Arial" w:hAnsi="Arial"/>
                <w:sz w:val="12"/>
                <w:szCs w:val="12"/>
                <w:color w:val="auto"/>
              </w:rPr>
              <w:t>(3)</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399</w:t>
            </w:r>
          </w:p>
        </w:tc>
        <w:tc>
          <w:tcPr>
            <w:tcW w:w="980" w:type="dxa"/>
            <w:vAlign w:val="bottom"/>
          </w:tcPr>
          <w:p>
            <w:pPr>
              <w:jc w:val="right"/>
              <w:spacing w:after="0"/>
              <w:rPr>
                <w:sz w:val="20"/>
                <w:szCs w:val="20"/>
                <w:color w:val="auto"/>
              </w:rPr>
            </w:pPr>
            <w:r>
              <w:rPr>
                <w:rFonts w:ascii="Arial" w:cs="Arial" w:eastAsia="Arial" w:hAnsi="Arial"/>
                <w:sz w:val="15"/>
                <w:szCs w:val="15"/>
                <w:color w:val="auto"/>
              </w:rPr>
              <w:t>798</w:t>
            </w:r>
          </w:p>
        </w:tc>
        <w:tc>
          <w:tcPr>
            <w:tcW w:w="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25,238</w:t>
            </w: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(6)</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04/01/21</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750</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26,140</w:t>
            </w:r>
          </w:p>
        </w:tc>
        <w:tc>
          <w:tcPr>
            <w:tcW w:w="0" w:type="dxa"/>
            <w:vAlign w:val="bottom"/>
          </w:tcPr>
          <w:p>
            <w:pPr>
              <w:spacing w:after="0"/>
              <w:rPr>
                <w:sz w:val="1"/>
                <w:szCs w:val="1"/>
                <w:color w:val="auto"/>
              </w:rPr>
            </w:pPr>
          </w:p>
        </w:tc>
      </w:tr>
      <w:tr>
        <w:trPr>
          <w:trHeight w:val="243"/>
        </w:trPr>
        <w:tc>
          <w:tcPr>
            <w:tcW w:w="2180" w:type="dxa"/>
            <w:vAlign w:val="bottom"/>
          </w:tcPr>
          <w:p>
            <w:pPr>
              <w:ind w:left="240"/>
              <w:spacing w:after="0" w:line="24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04/01/21</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99</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215"/>
        </w:trPr>
        <w:tc>
          <w:tcPr>
            <w:tcW w:w="21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PSP</w:t>
            </w:r>
            <w:r>
              <w:rPr>
                <w:rFonts w:ascii="Arial" w:cs="Arial" w:eastAsia="Arial" w:hAnsi="Arial"/>
                <w:sz w:val="12"/>
                <w:szCs w:val="12"/>
                <w:color w:val="auto"/>
              </w:rPr>
              <w:t>(3)</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04/01/21</w:t>
            </w: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6,953</w:t>
            </w:r>
          </w:p>
        </w:tc>
        <w:tc>
          <w:tcPr>
            <w:tcW w:w="0" w:type="dxa"/>
            <w:vAlign w:val="bottom"/>
          </w:tcPr>
          <w:p>
            <w:pPr>
              <w:spacing w:after="0"/>
              <w:rPr>
                <w:sz w:val="1"/>
                <w:szCs w:val="1"/>
                <w:color w:val="auto"/>
              </w:rPr>
            </w:pPr>
          </w:p>
        </w:tc>
      </w:tr>
      <w:tr>
        <w:trPr>
          <w:trHeight w:val="223"/>
        </w:trPr>
        <w:tc>
          <w:tcPr>
            <w:tcW w:w="218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240"/>
              <w:spacing w:after="0" w:line="283"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Pr>
          <w:p>
            <w:pPr>
              <w:ind w:left="720"/>
              <w:spacing w:after="0"/>
              <w:rPr>
                <w:sz w:val="20"/>
                <w:szCs w:val="20"/>
                <w:color w:val="auto"/>
              </w:rPr>
            </w:pPr>
            <w:r>
              <w:rPr>
                <w:rFonts w:ascii="Arial" w:cs="Arial" w:eastAsia="Arial" w:hAnsi="Arial"/>
                <w:sz w:val="15"/>
                <w:szCs w:val="15"/>
                <w:color w:val="auto"/>
              </w:rPr>
              <w:t>$111,364</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180" w:type="dxa"/>
            <w:vAlign w:val="bottom"/>
            <w:tcBorders>
              <w:bottom w:val="single" w:sz="8" w:color="2F5DA8"/>
            </w:tcBorders>
          </w:tcPr>
          <w:p>
            <w:pPr>
              <w:ind w:left="240"/>
              <w:spacing w:after="0" w:line="209" w:lineRule="exact"/>
              <w:rPr>
                <w:sz w:val="20"/>
                <w:szCs w:val="20"/>
                <w:color w:val="auto"/>
              </w:rPr>
            </w:pPr>
            <w:r>
              <w:rPr>
                <w:rFonts w:ascii="Arial" w:cs="Arial" w:eastAsia="Arial" w:hAnsi="Arial"/>
                <w:sz w:val="15"/>
                <w:szCs w:val="15"/>
                <w:color w:val="auto"/>
              </w:rPr>
              <w:t>Time-Based Awards</w:t>
            </w:r>
            <w:r>
              <w:rPr>
                <w:rFonts w:ascii="Arial" w:cs="Arial" w:eastAsia="Arial" w:hAnsi="Arial"/>
                <w:sz w:val="24"/>
                <w:szCs w:val="24"/>
                <w:color w:val="auto"/>
                <w:vertAlign w:val="superscript"/>
              </w:rPr>
              <w:t>(2)</w:t>
            </w:r>
          </w:p>
        </w:tc>
        <w:tc>
          <w:tcPr>
            <w:tcW w:w="1100" w:type="dxa"/>
            <w:vAlign w:val="bottom"/>
            <w:tcBorders>
              <w:bottom w:val="single" w:sz="8" w:color="2F5DA8"/>
            </w:tcBorders>
          </w:tcPr>
          <w:p>
            <w:pPr>
              <w:jc w:val="right"/>
              <w:ind w:right="24"/>
              <w:spacing w:after="0"/>
              <w:rPr>
                <w:sz w:val="20"/>
                <w:szCs w:val="20"/>
                <w:color w:val="auto"/>
              </w:rPr>
            </w:pPr>
            <w:r>
              <w:rPr>
                <w:rFonts w:ascii="Arial" w:cs="Arial" w:eastAsia="Arial" w:hAnsi="Arial"/>
                <w:sz w:val="15"/>
                <w:szCs w:val="15"/>
                <w:color w:val="auto"/>
              </w:rPr>
              <w:t>03/10/21</w:t>
            </w:r>
          </w:p>
        </w:tc>
        <w:tc>
          <w:tcPr>
            <w:tcW w:w="1460" w:type="dxa"/>
            <w:vAlign w:val="bottom"/>
            <w:tcBorders>
              <w:bottom w:val="single" w:sz="8" w:color="2F5DA8"/>
            </w:tcBorders>
          </w:tcPr>
          <w:p>
            <w:pPr>
              <w:spacing w:after="0"/>
              <w:rPr>
                <w:sz w:val="18"/>
                <w:szCs w:val="18"/>
                <w:color w:val="auto"/>
              </w:rPr>
            </w:pPr>
          </w:p>
        </w:tc>
        <w:tc>
          <w:tcPr>
            <w:tcW w:w="80" w:type="dxa"/>
            <w:vAlign w:val="bottom"/>
            <w:tcBorders>
              <w:bottom w:val="single" w:sz="8" w:color="2F5DA8"/>
            </w:tcBorders>
          </w:tcPr>
          <w:p>
            <w:pPr>
              <w:spacing w:after="0"/>
              <w:rPr>
                <w:sz w:val="18"/>
                <w:szCs w:val="18"/>
                <w:color w:val="auto"/>
              </w:rPr>
            </w:pPr>
          </w:p>
        </w:tc>
        <w:tc>
          <w:tcPr>
            <w:tcW w:w="740" w:type="dxa"/>
            <w:vAlign w:val="bottom"/>
            <w:tcBorders>
              <w:bottom w:val="single" w:sz="8" w:color="2F5DA8"/>
            </w:tcBorders>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F5DA8"/>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F5DA8"/>
            </w:tcBorders>
          </w:tcPr>
          <w:p>
            <w:pPr>
              <w:jc w:val="right"/>
              <w:ind w:right="4"/>
              <w:spacing w:after="0"/>
              <w:rPr>
                <w:sz w:val="20"/>
                <w:szCs w:val="20"/>
                <w:color w:val="auto"/>
              </w:rPr>
            </w:pPr>
            <w:r>
              <w:rPr>
                <w:rFonts w:ascii="Arial" w:cs="Arial" w:eastAsia="Arial" w:hAnsi="Arial"/>
                <w:sz w:val="15"/>
                <w:szCs w:val="15"/>
                <w:color w:val="auto"/>
              </w:rPr>
              <w:t>2,147</w:t>
            </w:r>
          </w:p>
        </w:tc>
        <w:tc>
          <w:tcPr>
            <w:tcW w:w="6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67,887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40" w:hanging="342"/>
        <w:spacing w:after="0" w:line="246" w:lineRule="auto"/>
        <w:tabs>
          <w:tab w:leader="none" w:pos="5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Compensation—Annual Cash Incentive Plan, the executive officers were eligible for a possible cash incentive award for 2021 pursuant to the Plan based on corporate performance. The table reflects the possible target incentive awards based on corporate performance. The target incentive is a percentage of the actual salary earned for the year and was set as follows: Mr. Warzala (125%), Mr. Leach (50%) and Mr. Maida (50%), Mr. Bendre (14.5%) and Mr. Pirthauer (35%) There is no maximum amount under the Plan. The actual amount earned by each Named Executive Officer in 2021 is reported under the Non-Equity Incentive Plan Compensation column in the Summary Compensation Table.</w:t>
      </w:r>
    </w:p>
    <w:p>
      <w:pPr>
        <w:spacing w:after="0" w:line="25" w:lineRule="exact"/>
        <w:rPr>
          <w:rFonts w:ascii="Arial" w:cs="Arial" w:eastAsia="Arial" w:hAnsi="Arial"/>
          <w:sz w:val="13"/>
          <w:szCs w:val="13"/>
          <w:color w:val="auto"/>
        </w:rPr>
      </w:pPr>
    </w:p>
    <w:p>
      <w:pPr>
        <w:ind w:left="560" w:right="160" w:hanging="342"/>
        <w:spacing w:after="0" w:line="281" w:lineRule="auto"/>
        <w:tabs>
          <w:tab w:leader="none" w:pos="5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 consists of Time-Based Awards that will vest in three equal annual installments beginning in April 2022.</w:t>
      </w:r>
    </w:p>
    <w:p>
      <w:pPr>
        <w:sectPr>
          <w:pgSz w:w="11900" w:h="16838" w:orient="portrait"/>
          <w:cols w:equalWidth="0" w:num="1">
            <w:col w:w="9320"/>
          </w:cols>
          <w:pgMar w:left="1280" w:top="263" w:right="1299" w:bottom="826"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26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826" w:gutter="0" w:footer="0" w:header="0"/>
          <w:type w:val="continuous"/>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393" w:lineRule="exact"/>
        <w:rPr>
          <w:sz w:val="20"/>
          <w:szCs w:val="20"/>
          <w:color w:val="auto"/>
        </w:rPr>
      </w:pPr>
    </w:p>
    <w:p>
      <w:pPr>
        <w:ind w:left="360" w:right="220" w:hanging="358"/>
        <w:spacing w:after="0" w:line="252"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2021. For 2021, the performance goals were fully achieved and 100% of the share award was earned for each Named Executive Officer. The award vested one-third on April 1, 2022 with the remainder vesting one-third in each of 2023 and 2024, subject to continued employment.</w:t>
      </w:r>
    </w:p>
    <w:p>
      <w:pPr>
        <w:spacing w:after="0" w:line="20" w:lineRule="exact"/>
        <w:rPr>
          <w:rFonts w:ascii="Arial" w:cs="Arial" w:eastAsia="Arial" w:hAnsi="Arial"/>
          <w:sz w:val="13"/>
          <w:szCs w:val="13"/>
          <w:color w:val="auto"/>
        </w:rPr>
      </w:pPr>
    </w:p>
    <w:p>
      <w:pPr>
        <w:ind w:left="360" w:right="300" w:hanging="358"/>
        <w:spacing w:after="0" w:line="249"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Compensation—LTIP above, certain executive officers were eligible for restricted stock incentive performance-based equity awards based on achievement of longer term performance goals for 2022. All or a portion of the performance shares will be earned if the performance goal is met for any year in the period ending December 31, 2022. For 2021, shares were earned under the acquired sales criteria of the LTIP as a result of the acquisitions of ORMEC, ALIO and Spectrum Controls. There was also organic growth of $51.5 million.</w:t>
      </w:r>
    </w:p>
    <w:p>
      <w:pPr>
        <w:spacing w:after="0" w:line="20" w:lineRule="exact"/>
        <w:rPr>
          <w:rFonts w:ascii="Arial" w:cs="Arial" w:eastAsia="Arial" w:hAnsi="Arial"/>
          <w:sz w:val="13"/>
          <w:szCs w:val="13"/>
          <w:color w:val="auto"/>
        </w:rPr>
      </w:pPr>
    </w:p>
    <w:p>
      <w:pPr>
        <w:ind w:left="360" w:right="660" w:hanging="358"/>
        <w:spacing w:after="0" w:line="259"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 reported reflects the incremental fair value of the previously granted LTIP award for 2020 as a result of modification of the LTIP performance goal and not a new award grant. On March 10, 2021, the Human Capital and Compensation Committee modified the LTIP performance goal to take account of adverse impacts on the Company’s growth in 2020 resulting from the global COVID-19 pandemic.</w:t>
      </w:r>
    </w:p>
    <w:p>
      <w:pPr>
        <w:spacing w:after="0" w:line="15" w:lineRule="exact"/>
        <w:rPr>
          <w:rFonts w:ascii="Arial" w:cs="Arial" w:eastAsia="Arial" w:hAnsi="Arial"/>
          <w:sz w:val="13"/>
          <w:szCs w:val="13"/>
          <w:color w:val="auto"/>
        </w:rPr>
      </w:pPr>
    </w:p>
    <w:p>
      <w:pPr>
        <w:ind w:left="360" w:hanging="358"/>
        <w:spacing w:after="0"/>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Time-Based Awards that will vest in three equal annual installments beginning in September 2021.</w:t>
      </w:r>
    </w:p>
    <w:p>
      <w:pPr>
        <w:spacing w:after="0" w:line="53" w:lineRule="exact"/>
        <w:rPr>
          <w:rFonts w:ascii="Arial" w:cs="Arial" w:eastAsia="Arial" w:hAnsi="Arial"/>
          <w:sz w:val="13"/>
          <w:szCs w:val="13"/>
          <w:color w:val="auto"/>
        </w:rPr>
      </w:pPr>
    </w:p>
    <w:p>
      <w:pPr>
        <w:ind w:left="360" w:right="260" w:hanging="358"/>
        <w:spacing w:after="0" w:line="281"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Outstanding Equity Awards at 2021 Fiscal Year End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outstanding equity awards held by the Named Executive Officers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57778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gridSpan w:val="2"/>
          </w:tcPr>
          <w:p>
            <w:pPr>
              <w:jc w:val="right"/>
              <w:ind w:right="1264"/>
              <w:spacing w:after="0"/>
              <w:rPr>
                <w:sz w:val="20"/>
                <w:szCs w:val="20"/>
                <w:color w:val="auto"/>
              </w:rPr>
            </w:pPr>
            <w:r>
              <w:rPr>
                <w:rFonts w:ascii="Arial" w:cs="Arial" w:eastAsia="Arial" w:hAnsi="Arial"/>
                <w:sz w:val="15"/>
                <w:szCs w:val="15"/>
                <w:b w:val="1"/>
                <w:bCs w:val="1"/>
                <w:color w:val="2F5DA8"/>
              </w:rPr>
              <w:t>Stock Awards</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1820" w:type="dxa"/>
            <w:vAlign w:val="bottom"/>
            <w:tcBorders>
              <w:bottom w:val="single" w:sz="8" w:color="2F5DA8"/>
            </w:tcBorders>
          </w:tcPr>
          <w:p>
            <w:pPr>
              <w:spacing w:after="0"/>
              <w:rPr>
                <w:sz w:val="4"/>
                <w:szCs w:val="4"/>
                <w:color w:val="auto"/>
              </w:rPr>
            </w:pPr>
          </w:p>
        </w:tc>
        <w:tc>
          <w:tcPr>
            <w:tcW w:w="800" w:type="dxa"/>
            <w:vAlign w:val="bottom"/>
            <w:tcBorders>
              <w:bottom w:val="single" w:sz="8" w:color="2F5DA8"/>
            </w:tcBorders>
          </w:tcPr>
          <w:p>
            <w:pPr>
              <w:spacing w:after="0"/>
              <w:rPr>
                <w:sz w:val="4"/>
                <w:szCs w:val="4"/>
                <w:color w:val="auto"/>
              </w:rPr>
            </w:pPr>
          </w:p>
        </w:tc>
        <w:tc>
          <w:tcPr>
            <w:tcW w:w="840" w:type="dxa"/>
            <w:vAlign w:val="bottom"/>
            <w:tcBorders>
              <w:bottom w:val="single" w:sz="8" w:color="2F5DA8"/>
            </w:tcBorders>
          </w:tcPr>
          <w:p>
            <w:pPr>
              <w:spacing w:after="0"/>
              <w:rPr>
                <w:sz w:val="4"/>
                <w:szCs w:val="4"/>
                <w:color w:val="auto"/>
              </w:rPr>
            </w:pPr>
          </w:p>
        </w:tc>
        <w:tc>
          <w:tcPr>
            <w:tcW w:w="1880" w:type="dxa"/>
            <w:vAlign w:val="bottom"/>
            <w:tcBorders>
              <w:bottom w:val="single" w:sz="8" w:color="2F5DA8"/>
            </w:tcBorders>
          </w:tcPr>
          <w:p>
            <w:pPr>
              <w:spacing w:after="0"/>
              <w:rPr>
                <w:sz w:val="4"/>
                <w:szCs w:val="4"/>
                <w:color w:val="auto"/>
              </w:rPr>
            </w:pPr>
          </w:p>
        </w:tc>
        <w:tc>
          <w:tcPr>
            <w:tcW w:w="1520" w:type="dxa"/>
            <w:vAlign w:val="bottom"/>
            <w:tcBorders>
              <w:bottom w:val="single" w:sz="8" w:color="2F5DA8"/>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F5DA8"/>
              </w:rPr>
              <w:t>Incentive Plan</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F5DA8"/>
              </w:rPr>
              <w:t>Equity Incentive Plan</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Awards: Market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2F5DA8"/>
              </w:rPr>
              <w:t>Number of Shares</w:t>
            </w:r>
          </w:p>
        </w:tc>
        <w:tc>
          <w:tcPr>
            <w:tcW w:w="1640" w:type="dxa"/>
            <w:vAlign w:val="bottom"/>
            <w:gridSpan w:val="2"/>
            <w:vMerge w:val="restart"/>
          </w:tcPr>
          <w:p>
            <w:pPr>
              <w:jc w:val="right"/>
              <w:ind w:right="124"/>
              <w:spacing w:after="0"/>
              <w:rPr>
                <w:sz w:val="20"/>
                <w:szCs w:val="20"/>
                <w:color w:val="auto"/>
              </w:rPr>
            </w:pPr>
            <w:r>
              <w:rPr>
                <w:rFonts w:ascii="Arial" w:cs="Arial" w:eastAsia="Arial" w:hAnsi="Arial"/>
                <w:sz w:val="15"/>
                <w:szCs w:val="15"/>
                <w:b w:val="1"/>
                <w:bCs w:val="1"/>
                <w:color w:val="2F5DA8"/>
              </w:rPr>
              <w:t>Market Value of</w:t>
            </w:r>
          </w:p>
        </w:tc>
        <w:tc>
          <w:tcPr>
            <w:tcW w:w="1880" w:type="dxa"/>
            <w:vAlign w:val="bottom"/>
            <w:vMerge w:val="continue"/>
          </w:tcPr>
          <w:p>
            <w:pPr>
              <w:spacing w:after="0"/>
              <w:rPr>
                <w:sz w:val="14"/>
                <w:szCs w:val="14"/>
                <w:color w:val="auto"/>
              </w:rPr>
            </w:pP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Value or Payout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8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Awards: Number of</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Value of Unearned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or Units of Stock</w:t>
            </w:r>
          </w:p>
        </w:tc>
        <w:tc>
          <w:tcPr>
            <w:tcW w:w="1640" w:type="dxa"/>
            <w:vAlign w:val="bottom"/>
            <w:gridSpan w:val="2"/>
          </w:tcPr>
          <w:p>
            <w:pPr>
              <w:jc w:val="right"/>
              <w:ind w:right="84"/>
              <w:spacing w:after="0" w:line="162" w:lineRule="exact"/>
              <w:rPr>
                <w:sz w:val="20"/>
                <w:szCs w:val="20"/>
                <w:color w:val="auto"/>
              </w:rPr>
            </w:pPr>
            <w:r>
              <w:rPr>
                <w:rFonts w:ascii="Arial" w:cs="Arial" w:eastAsia="Arial" w:hAnsi="Arial"/>
                <w:sz w:val="15"/>
                <w:szCs w:val="15"/>
                <w:b w:val="1"/>
                <w:bCs w:val="1"/>
                <w:color w:val="2F5DA8"/>
              </w:rPr>
              <w:t>Shares or Units of</w:t>
            </w:r>
          </w:p>
        </w:tc>
        <w:tc>
          <w:tcPr>
            <w:tcW w:w="188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Unearned Shares,</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Shares, Units or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That Have Not</w:t>
            </w:r>
          </w:p>
        </w:tc>
        <w:tc>
          <w:tcPr>
            <w:tcW w:w="1640" w:type="dxa"/>
            <w:vAlign w:val="bottom"/>
            <w:gridSpan w:val="2"/>
          </w:tcPr>
          <w:p>
            <w:pPr>
              <w:jc w:val="right"/>
              <w:ind w:right="124"/>
              <w:spacing w:after="0" w:line="162" w:lineRule="exact"/>
              <w:rPr>
                <w:sz w:val="20"/>
                <w:szCs w:val="20"/>
                <w:color w:val="auto"/>
              </w:rPr>
            </w:pPr>
            <w:r>
              <w:rPr>
                <w:rFonts w:ascii="Arial" w:cs="Arial" w:eastAsia="Arial" w:hAnsi="Arial"/>
                <w:sz w:val="15"/>
                <w:szCs w:val="15"/>
                <w:b w:val="1"/>
                <w:bCs w:val="1"/>
                <w:color w:val="2F5DA8"/>
              </w:rPr>
              <w:t>Stock That Have</w:t>
            </w:r>
          </w:p>
        </w:tc>
        <w:tc>
          <w:tcPr>
            <w:tcW w:w="18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2F5DA8"/>
              </w:rPr>
              <w:t>Units or Other Rights</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Other Rights That</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Name</w:t>
            </w:r>
          </w:p>
        </w:tc>
        <w:tc>
          <w:tcPr>
            <w:tcW w:w="1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Vested</w:t>
            </w:r>
          </w:p>
        </w:tc>
        <w:tc>
          <w:tcPr>
            <w:tcW w:w="1640" w:type="dxa"/>
            <w:vAlign w:val="bottom"/>
            <w:gridSpan w:val="2"/>
          </w:tcPr>
          <w:p>
            <w:pPr>
              <w:jc w:val="right"/>
              <w:ind w:right="124"/>
              <w:spacing w:after="0" w:line="162" w:lineRule="exact"/>
              <w:rPr>
                <w:sz w:val="20"/>
                <w:szCs w:val="20"/>
                <w:color w:val="auto"/>
              </w:rPr>
            </w:pPr>
            <w:r>
              <w:rPr>
                <w:rFonts w:ascii="Arial" w:cs="Arial" w:eastAsia="Arial" w:hAnsi="Arial"/>
                <w:sz w:val="15"/>
                <w:szCs w:val="15"/>
                <w:b w:val="1"/>
                <w:bCs w:val="1"/>
                <w:color w:val="2F5DA8"/>
              </w:rPr>
              <w:t>Not Vested</w:t>
            </w:r>
          </w:p>
        </w:tc>
        <w:tc>
          <w:tcPr>
            <w:tcW w:w="188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F5DA8"/>
              </w:rPr>
              <w:t>That Have Not</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F5DA8"/>
              </w:rPr>
              <w:t>Have Not Vested</w:t>
            </w:r>
          </w:p>
        </w:tc>
        <w:tc>
          <w:tcPr>
            <w:tcW w:w="0" w:type="dxa"/>
            <w:vAlign w:val="bottom"/>
          </w:tcPr>
          <w:p>
            <w:pPr>
              <w:spacing w:after="0"/>
              <w:rPr>
                <w:sz w:val="1"/>
                <w:szCs w:val="1"/>
                <w:color w:val="auto"/>
              </w:rPr>
            </w:pPr>
          </w:p>
        </w:tc>
      </w:tr>
      <w:tr>
        <w:trPr>
          <w:trHeight w:val="262"/>
        </w:trPr>
        <w:tc>
          <w:tcPr>
            <w:tcW w:w="2240" w:type="dxa"/>
            <w:vAlign w:val="bottom"/>
            <w:tcBorders>
              <w:bottom w:val="single" w:sz="8" w:color="2F5DA8"/>
            </w:tcBorders>
            <w:vMerge w:val="continue"/>
          </w:tcPr>
          <w:p>
            <w:pPr>
              <w:spacing w:after="0"/>
              <w:rPr>
                <w:sz w:val="22"/>
                <w:szCs w:val="22"/>
                <w:color w:val="auto"/>
              </w:rPr>
            </w:pPr>
          </w:p>
        </w:tc>
        <w:tc>
          <w:tcPr>
            <w:tcW w:w="1820" w:type="dxa"/>
            <w:vAlign w:val="bottom"/>
            <w:tcBorders>
              <w:bottom w:val="single" w:sz="8" w:color="2F5DA8"/>
            </w:tcBorders>
          </w:tcPr>
          <w:p>
            <w:pPr>
              <w:jc w:val="right"/>
              <w:ind w:right="84"/>
              <w:spacing w:after="0"/>
              <w:rPr>
                <w:sz w:val="20"/>
                <w:szCs w:val="20"/>
                <w:color w:val="auto"/>
              </w:rPr>
            </w:pPr>
            <w:r>
              <w:rPr>
                <w:rFonts w:ascii="Arial" w:cs="Arial" w:eastAsia="Arial" w:hAnsi="Arial"/>
                <w:sz w:val="15"/>
                <w:szCs w:val="15"/>
                <w:b w:val="1"/>
                <w:bCs w:val="1"/>
                <w:color w:val="2F5DA8"/>
              </w:rPr>
              <w:t>(#)</w:t>
            </w:r>
          </w:p>
        </w:tc>
        <w:tc>
          <w:tcPr>
            <w:tcW w:w="800" w:type="dxa"/>
            <w:vAlign w:val="bottom"/>
            <w:tcBorders>
              <w:bottom w:val="single" w:sz="8" w:color="2F5DA8"/>
            </w:tcBorders>
          </w:tcPr>
          <w:p>
            <w:pPr>
              <w:spacing w:after="0"/>
              <w:rPr>
                <w:sz w:val="22"/>
                <w:szCs w:val="22"/>
                <w:color w:val="auto"/>
              </w:rPr>
            </w:pPr>
          </w:p>
        </w:tc>
        <w:tc>
          <w:tcPr>
            <w:tcW w:w="840" w:type="dxa"/>
            <w:vAlign w:val="bottom"/>
            <w:tcBorders>
              <w:bottom w:val="single" w:sz="8" w:color="2F5DA8"/>
            </w:tcBorders>
          </w:tcPr>
          <w:p>
            <w:pPr>
              <w:jc w:val="right"/>
              <w:ind w:right="84"/>
              <w:spacing w:after="0" w:line="263" w:lineRule="exact"/>
              <w:rPr>
                <w:sz w:val="20"/>
                <w:szCs w:val="20"/>
                <w:color w:val="auto"/>
              </w:rPr>
            </w:pPr>
            <w:r>
              <w:rPr>
                <w:rFonts w:ascii="Arial" w:cs="Arial" w:eastAsia="Arial" w:hAnsi="Arial"/>
                <w:sz w:val="15"/>
                <w:szCs w:val="15"/>
                <w:b w:val="1"/>
                <w:bCs w:val="1"/>
                <w:color w:val="2F5DA8"/>
              </w:rPr>
              <w:t>($)</w:t>
            </w:r>
            <w:r>
              <w:rPr>
                <w:rFonts w:ascii="Arial" w:cs="Arial" w:eastAsia="Arial" w:hAnsi="Arial"/>
                <w:sz w:val="25"/>
                <w:szCs w:val="25"/>
                <w:b w:val="1"/>
                <w:bCs w:val="1"/>
                <w:color w:val="2F5DA8"/>
                <w:vertAlign w:val="superscript"/>
              </w:rPr>
              <w:t>(1)</w:t>
            </w:r>
          </w:p>
        </w:tc>
        <w:tc>
          <w:tcPr>
            <w:tcW w:w="1880" w:type="dxa"/>
            <w:vAlign w:val="bottom"/>
            <w:tcBorders>
              <w:bottom w:val="single" w:sz="8" w:color="2F5DA8"/>
            </w:tcBorders>
          </w:tcPr>
          <w:p>
            <w:pPr>
              <w:jc w:val="right"/>
              <w:ind w:right="84"/>
              <w:spacing w:after="0" w:line="263" w:lineRule="exact"/>
              <w:rPr>
                <w:sz w:val="20"/>
                <w:szCs w:val="20"/>
                <w:color w:val="auto"/>
              </w:rPr>
            </w:pPr>
            <w:r>
              <w:rPr>
                <w:rFonts w:ascii="Arial" w:cs="Arial" w:eastAsia="Arial" w:hAnsi="Arial"/>
                <w:sz w:val="15"/>
                <w:szCs w:val="15"/>
                <w:b w:val="1"/>
                <w:bCs w:val="1"/>
                <w:color w:val="2F5DA8"/>
              </w:rPr>
              <w:t>Vested (#)</w:t>
            </w:r>
            <w:r>
              <w:rPr>
                <w:rFonts w:ascii="Arial" w:cs="Arial" w:eastAsia="Arial" w:hAnsi="Arial"/>
                <w:sz w:val="25"/>
                <w:szCs w:val="25"/>
                <w:b w:val="1"/>
                <w:bCs w:val="1"/>
                <w:color w:val="2F5DA8"/>
                <w:vertAlign w:val="superscript"/>
              </w:rPr>
              <w:t>(2)</w:t>
            </w:r>
          </w:p>
        </w:tc>
        <w:tc>
          <w:tcPr>
            <w:tcW w:w="820" w:type="dxa"/>
            <w:vAlign w:val="bottom"/>
            <w:tcBorders>
              <w:bottom w:val="single" w:sz="8" w:color="2F5DA8"/>
            </w:tcBorders>
          </w:tcPr>
          <w:p>
            <w:pPr>
              <w:spacing w:after="0"/>
              <w:rPr>
                <w:sz w:val="22"/>
                <w:szCs w:val="22"/>
                <w:color w:val="auto"/>
              </w:rPr>
            </w:pPr>
          </w:p>
        </w:tc>
        <w:tc>
          <w:tcPr>
            <w:tcW w:w="700" w:type="dxa"/>
            <w:vAlign w:val="bottom"/>
            <w:tcBorders>
              <w:bottom w:val="single" w:sz="8" w:color="2F5DA8"/>
            </w:tcBorders>
          </w:tcPr>
          <w:p>
            <w:pPr>
              <w:jc w:val="right"/>
              <w:spacing w:after="0" w:line="263" w:lineRule="exact"/>
              <w:rPr>
                <w:sz w:val="20"/>
                <w:szCs w:val="20"/>
                <w:color w:val="auto"/>
              </w:rPr>
            </w:pPr>
            <w:r>
              <w:rPr>
                <w:rFonts w:ascii="Arial" w:cs="Arial" w:eastAsia="Arial" w:hAnsi="Arial"/>
                <w:sz w:val="15"/>
                <w:szCs w:val="15"/>
                <w:b w:val="1"/>
                <w:bCs w:val="1"/>
                <w:color w:val="2F5DA8"/>
              </w:rPr>
              <w:t>($)</w:t>
            </w:r>
            <w:r>
              <w:rPr>
                <w:rFonts w:ascii="Arial" w:cs="Arial" w:eastAsia="Arial" w:hAnsi="Arial"/>
                <w:sz w:val="25"/>
                <w:szCs w:val="25"/>
                <w:b w:val="1"/>
                <w:bCs w:val="1"/>
                <w:color w:val="2F5DA8"/>
                <w:vertAlign w:val="superscript"/>
              </w:rPr>
              <w:t>(1)</w:t>
            </w:r>
          </w:p>
        </w:tc>
        <w:tc>
          <w:tcPr>
            <w:tcW w:w="0" w:type="dxa"/>
            <w:vAlign w:val="bottom"/>
          </w:tcPr>
          <w:p>
            <w:pPr>
              <w:spacing w:after="0"/>
              <w:rPr>
                <w:sz w:val="1"/>
                <w:szCs w:val="1"/>
                <w:color w:val="auto"/>
              </w:rPr>
            </w:pPr>
          </w:p>
        </w:tc>
      </w:tr>
      <w:tr>
        <w:trPr>
          <w:trHeight w:val="31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87,105</w:t>
            </w:r>
            <w:r>
              <w:rPr>
                <w:rFonts w:ascii="Arial" w:cs="Arial" w:eastAsia="Arial" w:hAnsi="Arial"/>
                <w:sz w:val="25"/>
                <w:szCs w:val="25"/>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8"/>
              </w:rPr>
              <w:t>3,178,461</w:t>
            </w:r>
          </w:p>
        </w:tc>
        <w:tc>
          <w:tcPr>
            <w:tcW w:w="1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60,607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2,211,549</w:t>
            </w:r>
          </w:p>
        </w:tc>
        <w:tc>
          <w:tcPr>
            <w:tcW w:w="0" w:type="dxa"/>
            <w:vAlign w:val="bottom"/>
          </w:tcPr>
          <w:p>
            <w:pPr>
              <w:spacing w:after="0"/>
              <w:rPr>
                <w:sz w:val="1"/>
                <w:szCs w:val="1"/>
                <w:color w:val="auto"/>
              </w:rPr>
            </w:pPr>
          </w:p>
        </w:tc>
      </w:tr>
      <w:tr>
        <w:trPr>
          <w:trHeight w:val="31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Leach</w:t>
            </w:r>
          </w:p>
        </w:tc>
        <w:tc>
          <w:tcPr>
            <w:tcW w:w="1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17,888</w:t>
            </w:r>
            <w:r>
              <w:rPr>
                <w:rFonts w:ascii="Arial" w:cs="Arial" w:eastAsia="Arial" w:hAnsi="Arial"/>
                <w:sz w:val="25"/>
                <w:szCs w:val="25"/>
                <w:color w:val="auto"/>
                <w:vertAlign w:val="superscript"/>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652,733</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9,220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336,438</w:t>
            </w:r>
          </w:p>
        </w:tc>
        <w:tc>
          <w:tcPr>
            <w:tcW w:w="0" w:type="dxa"/>
            <w:vAlign w:val="bottom"/>
          </w:tcPr>
          <w:p>
            <w:pPr>
              <w:spacing w:after="0"/>
              <w:rPr>
                <w:sz w:val="1"/>
                <w:szCs w:val="1"/>
                <w:color w:val="auto"/>
              </w:rPr>
            </w:pPr>
          </w:p>
        </w:tc>
      </w:tr>
      <w:tr>
        <w:trPr>
          <w:trHeight w:val="317"/>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P. Maida</w:t>
            </w:r>
          </w:p>
        </w:tc>
        <w:tc>
          <w:tcPr>
            <w:tcW w:w="1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15,509</w:t>
            </w:r>
            <w:r>
              <w:rPr>
                <w:rFonts w:ascii="Arial" w:cs="Arial" w:eastAsia="Arial" w:hAnsi="Arial"/>
                <w:sz w:val="25"/>
                <w:szCs w:val="25"/>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565,923</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7,580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276,594</w:t>
            </w:r>
          </w:p>
        </w:tc>
        <w:tc>
          <w:tcPr>
            <w:tcW w:w="0" w:type="dxa"/>
            <w:vAlign w:val="bottom"/>
          </w:tcPr>
          <w:p>
            <w:pPr>
              <w:spacing w:after="0"/>
              <w:rPr>
                <w:sz w:val="1"/>
                <w:szCs w:val="1"/>
                <w:color w:val="auto"/>
              </w:rPr>
            </w:pPr>
          </w:p>
        </w:tc>
      </w:tr>
      <w:tr>
        <w:trPr>
          <w:trHeight w:val="31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4,034</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147,201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997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36,381</w:t>
            </w:r>
          </w:p>
        </w:tc>
        <w:tc>
          <w:tcPr>
            <w:tcW w:w="0" w:type="dxa"/>
            <w:vAlign w:val="bottom"/>
          </w:tcPr>
          <w:p>
            <w:pPr>
              <w:spacing w:after="0"/>
              <w:rPr>
                <w:sz w:val="1"/>
                <w:szCs w:val="1"/>
                <w:color w:val="auto"/>
              </w:rPr>
            </w:pPr>
          </w:p>
        </w:tc>
      </w:tr>
      <w:tr>
        <w:trPr>
          <w:trHeight w:val="271"/>
        </w:trPr>
        <w:tc>
          <w:tcPr>
            <w:tcW w:w="224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Helmut D. Pirthauer</w:t>
            </w:r>
          </w:p>
        </w:tc>
        <w:tc>
          <w:tcPr>
            <w:tcW w:w="1820" w:type="dxa"/>
            <w:vAlign w:val="bottom"/>
            <w:tcBorders>
              <w:bottom w:val="single" w:sz="8" w:color="2F5DA8"/>
            </w:tcBorders>
          </w:tcPr>
          <w:p>
            <w:pPr>
              <w:jc w:val="right"/>
              <w:ind w:right="104"/>
              <w:spacing w:after="0" w:line="263" w:lineRule="exact"/>
              <w:rPr>
                <w:sz w:val="20"/>
                <w:szCs w:val="20"/>
                <w:color w:val="auto"/>
              </w:rPr>
            </w:pPr>
            <w:r>
              <w:rPr>
                <w:rFonts w:ascii="Arial" w:cs="Arial" w:eastAsia="Arial" w:hAnsi="Arial"/>
                <w:sz w:val="15"/>
                <w:szCs w:val="15"/>
                <w:color w:val="auto"/>
              </w:rPr>
              <w:t>6,584</w:t>
            </w:r>
            <w:r>
              <w:rPr>
                <w:rFonts w:ascii="Arial" w:cs="Arial" w:eastAsia="Arial" w:hAnsi="Arial"/>
                <w:sz w:val="25"/>
                <w:szCs w:val="25"/>
                <w:color w:val="auto"/>
                <w:vertAlign w:val="superscript"/>
              </w:rPr>
              <w:t>(7)</w:t>
            </w:r>
          </w:p>
        </w:tc>
        <w:tc>
          <w:tcPr>
            <w:tcW w:w="8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F5DA8"/>
            </w:tcBorders>
          </w:tcPr>
          <w:p>
            <w:pPr>
              <w:jc w:val="right"/>
              <w:ind w:right="104"/>
              <w:spacing w:after="0"/>
              <w:rPr>
                <w:sz w:val="20"/>
                <w:szCs w:val="20"/>
                <w:color w:val="auto"/>
              </w:rPr>
            </w:pPr>
            <w:r>
              <w:rPr>
                <w:rFonts w:ascii="Arial" w:cs="Arial" w:eastAsia="Arial" w:hAnsi="Arial"/>
                <w:sz w:val="15"/>
                <w:szCs w:val="15"/>
                <w:color w:val="auto"/>
              </w:rPr>
              <w:t>240,250</w:t>
            </w:r>
          </w:p>
        </w:tc>
        <w:tc>
          <w:tcPr>
            <w:tcW w:w="1880" w:type="dxa"/>
            <w:vAlign w:val="bottom"/>
            <w:tcBorders>
              <w:bottom w:val="single" w:sz="8" w:color="2F5DA8"/>
            </w:tcBorders>
          </w:tcPr>
          <w:p>
            <w:pPr>
              <w:jc w:val="right"/>
              <w:ind w:right="10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2F5DA8"/>
            </w:tcBorders>
          </w:tcPr>
          <w:p>
            <w:pPr>
              <w:spacing w:after="0"/>
              <w:rPr>
                <w:sz w:val="23"/>
                <w:szCs w:val="23"/>
                <w:color w:val="auto"/>
              </w:rPr>
            </w:pPr>
          </w:p>
        </w:tc>
        <w:tc>
          <w:tcPr>
            <w:tcW w:w="7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hanging="358"/>
        <w:spacing w:after="0"/>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Value is based on the closing price of the Company’s common stock of $36.49 on December 31, 2021, as reported on the Nasdaq Global Market.</w:t>
      </w:r>
    </w:p>
    <w:p>
      <w:pPr>
        <w:spacing w:after="0" w:line="53" w:lineRule="exact"/>
        <w:rPr>
          <w:rFonts w:ascii="Arial" w:cs="Arial" w:eastAsia="Arial" w:hAnsi="Arial"/>
          <w:sz w:val="13"/>
          <w:szCs w:val="13"/>
          <w:color w:val="auto"/>
        </w:rPr>
      </w:pPr>
    </w:p>
    <w:p>
      <w:pPr>
        <w:ind w:left="360" w:right="340" w:hanging="358"/>
        <w:spacing w:after="0" w:line="249"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Comprised of shares of restricted stock granted that are subject to future performance goals under the Company’s Long-Term Equity Incentive Program. All or a portion of the performance shares will be earned if the performance goal is met for any year in the period ending December 31, 2022. Also includes shares of restricted stock granted in 2021 that are subject to future performance goals under the Company’s Performance Share Plan. These shares were earned based on achievement of performance goals for 2021 and the earned award vested one-third on April 1, 2022 with the remainder vesting one-third in each of 2023 and 2024, subject to continued employment.</w:t>
      </w:r>
    </w:p>
    <w:p>
      <w:pPr>
        <w:spacing w:after="0" w:line="20" w:lineRule="exact"/>
        <w:rPr>
          <w:rFonts w:ascii="Arial" w:cs="Arial" w:eastAsia="Arial" w:hAnsi="Arial"/>
          <w:sz w:val="13"/>
          <w:szCs w:val="13"/>
          <w:color w:val="auto"/>
        </w:rPr>
      </w:pPr>
    </w:p>
    <w:p>
      <w:pPr>
        <w:ind w:left="360" w:right="380" w:hanging="358"/>
        <w:spacing w:after="0" w:line="259"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41,169 shares vest in 2022; 27,981 shares vest in 2023; 12,191 shares vest in 2024; and 5,764 shares vest in 2025, in each case subject to continued employment.</w:t>
      </w:r>
    </w:p>
    <w:p>
      <w:pPr>
        <w:spacing w:after="0" w:line="15" w:lineRule="exact"/>
        <w:rPr>
          <w:rFonts w:ascii="Arial" w:cs="Arial" w:eastAsia="Arial" w:hAnsi="Arial"/>
          <w:sz w:val="13"/>
          <w:szCs w:val="13"/>
          <w:color w:val="auto"/>
        </w:rPr>
      </w:pPr>
    </w:p>
    <w:p>
      <w:pPr>
        <w:ind w:left="360" w:right="260" w:hanging="358"/>
        <w:spacing w:after="0" w:line="259"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9,226 shares vest in 2022; 6,250 shares vest in 2023; 1,626 shares vest in 2024; and 786 shares vest in 2025, in each case subject to continued employment.</w:t>
      </w:r>
    </w:p>
    <w:p>
      <w:pPr>
        <w:spacing w:after="0" w:line="15" w:lineRule="exact"/>
        <w:rPr>
          <w:rFonts w:ascii="Arial" w:cs="Arial" w:eastAsia="Arial" w:hAnsi="Arial"/>
          <w:sz w:val="13"/>
          <w:szCs w:val="13"/>
          <w:color w:val="auto"/>
        </w:rPr>
      </w:pPr>
    </w:p>
    <w:p>
      <w:pPr>
        <w:ind w:left="360" w:right="260" w:hanging="358"/>
        <w:spacing w:after="0" w:line="259"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7,865 shares vest in 2022; 5,688 shares vest in 2023; 1,361 shares vest in 2024; and 595 shares vest in 2025, in each case subject to continued employment.</w:t>
      </w:r>
    </w:p>
    <w:p>
      <w:pPr>
        <w:spacing w:after="0" w:line="15" w:lineRule="exact"/>
        <w:rPr>
          <w:rFonts w:ascii="Arial" w:cs="Arial" w:eastAsia="Arial" w:hAnsi="Arial"/>
          <w:sz w:val="13"/>
          <w:szCs w:val="13"/>
          <w:color w:val="auto"/>
        </w:rPr>
      </w:pPr>
    </w:p>
    <w:p>
      <w:pPr>
        <w:ind w:left="360" w:right="300" w:hanging="358"/>
        <w:spacing w:after="0" w:line="281"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2,105 shares vest in 2022; 1,763 shares vest in 2023; and 166 shares vest in 2024, in each case subject to continued employment.</w:t>
      </w:r>
    </w:p>
    <w:p>
      <w:pPr>
        <w:ind w:left="360" w:right="920" w:hanging="358"/>
        <w:spacing w:after="0" w:line="281"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Of these shares, 3,266 shares vest in 2022; 2,603 shares vest in 2023; and 715 shares vest in 2024, in each case subject to continued employment.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13"/>
          <w:szCs w:val="13"/>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38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Option Exercises and Stock Vested in 2021</w:t>
      </w:r>
    </w:p>
    <w:p>
      <w:pPr>
        <w:spacing w:after="0" w:line="128" w:lineRule="exact"/>
        <w:rPr>
          <w:sz w:val="20"/>
          <w:szCs w:val="20"/>
          <w:color w:val="auto"/>
        </w:rPr>
      </w:pPr>
    </w:p>
    <w:p>
      <w:pPr>
        <w:ind w:left="220" w:right="440"/>
        <w:spacing w:after="0" w:line="286" w:lineRule="auto"/>
        <w:rPr>
          <w:sz w:val="20"/>
          <w:szCs w:val="20"/>
          <w:color w:val="auto"/>
        </w:rPr>
      </w:pPr>
      <w:r>
        <w:rPr>
          <w:rFonts w:ascii="Arial" w:cs="Arial" w:eastAsia="Arial" w:hAnsi="Arial"/>
          <w:sz w:val="16"/>
          <w:szCs w:val="16"/>
          <w:color w:val="auto"/>
        </w:rPr>
        <w:t>The following table provides information regarding restricted stock awards that vested during 2021 for each of the Named Officers. No options were owned or exercised by the Named Officers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13335</wp:posOffset>
            </wp:positionV>
            <wp:extent cx="5777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840" w:type="dxa"/>
            <w:vAlign w:val="bottom"/>
            <w:gridSpan w:val="2"/>
          </w:tcPr>
          <w:p>
            <w:pPr>
              <w:jc w:val="right"/>
              <w:ind w:right="924"/>
              <w:spacing w:after="0"/>
              <w:rPr>
                <w:sz w:val="20"/>
                <w:szCs w:val="20"/>
                <w:color w:val="auto"/>
              </w:rPr>
            </w:pPr>
            <w:r>
              <w:rPr>
                <w:rFonts w:ascii="Arial" w:cs="Arial" w:eastAsia="Arial" w:hAnsi="Arial"/>
                <w:sz w:val="15"/>
                <w:szCs w:val="15"/>
                <w:b w:val="1"/>
                <w:bCs w:val="1"/>
                <w:color w:val="2F5DA8"/>
              </w:rPr>
              <w:t>Stock Awards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600" w:type="dxa"/>
            <w:vAlign w:val="bottom"/>
          </w:tcPr>
          <w:p>
            <w:pPr>
              <w:spacing w:after="0"/>
              <w:rPr>
                <w:sz w:val="4"/>
                <w:szCs w:val="4"/>
                <w:color w:val="auto"/>
              </w:rPr>
            </w:pPr>
          </w:p>
        </w:tc>
        <w:tc>
          <w:tcPr>
            <w:tcW w:w="2140" w:type="dxa"/>
            <w:vAlign w:val="bottom"/>
            <w:tcBorders>
              <w:bottom w:val="single" w:sz="8" w:color="2F5DA8"/>
            </w:tcBorders>
          </w:tcPr>
          <w:p>
            <w:pPr>
              <w:spacing w:after="0"/>
              <w:rPr>
                <w:sz w:val="4"/>
                <w:szCs w:val="4"/>
                <w:color w:val="auto"/>
              </w:rPr>
            </w:pPr>
          </w:p>
        </w:tc>
        <w:tc>
          <w:tcPr>
            <w:tcW w:w="1700" w:type="dxa"/>
            <w:vAlign w:val="bottom"/>
            <w:tcBorders>
              <w:bottom w:val="single" w:sz="8" w:color="2F5DA8"/>
            </w:tcBorders>
          </w:tcPr>
          <w:p>
            <w:pPr>
              <w:spacing w:after="0"/>
              <w:rPr>
                <w:sz w:val="4"/>
                <w:szCs w:val="4"/>
                <w:color w:val="auto"/>
              </w:rPr>
            </w:pPr>
          </w:p>
        </w:tc>
        <w:tc>
          <w:tcPr>
            <w:tcW w:w="66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600" w:type="dxa"/>
            <w:vAlign w:val="bottom"/>
            <w:vMerge w:val="restart"/>
          </w:tcPr>
          <w:p>
            <w:pPr>
              <w:ind w:left="60"/>
              <w:spacing w:after="0"/>
              <w:rPr>
                <w:sz w:val="20"/>
                <w:szCs w:val="20"/>
                <w:color w:val="auto"/>
              </w:rPr>
            </w:pPr>
            <w:r>
              <w:rPr>
                <w:rFonts w:ascii="Arial" w:cs="Arial" w:eastAsia="Arial" w:hAnsi="Arial"/>
                <w:sz w:val="15"/>
                <w:szCs w:val="15"/>
                <w:b w:val="1"/>
                <w:bCs w:val="1"/>
                <w:color w:val="2F5DA8"/>
              </w:rPr>
              <w:t>Name</w:t>
            </w:r>
          </w:p>
        </w:tc>
        <w:tc>
          <w:tcPr>
            <w:tcW w:w="2140" w:type="dxa"/>
            <w:vAlign w:val="bottom"/>
          </w:tcPr>
          <w:p>
            <w:pPr>
              <w:jc w:val="right"/>
              <w:ind w:right="184"/>
              <w:spacing w:after="0"/>
              <w:rPr>
                <w:sz w:val="20"/>
                <w:szCs w:val="20"/>
                <w:color w:val="auto"/>
              </w:rPr>
            </w:pPr>
            <w:r>
              <w:rPr>
                <w:rFonts w:ascii="Arial" w:cs="Arial" w:eastAsia="Arial" w:hAnsi="Arial"/>
                <w:sz w:val="15"/>
                <w:szCs w:val="15"/>
                <w:b w:val="1"/>
                <w:bCs w:val="1"/>
                <w:color w:val="2F5DA8"/>
              </w:rPr>
              <w:t>Number of Shares</w:t>
            </w:r>
          </w:p>
        </w:tc>
        <w:tc>
          <w:tcPr>
            <w:tcW w:w="23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F5DA8"/>
              </w:rPr>
              <w:t>Value Realized on Vesting ($)</w:t>
            </w: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140" w:type="dxa"/>
            <w:vAlign w:val="bottom"/>
          </w:tcPr>
          <w:p>
            <w:pPr>
              <w:jc w:val="right"/>
              <w:ind w:right="144"/>
              <w:spacing w:after="0"/>
              <w:rPr>
                <w:sz w:val="20"/>
                <w:szCs w:val="20"/>
                <w:color w:val="auto"/>
              </w:rPr>
            </w:pPr>
            <w:r>
              <w:rPr>
                <w:rFonts w:ascii="Arial" w:cs="Arial" w:eastAsia="Arial" w:hAnsi="Arial"/>
                <w:sz w:val="15"/>
                <w:szCs w:val="15"/>
                <w:b w:val="1"/>
                <w:bCs w:val="1"/>
                <w:color w:val="2F5DA8"/>
              </w:rPr>
              <w:t>Acquired on Vesting (#)</w:t>
            </w:r>
          </w:p>
        </w:tc>
        <w:tc>
          <w:tcPr>
            <w:tcW w:w="2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600" w:type="dxa"/>
            <w:vAlign w:val="bottom"/>
            <w:tcBorders>
              <w:bottom w:val="single" w:sz="8" w:color="2F5DA8"/>
            </w:tcBorders>
          </w:tcPr>
          <w:p>
            <w:pPr>
              <w:spacing w:after="0"/>
              <w:rPr>
                <w:sz w:val="4"/>
                <w:szCs w:val="4"/>
                <w:color w:val="auto"/>
              </w:rPr>
            </w:pPr>
          </w:p>
        </w:tc>
        <w:tc>
          <w:tcPr>
            <w:tcW w:w="2140" w:type="dxa"/>
            <w:vAlign w:val="bottom"/>
            <w:tcBorders>
              <w:bottom w:val="single" w:sz="8" w:color="2F5DA8"/>
            </w:tcBorders>
          </w:tcPr>
          <w:p>
            <w:pPr>
              <w:spacing w:after="0"/>
              <w:rPr>
                <w:sz w:val="4"/>
                <w:szCs w:val="4"/>
                <w:color w:val="auto"/>
              </w:rPr>
            </w:pPr>
          </w:p>
        </w:tc>
        <w:tc>
          <w:tcPr>
            <w:tcW w:w="2360" w:type="dxa"/>
            <w:vAlign w:val="bottom"/>
            <w:tcBorders>
              <w:bottom w:val="single" w:sz="8" w:color="2F5DA8"/>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2140" w:type="dxa"/>
            <w:vAlign w:val="bottom"/>
          </w:tcPr>
          <w:p>
            <w:pPr>
              <w:jc w:val="right"/>
              <w:ind w:right="144"/>
              <w:spacing w:after="0"/>
              <w:rPr>
                <w:sz w:val="20"/>
                <w:szCs w:val="20"/>
                <w:color w:val="auto"/>
              </w:rPr>
            </w:pPr>
            <w:r>
              <w:rPr>
                <w:rFonts w:ascii="Arial" w:cs="Arial" w:eastAsia="Arial" w:hAnsi="Arial"/>
                <w:sz w:val="15"/>
                <w:szCs w:val="15"/>
                <w:color w:val="auto"/>
              </w:rPr>
              <w:t>78,837</w:t>
            </w:r>
          </w:p>
        </w:tc>
        <w:tc>
          <w:tcPr>
            <w:tcW w:w="2360" w:type="dxa"/>
            <w:vAlign w:val="bottom"/>
            <w:gridSpan w:val="2"/>
          </w:tcPr>
          <w:p>
            <w:pPr>
              <w:jc w:val="right"/>
              <w:spacing w:after="0"/>
              <w:rPr>
                <w:sz w:val="20"/>
                <w:szCs w:val="20"/>
                <w:color w:val="auto"/>
              </w:rPr>
            </w:pPr>
            <w:r>
              <w:rPr>
                <w:rFonts w:ascii="Arial" w:cs="Arial" w:eastAsia="Arial" w:hAnsi="Arial"/>
                <w:sz w:val="15"/>
                <w:szCs w:val="15"/>
                <w:color w:val="auto"/>
              </w:rPr>
              <w:t>$2,632,986</w:t>
            </w:r>
          </w:p>
        </w:tc>
        <w:tc>
          <w:tcPr>
            <w:tcW w:w="0" w:type="dxa"/>
            <w:vAlign w:val="bottom"/>
          </w:tcPr>
          <w:p>
            <w:pPr>
              <w:spacing w:after="0"/>
              <w:rPr>
                <w:sz w:val="1"/>
                <w:szCs w:val="1"/>
                <w:color w:val="auto"/>
              </w:rPr>
            </w:pPr>
          </w:p>
        </w:tc>
      </w:tr>
      <w:tr>
        <w:trPr>
          <w:trHeight w:val="60"/>
        </w:trPr>
        <w:tc>
          <w:tcPr>
            <w:tcW w:w="46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2140" w:type="dxa"/>
            <w:vAlign w:val="bottom"/>
          </w:tcPr>
          <w:p>
            <w:pPr>
              <w:jc w:val="right"/>
              <w:ind w:right="144"/>
              <w:spacing w:after="0"/>
              <w:rPr>
                <w:sz w:val="20"/>
                <w:szCs w:val="20"/>
                <w:color w:val="auto"/>
              </w:rPr>
            </w:pPr>
            <w:r>
              <w:rPr>
                <w:rFonts w:ascii="Arial" w:cs="Arial" w:eastAsia="Arial" w:hAnsi="Arial"/>
                <w:sz w:val="15"/>
                <w:szCs w:val="15"/>
                <w:color w:val="auto"/>
              </w:rPr>
              <w:t>14,394</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468,095</w:t>
            </w:r>
          </w:p>
        </w:tc>
        <w:tc>
          <w:tcPr>
            <w:tcW w:w="0" w:type="dxa"/>
            <w:vAlign w:val="bottom"/>
          </w:tcPr>
          <w:p>
            <w:pPr>
              <w:spacing w:after="0"/>
              <w:rPr>
                <w:sz w:val="1"/>
                <w:szCs w:val="1"/>
                <w:color w:val="auto"/>
              </w:rPr>
            </w:pPr>
          </w:p>
        </w:tc>
      </w:tr>
      <w:tr>
        <w:trPr>
          <w:trHeight w:val="60"/>
        </w:trPr>
        <w:tc>
          <w:tcPr>
            <w:tcW w:w="46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2140" w:type="dxa"/>
            <w:vAlign w:val="bottom"/>
          </w:tcPr>
          <w:p>
            <w:pPr>
              <w:jc w:val="right"/>
              <w:ind w:right="144"/>
              <w:spacing w:after="0"/>
              <w:rPr>
                <w:sz w:val="20"/>
                <w:szCs w:val="20"/>
                <w:color w:val="auto"/>
              </w:rPr>
            </w:pPr>
            <w:r>
              <w:rPr>
                <w:rFonts w:ascii="Arial" w:cs="Arial" w:eastAsia="Arial" w:hAnsi="Arial"/>
                <w:sz w:val="15"/>
                <w:szCs w:val="15"/>
                <w:color w:val="auto"/>
              </w:rPr>
              <w:t>13,701</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437,859</w:t>
            </w:r>
          </w:p>
        </w:tc>
        <w:tc>
          <w:tcPr>
            <w:tcW w:w="0" w:type="dxa"/>
            <w:vAlign w:val="bottom"/>
          </w:tcPr>
          <w:p>
            <w:pPr>
              <w:spacing w:after="0"/>
              <w:rPr>
                <w:sz w:val="1"/>
                <w:szCs w:val="1"/>
                <w:color w:val="auto"/>
              </w:rPr>
            </w:pPr>
          </w:p>
        </w:tc>
      </w:tr>
      <w:tr>
        <w:trPr>
          <w:trHeight w:val="60"/>
        </w:trPr>
        <w:tc>
          <w:tcPr>
            <w:tcW w:w="46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2140" w:type="dxa"/>
            <w:vAlign w:val="bottom"/>
          </w:tcPr>
          <w:p>
            <w:pPr>
              <w:jc w:val="right"/>
              <w:ind w:right="144"/>
              <w:spacing w:after="0"/>
              <w:rPr>
                <w:sz w:val="20"/>
                <w:szCs w:val="20"/>
                <w:color w:val="auto"/>
              </w:rPr>
            </w:pPr>
            <w:r>
              <w:rPr>
                <w:rFonts w:ascii="Arial" w:cs="Arial" w:eastAsia="Arial" w:hAnsi="Arial"/>
                <w:sz w:val="15"/>
                <w:szCs w:val="15"/>
                <w:color w:val="auto"/>
              </w:rPr>
              <w:t>6,170</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164,383</w:t>
            </w:r>
          </w:p>
        </w:tc>
        <w:tc>
          <w:tcPr>
            <w:tcW w:w="0" w:type="dxa"/>
            <w:vAlign w:val="bottom"/>
          </w:tcPr>
          <w:p>
            <w:pPr>
              <w:spacing w:after="0"/>
              <w:rPr>
                <w:sz w:val="1"/>
                <w:szCs w:val="1"/>
                <w:color w:val="auto"/>
              </w:rPr>
            </w:pPr>
          </w:p>
        </w:tc>
      </w:tr>
      <w:tr>
        <w:trPr>
          <w:trHeight w:val="60"/>
        </w:trPr>
        <w:tc>
          <w:tcPr>
            <w:tcW w:w="46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4600" w:type="dxa"/>
            <w:vAlign w:val="bottom"/>
            <w:tcBorders>
              <w:bottom w:val="single" w:sz="8" w:color="2F5DA8"/>
            </w:tcBorders>
          </w:tcPr>
          <w:p>
            <w:pPr>
              <w:ind w:left="60"/>
              <w:spacing w:after="0"/>
              <w:rPr>
                <w:sz w:val="20"/>
                <w:szCs w:val="20"/>
                <w:color w:val="auto"/>
              </w:rPr>
            </w:pPr>
            <w:r>
              <w:rPr>
                <w:rFonts w:ascii="Arial" w:cs="Arial" w:eastAsia="Arial" w:hAnsi="Arial"/>
                <w:sz w:val="15"/>
                <w:szCs w:val="15"/>
                <w:color w:val="auto"/>
              </w:rPr>
              <w:t>Helmut D. Pirthauer</w:t>
            </w:r>
          </w:p>
        </w:tc>
        <w:tc>
          <w:tcPr>
            <w:tcW w:w="2140" w:type="dxa"/>
            <w:vAlign w:val="bottom"/>
            <w:tcBorders>
              <w:bottom w:val="single" w:sz="8" w:color="2F5DA8"/>
            </w:tcBorders>
          </w:tcPr>
          <w:p>
            <w:pPr>
              <w:jc w:val="right"/>
              <w:ind w:right="144"/>
              <w:spacing w:after="0"/>
              <w:rPr>
                <w:sz w:val="20"/>
                <w:szCs w:val="20"/>
                <w:color w:val="auto"/>
              </w:rPr>
            </w:pPr>
            <w:r>
              <w:rPr>
                <w:rFonts w:ascii="Arial" w:cs="Arial" w:eastAsia="Arial" w:hAnsi="Arial"/>
                <w:sz w:val="15"/>
                <w:szCs w:val="15"/>
                <w:color w:val="auto"/>
              </w:rPr>
              <w:t>3,927</w:t>
            </w:r>
          </w:p>
        </w:tc>
        <w:tc>
          <w:tcPr>
            <w:tcW w:w="17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118,783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Potential Payments upon Termination or Change in Control</w:t>
      </w:r>
    </w:p>
    <w:p>
      <w:pPr>
        <w:spacing w:after="0" w:line="128" w:lineRule="exact"/>
        <w:rPr>
          <w:sz w:val="20"/>
          <w:szCs w:val="20"/>
          <w:color w:val="auto"/>
        </w:rPr>
      </w:pPr>
    </w:p>
    <w:p>
      <w:pPr>
        <w:ind w:left="220" w:right="120"/>
        <w:spacing w:after="0" w:line="266"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31750</wp:posOffset>
            </wp:positionV>
            <wp:extent cx="57778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32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Event</w:t>
            </w:r>
          </w:p>
        </w:tc>
        <w:tc>
          <w:tcPr>
            <w:tcW w:w="1160" w:type="dxa"/>
            <w:vAlign w:val="bottom"/>
            <w:gridSpan w:val="2"/>
          </w:tcPr>
          <w:p>
            <w:pPr>
              <w:jc w:val="right"/>
              <w:ind w:right="44"/>
              <w:spacing w:after="0"/>
              <w:rPr>
                <w:sz w:val="20"/>
                <w:szCs w:val="20"/>
                <w:color w:val="auto"/>
              </w:rPr>
            </w:pPr>
            <w:r>
              <w:rPr>
                <w:rFonts w:ascii="Arial" w:cs="Arial" w:eastAsia="Arial" w:hAnsi="Arial"/>
                <w:sz w:val="15"/>
                <w:szCs w:val="15"/>
                <w:b w:val="1"/>
                <w:bCs w:val="1"/>
                <w:color w:val="2F5DA8"/>
              </w:rPr>
              <w:t>Richard S.</w:t>
            </w: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2F5DA8"/>
              </w:rPr>
              <w:t>Michael R.</w:t>
            </w:r>
          </w:p>
        </w:tc>
        <w:tc>
          <w:tcPr>
            <w:tcW w:w="9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2F5DA8"/>
              </w:rPr>
              <w:t>Robert P.</w:t>
            </w:r>
          </w:p>
        </w:tc>
        <w:tc>
          <w:tcPr>
            <w:tcW w:w="880" w:type="dxa"/>
            <w:vAlign w:val="bottom"/>
            <w:gridSpan w:val="2"/>
          </w:tcPr>
          <w:p>
            <w:pPr>
              <w:jc w:val="right"/>
              <w:ind w:right="4"/>
              <w:spacing w:after="0"/>
              <w:rPr>
                <w:sz w:val="20"/>
                <w:szCs w:val="20"/>
                <w:color w:val="auto"/>
              </w:rPr>
            </w:pPr>
            <w:r>
              <w:rPr>
                <w:rFonts w:ascii="Arial" w:cs="Arial" w:eastAsia="Arial" w:hAnsi="Arial"/>
                <w:sz w:val="15"/>
                <w:szCs w:val="15"/>
                <w:b w:val="1"/>
                <w:bCs w:val="1"/>
                <w:color w:val="2F5DA8"/>
              </w:rPr>
              <w:t>Ashish R.</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F5DA8"/>
              </w:rPr>
              <w:t>Helmut D.</w:t>
            </w: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2F5DA8"/>
              </w:rPr>
              <w:t>Warzala</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2F5DA8"/>
              </w:rPr>
              <w:t>Leach</w:t>
            </w:r>
          </w:p>
        </w:tc>
        <w:tc>
          <w:tcPr>
            <w:tcW w:w="1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2F5DA8"/>
              </w:rPr>
              <w:t>Maida</w:t>
            </w:r>
          </w:p>
        </w:tc>
        <w:tc>
          <w:tcPr>
            <w:tcW w:w="2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b w:val="1"/>
                <w:bCs w:val="1"/>
                <w:color w:val="2F5DA8"/>
              </w:rPr>
              <w:t>Bendre</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F5DA8"/>
              </w:rPr>
              <w:t>Pirthauer</w:t>
            </w:r>
          </w:p>
        </w:tc>
        <w:tc>
          <w:tcPr>
            <w:tcW w:w="0" w:type="dxa"/>
            <w:vAlign w:val="bottom"/>
          </w:tcPr>
          <w:p>
            <w:pPr>
              <w:spacing w:after="0"/>
              <w:rPr>
                <w:sz w:val="1"/>
                <w:szCs w:val="1"/>
                <w:color w:val="auto"/>
              </w:rPr>
            </w:pPr>
          </w:p>
        </w:tc>
      </w:tr>
      <w:tr>
        <w:trPr>
          <w:trHeight w:val="52"/>
        </w:trPr>
        <w:tc>
          <w:tcPr>
            <w:tcW w:w="4320" w:type="dxa"/>
            <w:vAlign w:val="bottom"/>
            <w:tcBorders>
              <w:bottom w:val="single" w:sz="8" w:color="2F5DA8"/>
            </w:tcBorders>
          </w:tcPr>
          <w:p>
            <w:pPr>
              <w:spacing w:after="0"/>
              <w:rPr>
                <w:sz w:val="4"/>
                <w:szCs w:val="4"/>
                <w:color w:val="auto"/>
              </w:rPr>
            </w:pPr>
          </w:p>
        </w:tc>
        <w:tc>
          <w:tcPr>
            <w:tcW w:w="300" w:type="dxa"/>
            <w:vAlign w:val="bottom"/>
            <w:tcBorders>
              <w:bottom w:val="single" w:sz="8" w:color="2F5DA8"/>
            </w:tcBorders>
          </w:tcPr>
          <w:p>
            <w:pPr>
              <w:spacing w:after="0"/>
              <w:rPr>
                <w:sz w:val="4"/>
                <w:szCs w:val="4"/>
                <w:color w:val="auto"/>
              </w:rPr>
            </w:pPr>
          </w:p>
        </w:tc>
        <w:tc>
          <w:tcPr>
            <w:tcW w:w="860" w:type="dxa"/>
            <w:vAlign w:val="bottom"/>
            <w:tcBorders>
              <w:bottom w:val="single" w:sz="8" w:color="2F5DA8"/>
            </w:tcBorders>
          </w:tcPr>
          <w:p>
            <w:pPr>
              <w:spacing w:after="0"/>
              <w:rPr>
                <w:sz w:val="4"/>
                <w:szCs w:val="4"/>
                <w:color w:val="auto"/>
              </w:rPr>
            </w:pPr>
          </w:p>
        </w:tc>
        <w:tc>
          <w:tcPr>
            <w:tcW w:w="160" w:type="dxa"/>
            <w:vAlign w:val="bottom"/>
            <w:tcBorders>
              <w:bottom w:val="single" w:sz="8" w:color="2F5DA8"/>
            </w:tcBorders>
          </w:tcPr>
          <w:p>
            <w:pPr>
              <w:spacing w:after="0"/>
              <w:rPr>
                <w:sz w:val="4"/>
                <w:szCs w:val="4"/>
                <w:color w:val="auto"/>
              </w:rPr>
            </w:pPr>
          </w:p>
        </w:tc>
        <w:tc>
          <w:tcPr>
            <w:tcW w:w="780" w:type="dxa"/>
            <w:vAlign w:val="bottom"/>
            <w:tcBorders>
              <w:bottom w:val="single" w:sz="8" w:color="2F5DA8"/>
            </w:tcBorders>
          </w:tcPr>
          <w:p>
            <w:pPr>
              <w:spacing w:after="0"/>
              <w:rPr>
                <w:sz w:val="4"/>
                <w:szCs w:val="4"/>
                <w:color w:val="auto"/>
              </w:rPr>
            </w:pPr>
          </w:p>
        </w:tc>
        <w:tc>
          <w:tcPr>
            <w:tcW w:w="160" w:type="dxa"/>
            <w:vAlign w:val="bottom"/>
            <w:tcBorders>
              <w:bottom w:val="single" w:sz="8" w:color="2F5DA8"/>
            </w:tcBorders>
          </w:tcPr>
          <w:p>
            <w:pPr>
              <w:spacing w:after="0"/>
              <w:rPr>
                <w:sz w:val="4"/>
                <w:szCs w:val="4"/>
                <w:color w:val="auto"/>
              </w:rPr>
            </w:pPr>
          </w:p>
        </w:tc>
        <w:tc>
          <w:tcPr>
            <w:tcW w:w="800" w:type="dxa"/>
            <w:vAlign w:val="bottom"/>
            <w:tcBorders>
              <w:bottom w:val="single" w:sz="8" w:color="2F5DA8"/>
            </w:tcBorders>
          </w:tcPr>
          <w:p>
            <w:pPr>
              <w:spacing w:after="0"/>
              <w:rPr>
                <w:sz w:val="4"/>
                <w:szCs w:val="4"/>
                <w:color w:val="auto"/>
              </w:rPr>
            </w:pPr>
          </w:p>
        </w:tc>
        <w:tc>
          <w:tcPr>
            <w:tcW w:w="220" w:type="dxa"/>
            <w:vAlign w:val="bottom"/>
            <w:tcBorders>
              <w:bottom w:val="single" w:sz="8" w:color="2F5DA8"/>
            </w:tcBorders>
          </w:tcPr>
          <w:p>
            <w:pPr>
              <w:spacing w:after="0"/>
              <w:rPr>
                <w:sz w:val="4"/>
                <w:szCs w:val="4"/>
                <w:color w:val="auto"/>
              </w:rPr>
            </w:pPr>
          </w:p>
        </w:tc>
        <w:tc>
          <w:tcPr>
            <w:tcW w:w="660" w:type="dxa"/>
            <w:vAlign w:val="bottom"/>
            <w:tcBorders>
              <w:bottom w:val="single" w:sz="8" w:color="2F5DA8"/>
            </w:tcBorders>
          </w:tcPr>
          <w:p>
            <w:pPr>
              <w:spacing w:after="0"/>
              <w:rPr>
                <w:sz w:val="4"/>
                <w:szCs w:val="4"/>
                <w:color w:val="auto"/>
              </w:rPr>
            </w:pPr>
          </w:p>
        </w:tc>
        <w:tc>
          <w:tcPr>
            <w:tcW w:w="84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Death:</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146,625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87,975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80,325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94,500</w:t>
            </w:r>
          </w:p>
        </w:tc>
        <w:tc>
          <w:tcPr>
            <w:tcW w:w="840" w:type="dxa"/>
            <w:vAlign w:val="bottom"/>
          </w:tcPr>
          <w:p>
            <w:pPr>
              <w:jc w:val="right"/>
              <w:spacing w:after="0"/>
              <w:rPr>
                <w:sz w:val="20"/>
                <w:szCs w:val="20"/>
                <w:color w:val="auto"/>
              </w:rPr>
            </w:pPr>
            <w:r>
              <w:rPr>
                <w:rFonts w:ascii="Arial" w:cs="Arial" w:eastAsia="Arial" w:hAnsi="Arial"/>
                <w:sz w:val="15"/>
                <w:szCs w:val="15"/>
                <w:color w:val="auto"/>
              </w:rPr>
              <w:t>$158,564</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733,125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175,950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160,650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54,810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2,211,549</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336,438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276,594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36,381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3,178,498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652,733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565,923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147,201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$240,250</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6,269,797</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1,253,096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1,083,492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332,892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$398,814</w:t>
            </w:r>
          </w:p>
        </w:tc>
        <w:tc>
          <w:tcPr>
            <w:tcW w:w="0" w:type="dxa"/>
            <w:vAlign w:val="bottom"/>
          </w:tcPr>
          <w:p>
            <w:pPr>
              <w:spacing w:after="0"/>
              <w:rPr>
                <w:sz w:val="1"/>
                <w:szCs w:val="1"/>
                <w:color w:val="auto"/>
              </w:rPr>
            </w:pPr>
          </w:p>
        </w:tc>
      </w:tr>
      <w:tr>
        <w:trPr>
          <w:trHeight w:val="231"/>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Disability:</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586,500</w:t>
            </w:r>
          </w:p>
        </w:tc>
        <w:tc>
          <w:tcPr>
            <w:tcW w:w="16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$158,564</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733,125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175,950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160,650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54,810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2,211,549</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336,438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276,594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36,381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3,178,498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652,733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565,923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147,201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$240,250</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6,709,672</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1,165,121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1,003,167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238,392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$398,814</w:t>
            </w:r>
          </w:p>
        </w:tc>
        <w:tc>
          <w:tcPr>
            <w:tcW w:w="0" w:type="dxa"/>
            <w:vAlign w:val="bottom"/>
          </w:tcPr>
          <w:p>
            <w:pPr>
              <w:spacing w:after="0"/>
              <w:rPr>
                <w:sz w:val="1"/>
                <w:szCs w:val="1"/>
                <w:color w:val="auto"/>
              </w:rPr>
            </w:pPr>
          </w:p>
        </w:tc>
      </w:tr>
      <w:tr>
        <w:trPr>
          <w:trHeight w:val="183"/>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without Good Reason or</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Termination for Cause: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No payments</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Termination Without Cause: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586,500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351,900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321,300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378,000</w:t>
            </w:r>
          </w:p>
        </w:tc>
        <w:tc>
          <w:tcPr>
            <w:tcW w:w="840" w:type="dxa"/>
            <w:vAlign w:val="bottom"/>
          </w:tcPr>
          <w:p>
            <w:pPr>
              <w:jc w:val="right"/>
              <w:spacing w:after="0"/>
              <w:rPr>
                <w:sz w:val="20"/>
                <w:szCs w:val="20"/>
                <w:color w:val="auto"/>
              </w:rPr>
            </w:pPr>
            <w:r>
              <w:rPr>
                <w:rFonts w:ascii="Arial" w:cs="Arial" w:eastAsia="Arial" w:hAnsi="Arial"/>
                <w:sz w:val="15"/>
                <w:szCs w:val="15"/>
                <w:color w:val="auto"/>
              </w:rPr>
              <w:t>$475,692</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527,850</w:t>
            </w:r>
          </w:p>
        </w:tc>
        <w:tc>
          <w:tcPr>
            <w:tcW w:w="16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2,211,549</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336,438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276,594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36,381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3,178,498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652,733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565,923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147,201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45,000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6,549,397</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1,386,071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1,208,817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606,582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$475,692</w:t>
            </w:r>
          </w:p>
        </w:tc>
        <w:tc>
          <w:tcPr>
            <w:tcW w:w="0" w:type="dxa"/>
            <w:vAlign w:val="bottom"/>
          </w:tcPr>
          <w:p>
            <w:pPr>
              <w:spacing w:after="0"/>
              <w:rPr>
                <w:sz w:val="1"/>
                <w:szCs w:val="1"/>
                <w:color w:val="auto"/>
              </w:rPr>
            </w:pPr>
          </w:p>
        </w:tc>
      </w:tr>
      <w:tr>
        <w:trPr>
          <w:trHeight w:val="183"/>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Termination Without Cause within 90 days prior to or 24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40"/>
              <w:spacing w:after="0"/>
              <w:rPr>
                <w:sz w:val="20"/>
                <w:szCs w:val="20"/>
                <w:color w:val="auto"/>
              </w:rPr>
            </w:pPr>
            <w:r>
              <w:rPr>
                <w:rFonts w:ascii="Arial" w:cs="Arial" w:eastAsia="Arial" w:hAnsi="Arial"/>
                <w:sz w:val="15"/>
                <w:szCs w:val="15"/>
                <w:b w:val="1"/>
                <w:bCs w:val="1"/>
                <w:color w:val="auto"/>
              </w:rPr>
              <w:t>months following a change in control</w:t>
            </w: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22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3,475,258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527,850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481,950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432,810</w:t>
            </w:r>
          </w:p>
        </w:tc>
        <w:tc>
          <w:tcPr>
            <w:tcW w:w="840" w:type="dxa"/>
            <w:vAlign w:val="bottom"/>
          </w:tcPr>
          <w:p>
            <w:pPr>
              <w:jc w:val="right"/>
              <w:spacing w:after="0"/>
              <w:rPr>
                <w:sz w:val="20"/>
                <w:szCs w:val="20"/>
                <w:color w:val="auto"/>
              </w:rPr>
            </w:pPr>
            <w:r>
              <w:rPr>
                <w:rFonts w:ascii="Arial" w:cs="Arial" w:eastAsia="Arial" w:hAnsi="Arial"/>
                <w:sz w:val="15"/>
                <w:szCs w:val="15"/>
                <w:color w:val="auto"/>
              </w:rPr>
              <w:t>$475,692</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1,574,104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175,950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160,650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54,810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2,211,549</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336,438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276,594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36,381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3,178,498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652,733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565,923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w w:val="95"/>
              </w:rPr>
              <w:t>147,201</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293,250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175,950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160,650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189,000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2F5DA8"/>
            </w:tcBorders>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F5DA8"/>
            </w:tcBorders>
          </w:tcPr>
          <w:p>
            <w:pPr>
              <w:jc w:val="right"/>
              <w:ind w:right="24"/>
              <w:spacing w:after="0"/>
              <w:rPr>
                <w:sz w:val="20"/>
                <w:szCs w:val="20"/>
                <w:color w:val="auto"/>
              </w:rPr>
            </w:pPr>
            <w:r>
              <w:rPr>
                <w:rFonts w:ascii="Arial" w:cs="Arial" w:eastAsia="Arial" w:hAnsi="Arial"/>
                <w:sz w:val="15"/>
                <w:szCs w:val="15"/>
                <w:color w:val="auto"/>
                <w:w w:val="98"/>
              </w:rPr>
              <w:t>10,732,659</w:t>
            </w:r>
          </w:p>
        </w:tc>
        <w:tc>
          <w:tcPr>
            <w:tcW w:w="160" w:type="dxa"/>
            <w:vAlign w:val="bottom"/>
            <w:tcBorders>
              <w:bottom w:val="single" w:sz="8" w:color="2F5DA8"/>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2F5DA8"/>
            </w:tcBorders>
          </w:tcPr>
          <w:p>
            <w:pPr>
              <w:jc w:val="right"/>
              <w:ind w:right="24"/>
              <w:spacing w:after="0"/>
              <w:rPr>
                <w:sz w:val="20"/>
                <w:szCs w:val="20"/>
                <w:color w:val="auto"/>
              </w:rPr>
            </w:pPr>
            <w:r>
              <w:rPr>
                <w:rFonts w:ascii="Arial" w:cs="Arial" w:eastAsia="Arial" w:hAnsi="Arial"/>
                <w:sz w:val="15"/>
                <w:szCs w:val="15"/>
                <w:color w:val="auto"/>
                <w:w w:val="98"/>
              </w:rPr>
              <w:t>1,868,921</w:t>
            </w:r>
          </w:p>
        </w:tc>
        <w:tc>
          <w:tcPr>
            <w:tcW w:w="16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2F5DA8"/>
            </w:tcBorders>
          </w:tcPr>
          <w:p>
            <w:pPr>
              <w:jc w:val="right"/>
              <w:ind w:right="44"/>
              <w:spacing w:after="0"/>
              <w:rPr>
                <w:sz w:val="20"/>
                <w:szCs w:val="20"/>
                <w:color w:val="auto"/>
              </w:rPr>
            </w:pPr>
            <w:r>
              <w:rPr>
                <w:rFonts w:ascii="Arial" w:cs="Arial" w:eastAsia="Arial" w:hAnsi="Arial"/>
                <w:sz w:val="15"/>
                <w:szCs w:val="15"/>
                <w:color w:val="auto"/>
                <w:w w:val="98"/>
              </w:rPr>
              <w:t>1,645,767</w:t>
            </w:r>
          </w:p>
        </w:tc>
        <w:tc>
          <w:tcPr>
            <w:tcW w:w="22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F5DA8"/>
            </w:tcBorders>
          </w:tcPr>
          <w:p>
            <w:pPr>
              <w:jc w:val="right"/>
              <w:ind w:right="44"/>
              <w:spacing w:after="0"/>
              <w:rPr>
                <w:sz w:val="20"/>
                <w:szCs w:val="20"/>
                <w:color w:val="auto"/>
              </w:rPr>
            </w:pPr>
            <w:r>
              <w:rPr>
                <w:rFonts w:ascii="Arial" w:cs="Arial" w:eastAsia="Arial" w:hAnsi="Arial"/>
                <w:sz w:val="15"/>
                <w:szCs w:val="15"/>
                <w:color w:val="auto"/>
                <w:w w:val="95"/>
              </w:rPr>
              <w:t>860,202</w:t>
            </w:r>
          </w:p>
        </w:tc>
        <w:tc>
          <w:tcPr>
            <w:tcW w:w="8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$475,692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below for descriptions of terms used.</w:t>
      </w:r>
    </w:p>
    <w:p>
      <w:pPr>
        <w:sectPr>
          <w:pgSz w:w="11900" w:h="16838" w:orient="portrait"/>
          <w:cols w:equalWidth="0" w:num="1">
            <w:col w:w="9320"/>
          </w:cols>
          <w:pgMar w:left="1280" w:top="263" w:right="12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28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ectPr>
          <w:pgSz w:w="11900" w:h="16838" w:orient="portrait"/>
          <w:cols w:equalWidth="0" w:num="1">
            <w:col w:w="9320"/>
          </w:cols>
          <w:pgMar w:left="1280" w:top="263"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with Messrs. Warzala, Leach, Maida and Bendre, if the executive’s employment terminates as a result of retirement upon attaining age 65 years of age and</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10 years of continual employment (or on or after January 2, 2023 for Mr.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time only (“Time-Based Awards”) or PSP and LTIP awards that vest on the basis of performance criteria (“Performance-Based Awards”) that have been earned but are still subject to time-based vesting outstanding on the date of retirement. At December 31, 2021, no Named Executive Officer was eligible for retirement under the terms of his respective employment agreement.</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Payments upon Death</w:t>
      </w:r>
      <w:r>
        <w:rPr>
          <w:rFonts w:ascii="Arial" w:cs="Arial" w:eastAsia="Arial" w:hAnsi="Arial"/>
          <w:sz w:val="16"/>
          <w:szCs w:val="16"/>
          <w:color w:val="auto"/>
        </w:rPr>
        <w:t>. Under the terms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Messrs. Warzala, Leach, Maida and Bendre, in the event of the 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salary continuation to the end of the end of the month containing the date of death and for six subsequent months. In addition, pursuant to the award agreement under the 2017 Omnibus Incentive Plan, Mr. Pirthauer will receive immediate vesting of all of his outstanding Time-Based Awards.</w:t>
      </w:r>
    </w:p>
    <w:p>
      <w:pPr>
        <w:spacing w:after="0" w:line="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color w:val="auto"/>
        </w:rPr>
        <w:t>Payments upon Disability</w:t>
      </w:r>
      <w:r>
        <w:rPr>
          <w:rFonts w:ascii="Arial" w:cs="Arial" w:eastAsia="Arial" w:hAnsi="Arial"/>
          <w:sz w:val="16"/>
          <w:szCs w:val="16"/>
          <w:color w:val="auto"/>
        </w:rPr>
        <w:t>. Under the terms of Mr.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in the case of disability, salary is continued until the end of the term of the employment agreement, as adjusted for any compensation payable under any Company paid disability plan, or until long-term disability insurance becomes effective. Benefits are continued as generally provided by the Company to its employees in accordance with the Company’s disability plan. Under the terms of the employment agreements with Messrs. Leach, Maida and Bendre, the executive is entitled to the benefits under any disability insurance policies maintained by the Company for the benefit of the executive. In addition, Messrs. Warzala, Leach, Maida and Bendre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Time-Based Awards.</w:t>
      </w:r>
    </w:p>
    <w:p>
      <w:pPr>
        <w:spacing w:after="0" w:line="8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Payments upon Voluntary Resignation without Good Reason or Involuntary Termination with Cause</w:t>
      </w:r>
      <w:r>
        <w:rPr>
          <w:rFonts w:ascii="Arial" w:cs="Arial" w:eastAsia="Arial" w:hAnsi="Arial"/>
          <w:sz w:val="16"/>
          <w:szCs w:val="16"/>
          <w:color w:val="auto"/>
        </w:rPr>
        <w:t>. A Named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Officer is not entitled to receive any additional forms of severance payments or benefits upon his voluntary decision to terminate employment with the Company prior to being eligible for retirement or upon termination for cause.</w:t>
      </w:r>
    </w:p>
    <w:p>
      <w:pPr>
        <w:spacing w:after="0" w:line="72"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i w:val="1"/>
          <w:iCs w:val="1"/>
          <w:color w:val="auto"/>
        </w:rPr>
        <w:t xml:space="preserve">Payments upon Voluntary Resignation with Good Reason or Involuntary Termination Without Cause </w:t>
      </w:r>
      <w:r>
        <w:rPr>
          <w:rFonts w:ascii="Arial" w:cs="Arial" w:eastAsia="Arial" w:hAnsi="Arial"/>
          <w:sz w:val="16"/>
          <w:szCs w:val="16"/>
          <w:color w:val="auto"/>
        </w:rPr>
        <w:t>. 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Mr. Warzala’s employment agreement, if he is involuntarily terminated without cause or he terminates his employment for good reason, the employment agreement entitles him to:</w:t>
      </w:r>
    </w:p>
    <w:p>
      <w:pPr>
        <w:spacing w:after="0" w:line="1" w:lineRule="exact"/>
        <w:rPr>
          <w:sz w:val="20"/>
          <w:szCs w:val="20"/>
          <w:color w:val="auto"/>
        </w:rPr>
      </w:pPr>
    </w:p>
    <w:p>
      <w:pPr>
        <w:ind w:right="220" w:firstLine="4"/>
        <w:spacing w:after="0" w:line="248" w:lineRule="auto"/>
        <w:tabs>
          <w:tab w:leader="none" w:pos="1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Time-Based Awards and Performance-Based Awards that have been earned but are still subject to time-based vesting and, prorated vesting of his unearned Performance-Based Awards.</w:t>
      </w:r>
    </w:p>
    <w:p>
      <w:pPr>
        <w:spacing w:after="0" w:line="82"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Under the terms of the employment agreements with Messrs. Leach, Maida and Bendre,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Time-Based Awards and Performance-Based Awards that have been earned but are still subject to time-based vesting, and prorated vesting of his unearned Performance-Based Awards.</w:t>
      </w:r>
    </w:p>
    <w:p>
      <w:pPr>
        <w:spacing w:after="0" w:line="76"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76"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i w:val="1"/>
          <w:iCs w:val="1"/>
          <w:color w:val="auto"/>
        </w:rPr>
        <w:t>Voluntary Resignation with Good Reason or Involuntary Termination Without Cause within 90 days prior to or 24 months following a change in control</w:t>
      </w:r>
      <w:r>
        <w:rPr>
          <w:rFonts w:ascii="Arial" w:cs="Arial" w:eastAsia="Arial" w:hAnsi="Arial"/>
          <w:sz w:val="16"/>
          <w:szCs w:val="16"/>
          <w:color w:val="auto"/>
        </w:rPr>
        <w:t>. Mr. Warzala’s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agreement and Messrs. Leach, Maida and Bendre’s employment agreements provide for certain payments upon termination of employment resulting within 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78"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Under the terms of Mr. Warzala’s change in control agreement, he is entitled to (i) a severance payment equal to 2.5 times his annual Base Salary plus the highest amount paid or payable pursuant to the Annual Cash Incentive plan applicable to the executive for any of the 3 prior fiscal years;</w:t>
      </w:r>
    </w:p>
    <w:p>
      <w:pPr>
        <w:spacing w:after="0" w:line="3" w:lineRule="exact"/>
        <w:rPr>
          <w:sz w:val="20"/>
          <w:szCs w:val="20"/>
          <w:color w:val="auto"/>
        </w:rPr>
      </w:pPr>
    </w:p>
    <w:p>
      <w:pPr>
        <w:jc w:val="center"/>
        <w:ind w:right="300" w:firstLine="4"/>
        <w:spacing w:after="0" w:line="246"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benefit payment equal to 25% of annual salary for 24 months to purchase healthcare and other insurance benefits;</w:t>
      </w:r>
    </w:p>
    <w:p>
      <w:pPr>
        <w:ind w:right="540" w:firstLine="4"/>
        <w:spacing w:after="0" w:line="251" w:lineRule="auto"/>
        <w:tabs>
          <w:tab w:leader="none" w:pos="261"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payment of all legal fees and expenses incurred as a result of termination; and (iv) a prorata payment for the current year benefit pursuant to any annual or long-term incentive plan applicable to the executive for the year that includes the Date of Termination.</w:t>
      </w:r>
    </w:p>
    <w:p>
      <w:pPr>
        <w:spacing w:after="0" w:line="386" w:lineRule="exact"/>
        <w:rPr>
          <w:sz w:val="20"/>
          <w:szCs w:val="20"/>
          <w:color w:val="auto"/>
        </w:rPr>
      </w:pPr>
    </w:p>
    <w:p>
      <w:pPr>
        <w:sectPr>
          <w:pgSz w:w="11900" w:h="16838" w:orient="portrait"/>
          <w:cols w:equalWidth="0" w:num="2">
            <w:col w:w="4440" w:space="220"/>
            <w:col w:w="4660"/>
          </w:cols>
          <w:pgMar w:left="1280" w:top="263" w:right="1299" w:bottom="1440" w:gutter="0" w:footer="0" w:header="0"/>
          <w:type w:val="continuous"/>
        </w:sectPr>
      </w:pPr>
    </w:p>
    <w:p>
      <w:pPr>
        <w:spacing w:after="0" w:line="8"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 xml:space="preserve">Allied Motion Technologies Inc. | 2022 Proxy Statement | </w:t>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F5DA8"/>
        </w:rPr>
        <w:t>Compensation of Named Executive Officers</w:t>
      </w:r>
    </w:p>
    <w:p>
      <w:pPr>
        <w:spacing w:after="0" w:line="200" w:lineRule="exact"/>
        <w:rPr>
          <w:sz w:val="20"/>
          <w:szCs w:val="20"/>
          <w:color w:val="auto"/>
        </w:rPr>
      </w:pPr>
    </w:p>
    <w:p>
      <w:pPr>
        <w:spacing w:after="0" w:line="300"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Under the terms of the employment agreements with Messrs. Leach, Maida and Bendre, the executive is entitled to (i) a cash payment equal to 100% of the executive’s then current Base Salary plus the target Annual Cash Incentive for the year of termination (or if greater, the year immediately preceding the year in which the Change in Control occurred);</w:t>
      </w:r>
    </w:p>
    <w:p>
      <w:pPr>
        <w:jc w:val="both"/>
        <w:ind w:left="220" w:right="20" w:hanging="2"/>
        <w:spacing w:after="0" w:line="246" w:lineRule="auto"/>
        <w:tabs>
          <w:tab w:leader="none" w:pos="4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additional amount equal to the executive’s target Annual Cash Incentive for the year of termination; (iii) a benefit payment equal to 25% of annual salary for 24 months to purchase healthcare and other insurance benefits; and</w:t>
      </w:r>
    </w:p>
    <w:p>
      <w:pPr>
        <w:spacing w:after="0" w:line="1" w:lineRule="exact"/>
        <w:rPr>
          <w:rFonts w:ascii="Arial" w:cs="Arial" w:eastAsia="Arial" w:hAnsi="Arial"/>
          <w:sz w:val="16"/>
          <w:szCs w:val="16"/>
          <w:color w:val="auto"/>
        </w:rPr>
      </w:pPr>
    </w:p>
    <w:p>
      <w:pPr>
        <w:ind w:left="480" w:hanging="262"/>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immediate vesting of all of his outstanding Time-Based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Awards and Performance-Based Awards that have been earned but are still subject to time-based vesting, and prorated vesting of his unearned Performance-Based Awards.</w:t>
      </w:r>
    </w:p>
    <w:p>
      <w:pPr>
        <w:spacing w:after="0" w:line="6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2023 without cause. If Mr. Pirthauer is involuntarily terminated without cause after that date, he is entitled to severance pay equal to one and half years’ base salary.</w:t>
      </w:r>
    </w:p>
    <w:p>
      <w:pPr>
        <w:spacing w:after="0" w:line="354" w:lineRule="exact"/>
        <w:rPr>
          <w:sz w:val="20"/>
          <w:szCs w:val="20"/>
          <w:color w:val="auto"/>
        </w:rPr>
      </w:pPr>
    </w:p>
    <w:p>
      <w:pPr>
        <w:sectPr>
          <w:pgSz w:w="11900" w:h="16838" w:orient="portrait"/>
          <w:cols w:equalWidth="0" w:num="2">
            <w:col w:w="4600" w:space="280"/>
            <w:col w:w="4440"/>
          </w:cols>
          <w:pgMar w:left="1280" w:top="263" w:right="1299" w:bottom="1440" w:gutter="0" w:footer="0" w:header="0"/>
        </w:sectPr>
      </w:pPr>
    </w:p>
    <w:p>
      <w:pPr>
        <w:ind w:left="220"/>
        <w:spacing w:after="0"/>
        <w:rPr>
          <w:sz w:val="20"/>
          <w:szCs w:val="20"/>
          <w:color w:val="auto"/>
        </w:rPr>
      </w:pPr>
      <w:r>
        <w:rPr>
          <w:rFonts w:ascii="Arial" w:cs="Arial" w:eastAsia="Arial" w:hAnsi="Arial"/>
          <w:sz w:val="17"/>
          <w:szCs w:val="17"/>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p>
      <w:pPr>
        <w:spacing w:after="0" w:line="172" w:lineRule="exact"/>
        <w:rPr>
          <w:sz w:val="20"/>
          <w:szCs w:val="20"/>
          <w:color w:val="auto"/>
        </w:rPr>
      </w:pPr>
    </w:p>
    <w:p>
      <w:pPr>
        <w:ind w:left="220" w:right="60"/>
        <w:spacing w:after="0" w:line="259" w:lineRule="auto"/>
        <w:rPr>
          <w:sz w:val="20"/>
          <w:szCs w:val="20"/>
          <w:color w:val="auto"/>
        </w:rPr>
      </w:pPr>
      <w:r>
        <w:rPr>
          <w:rFonts w:ascii="Arial" w:cs="Arial" w:eastAsia="Arial" w:hAnsi="Arial"/>
          <w:sz w:val="16"/>
          <w:szCs w:val="16"/>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70" w:lineRule="exact"/>
        <w:rPr>
          <w:sz w:val="20"/>
          <w:szCs w:val="20"/>
          <w:color w:val="auto"/>
        </w:rPr>
      </w:pPr>
    </w:p>
    <w:p>
      <w:pPr>
        <w:ind w:left="220" w:right="60"/>
        <w:spacing w:after="0" w:line="256"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72" w:lineRule="exact"/>
        <w:rPr>
          <w:sz w:val="20"/>
          <w:szCs w:val="20"/>
          <w:color w:val="auto"/>
        </w:rPr>
      </w:pPr>
    </w:p>
    <w:p>
      <w:pPr>
        <w:ind w:left="220" w:right="40"/>
        <w:spacing w:after="0" w:line="286" w:lineRule="auto"/>
        <w:rPr>
          <w:sz w:val="20"/>
          <w:szCs w:val="20"/>
          <w:color w:val="auto"/>
        </w:rPr>
      </w:pPr>
      <w:r>
        <w:rPr>
          <w:rFonts w:ascii="Arial" w:cs="Arial" w:eastAsia="Arial" w:hAnsi="Arial"/>
          <w:sz w:val="16"/>
          <w:szCs w:val="16"/>
          <w:color w:val="auto"/>
        </w:rPr>
        <w:t>“Base Salary” means an amount equal to the annual base salary in effect immediately prior to the Notice of Termination.</w:t>
      </w:r>
    </w:p>
    <w:p>
      <w:pPr>
        <w:spacing w:after="0" w:line="48"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w:t>
      </w:r>
    </w:p>
    <w:p>
      <w:pPr>
        <w:spacing w:after="0" w:line="10" w:lineRule="exact"/>
        <w:rPr>
          <w:sz w:val="20"/>
          <w:szCs w:val="20"/>
          <w:color w:val="auto"/>
        </w:rPr>
      </w:pPr>
    </w:p>
    <w:p>
      <w:pPr>
        <w:ind w:left="220" w:right="240" w:hanging="2"/>
        <w:spacing w:after="0" w:line="246" w:lineRule="auto"/>
        <w:tabs>
          <w:tab w:leader="none" w:pos="49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certain exceptions; or</w:t>
      </w:r>
    </w:p>
    <w:p>
      <w:pPr>
        <w:ind w:left="220" w:hanging="2"/>
        <w:spacing w:after="0" w:line="250" w:lineRule="auto"/>
        <w:tabs>
          <w:tab w:leader="none" w:pos="4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76"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60"/>
        <w:spacing w:after="0" w:line="253" w:lineRule="auto"/>
        <w:tabs>
          <w:tab w:leader="none" w:pos="2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7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w:t>
      </w:r>
    </w:p>
    <w:p>
      <w:pPr>
        <w:spacing w:after="0" w:line="9" w:lineRule="exact"/>
        <w:rPr>
          <w:sz w:val="20"/>
          <w:szCs w:val="20"/>
          <w:color w:val="auto"/>
        </w:rPr>
      </w:pPr>
    </w:p>
    <w:p>
      <w:pPr>
        <w:spacing w:after="0" w:line="246" w:lineRule="auto"/>
        <w:tabs>
          <w:tab w:leader="none" w:pos="2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w:t>
      </w:r>
    </w:p>
    <w:p>
      <w:pPr>
        <w:spacing w:after="0" w:line="5" w:lineRule="exact"/>
        <w:rPr>
          <w:rFonts w:ascii="Arial" w:cs="Arial" w:eastAsia="Arial" w:hAnsi="Arial"/>
          <w:sz w:val="16"/>
          <w:szCs w:val="16"/>
          <w:color w:val="auto"/>
        </w:rPr>
      </w:pPr>
    </w:p>
    <w:p>
      <w:pPr>
        <w:ind w:right="180"/>
        <w:spacing w:after="0" w:line="265" w:lineRule="auto"/>
        <w:tabs>
          <w:tab w:leader="none" w:pos="3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breach of duty; or (ix) any termination of employment without a Notice of Termination.</w:t>
      </w:r>
    </w:p>
    <w:p>
      <w:pPr>
        <w:spacing w:after="0" w:line="325" w:lineRule="exact"/>
        <w:rPr>
          <w:sz w:val="20"/>
          <w:szCs w:val="20"/>
          <w:color w:val="auto"/>
        </w:rPr>
      </w:pPr>
    </w:p>
    <w:p>
      <w:pPr>
        <w:sectPr>
          <w:pgSz w:w="11900" w:h="16838" w:orient="portrait"/>
          <w:cols w:equalWidth="0" w:num="2">
            <w:col w:w="4640" w:space="240"/>
            <w:col w:w="4440"/>
          </w:cols>
          <w:pgMar w:left="1280" w:top="263" w:right="129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30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2F5DA8"/>
        </w:rPr>
        <w:t>CERTAIN TRANSACTIONS AND RELATIONSHIPS</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7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Company has entered into an employment agreement with each of the Company’s executive officers. See “Employment Agreements and Related Arrangements” and “Potential Payments Upon Termination or Change in Control” above.</w:t>
      </w:r>
    </w:p>
    <w:p>
      <w:pPr>
        <w:spacing w:after="0" w:line="48"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Company leases certain facilities from a company for which Helmut D. Pirthauer, one of the Company’s executive officers, is a part owner. In connection with such leases, the Company made payments to the lessor of approximately $706,000 during the year ended December 31, 2021. Future minimum lease payments under these leases as of December 31, 2021 are approximately $7,487,000 and is subject to normal price escalation clauses. The Company believes that the terms of the leases above are comparable to the terms that would be available from an unrelated third party under the same or similar circumstances.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During fiscal 2021, the adult son of Richard S. Warzala was employed by the Company as Director of New Business Development, a position which reports directly to the Company’s Chief Financial Officer. His total compensation for 2021, which was reviewed and approved by the Human Capital and Compensation Committee, was approximately $321,660 and he was eligible for company benefits available to all other employees in a similar position.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98"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F5DA8"/>
        </w:rPr>
        <w:t>OWNERSHIP OF COMPANY STOCK</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Security Ownership of Certain Beneficial Owners</w:t>
      </w:r>
    </w:p>
    <w:p>
      <w:pPr>
        <w:spacing w:after="0" w:line="128"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March 9, 2022,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98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Name and Address of Beneficial Owner</w:t>
            </w:r>
          </w:p>
        </w:tc>
        <w:tc>
          <w:tcPr>
            <w:tcW w:w="3380" w:type="dxa"/>
            <w:vAlign w:val="bottom"/>
          </w:tcPr>
          <w:p>
            <w:pPr>
              <w:jc w:val="right"/>
              <w:ind w:right="404"/>
              <w:spacing w:after="0"/>
              <w:rPr>
                <w:sz w:val="20"/>
                <w:szCs w:val="20"/>
                <w:color w:val="auto"/>
              </w:rPr>
            </w:pPr>
            <w:r>
              <w:rPr>
                <w:rFonts w:ascii="Arial" w:cs="Arial" w:eastAsia="Arial" w:hAnsi="Arial"/>
                <w:sz w:val="15"/>
                <w:szCs w:val="15"/>
                <w:b w:val="1"/>
                <w:bCs w:val="1"/>
                <w:color w:val="2F5DA8"/>
              </w:rPr>
              <w:t>Amount of Common</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2F5DA8"/>
              </w:rPr>
              <w:t>Percent of</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2F5DA8"/>
            </w:tcBorders>
            <w:vMerge w:val="continue"/>
          </w:tcPr>
          <w:p>
            <w:pPr>
              <w:spacing w:after="0"/>
              <w:rPr>
                <w:sz w:val="22"/>
                <w:szCs w:val="22"/>
                <w:color w:val="auto"/>
              </w:rPr>
            </w:pPr>
          </w:p>
        </w:tc>
        <w:tc>
          <w:tcPr>
            <w:tcW w:w="3380" w:type="dxa"/>
            <w:vAlign w:val="bottom"/>
            <w:tcBorders>
              <w:bottom w:val="single" w:sz="8" w:color="2F5DA8"/>
            </w:tcBorders>
          </w:tcPr>
          <w:p>
            <w:pPr>
              <w:jc w:val="right"/>
              <w:ind w:right="364"/>
              <w:spacing w:after="0"/>
              <w:rPr>
                <w:sz w:val="20"/>
                <w:szCs w:val="20"/>
                <w:color w:val="auto"/>
              </w:rPr>
            </w:pPr>
            <w:r>
              <w:rPr>
                <w:rFonts w:ascii="Arial" w:cs="Arial" w:eastAsia="Arial" w:hAnsi="Arial"/>
                <w:sz w:val="15"/>
                <w:szCs w:val="15"/>
                <w:b w:val="1"/>
                <w:bCs w:val="1"/>
                <w:color w:val="2F5DA8"/>
              </w:rPr>
              <w:t>Stock Beneficially Owned</w:t>
            </w:r>
          </w:p>
        </w:tc>
        <w:tc>
          <w:tcPr>
            <w:tcW w:w="1740" w:type="dxa"/>
            <w:vAlign w:val="bottom"/>
            <w:tcBorders>
              <w:bottom w:val="single" w:sz="8" w:color="2F5DA8"/>
            </w:tcBorders>
          </w:tcPr>
          <w:p>
            <w:pPr>
              <w:jc w:val="right"/>
              <w:spacing w:after="0" w:line="263" w:lineRule="exact"/>
              <w:rPr>
                <w:sz w:val="20"/>
                <w:szCs w:val="20"/>
                <w:color w:val="auto"/>
              </w:rPr>
            </w:pPr>
            <w:r>
              <w:rPr>
                <w:rFonts w:ascii="Arial" w:cs="Arial" w:eastAsia="Arial" w:hAnsi="Arial"/>
                <w:sz w:val="15"/>
                <w:szCs w:val="15"/>
                <w:b w:val="1"/>
                <w:bCs w:val="1"/>
                <w:color w:val="2F5DA8"/>
              </w:rPr>
              <w:t>Common Stock</w:t>
            </w:r>
            <w:r>
              <w:rPr>
                <w:rFonts w:ascii="Arial" w:cs="Arial" w:eastAsia="Arial" w:hAnsi="Arial"/>
                <w:sz w:val="25"/>
                <w:szCs w:val="25"/>
                <w:b w:val="1"/>
                <w:bCs w:val="1"/>
                <w:color w:val="2F5DA8"/>
                <w:vertAlign w:val="superscript"/>
              </w:rPr>
              <w:t>(1)</w:t>
            </w:r>
          </w:p>
        </w:tc>
        <w:tc>
          <w:tcPr>
            <w:tcW w:w="0" w:type="dxa"/>
            <w:vAlign w:val="bottom"/>
          </w:tcPr>
          <w:p>
            <w:pPr>
              <w:spacing w:after="0"/>
              <w:rPr>
                <w:sz w:val="1"/>
                <w:szCs w:val="1"/>
                <w:color w:val="auto"/>
              </w:rPr>
            </w:pPr>
          </w:p>
        </w:tc>
      </w:tr>
      <w:tr>
        <w:trPr>
          <w:trHeight w:val="219"/>
        </w:trPr>
        <w:tc>
          <w:tcPr>
            <w:tcW w:w="39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495 Commerce Drive, Suite 3</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1,557,982</w:t>
            </w:r>
            <w:r>
              <w:rPr>
                <w:rFonts w:ascii="Arial" w:cs="Arial" w:eastAsia="Arial" w:hAnsi="Arial"/>
                <w:sz w:val="25"/>
                <w:szCs w:val="25"/>
                <w:color w:val="auto"/>
                <w:vertAlign w:val="superscript"/>
              </w:rPr>
              <w:t>(2)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Amherst, NY 14228</w:t>
            </w:r>
          </w:p>
        </w:tc>
        <w:tc>
          <w:tcPr>
            <w:tcW w:w="3380" w:type="dxa"/>
            <w:vAlign w:val="bottom"/>
            <w:tcBorders>
              <w:bottom w:val="single" w:sz="8" w:color="2F5DA8"/>
            </w:tcBorders>
            <w:vMerge w:val="continue"/>
          </w:tcPr>
          <w:p>
            <w:pPr>
              <w:spacing w:after="0"/>
              <w:rPr>
                <w:sz w:val="18"/>
                <w:szCs w:val="18"/>
                <w:color w:val="auto"/>
              </w:rPr>
            </w:pPr>
          </w:p>
        </w:tc>
        <w:tc>
          <w:tcPr>
            <w:tcW w:w="174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percentages are based upon 15,452,717 shares of Common Stock outstanding as of the Record Date.</w:t>
      </w:r>
    </w:p>
    <w:p>
      <w:pPr>
        <w:spacing w:after="0" w:line="53" w:lineRule="exact"/>
        <w:rPr>
          <w:rFonts w:ascii="Arial" w:cs="Arial" w:eastAsia="Arial" w:hAnsi="Arial"/>
          <w:sz w:val="13"/>
          <w:szCs w:val="13"/>
          <w:color w:val="auto"/>
        </w:rPr>
      </w:pPr>
    </w:p>
    <w:p>
      <w:pPr>
        <w:ind w:left="560" w:right="260" w:hanging="342"/>
        <w:spacing w:after="0" w:line="259" w:lineRule="auto"/>
        <w:tabs>
          <w:tab w:leader="none" w:pos="5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218,447 shares of Common Stock granted as incentive restricted shares under the Company’s stock incentive plans that have not yet vested and 24,777 shares of Common Stock credited to the Company’s Employee Stock Ownership Plan (“ESOP”) account of Mr. Warzala. Except as set forth in this note (2), does not include shares held by the ESOP as to which Mr. Warzala serves as one of four trustees.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Security Ownership of Management and Directors</w:t>
      </w:r>
    </w:p>
    <w:p>
      <w:pPr>
        <w:spacing w:after="0" w:line="128" w:lineRule="exact"/>
        <w:rPr>
          <w:sz w:val="20"/>
          <w:szCs w:val="20"/>
          <w:color w:val="auto"/>
        </w:rPr>
      </w:pPr>
    </w:p>
    <w:p>
      <w:pPr>
        <w:jc w:val="both"/>
        <w:ind w:left="220" w:right="100"/>
        <w:spacing w:after="0" w:line="266"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580" w:type="dxa"/>
            <w:vAlign w:val="bottom"/>
            <w:gridSpan w:val="3"/>
          </w:tcPr>
          <w:p>
            <w:pPr>
              <w:jc w:val="right"/>
              <w:ind w:right="124"/>
              <w:spacing w:after="0"/>
              <w:rPr>
                <w:sz w:val="20"/>
                <w:szCs w:val="20"/>
                <w:color w:val="auto"/>
              </w:rPr>
            </w:pPr>
            <w:r>
              <w:rPr>
                <w:rFonts w:ascii="Arial" w:cs="Arial" w:eastAsia="Arial" w:hAnsi="Arial"/>
                <w:sz w:val="15"/>
                <w:szCs w:val="15"/>
                <w:b w:val="1"/>
                <w:bCs w:val="1"/>
                <w:color w:val="2F5DA8"/>
              </w:rPr>
              <w:t>Amount and Nature of Beneficial Ownership</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1440" w:type="dxa"/>
            <w:vAlign w:val="bottom"/>
            <w:tcBorders>
              <w:bottom w:val="single" w:sz="8" w:color="2F5DA8"/>
            </w:tcBorders>
          </w:tcPr>
          <w:p>
            <w:pPr>
              <w:spacing w:after="0"/>
              <w:rPr>
                <w:sz w:val="4"/>
                <w:szCs w:val="4"/>
                <w:color w:val="auto"/>
              </w:rPr>
            </w:pPr>
          </w:p>
        </w:tc>
        <w:tc>
          <w:tcPr>
            <w:tcW w:w="1560" w:type="dxa"/>
            <w:vAlign w:val="bottom"/>
            <w:tcBorders>
              <w:bottom w:val="single" w:sz="8" w:color="2F5DA8"/>
            </w:tcBorders>
          </w:tcPr>
          <w:p>
            <w:pPr>
              <w:spacing w:after="0"/>
              <w:rPr>
                <w:sz w:val="4"/>
                <w:szCs w:val="4"/>
                <w:color w:val="auto"/>
              </w:rPr>
            </w:pPr>
          </w:p>
        </w:tc>
        <w:tc>
          <w:tcPr>
            <w:tcW w:w="1580" w:type="dxa"/>
            <w:vAlign w:val="bottom"/>
            <w:tcBorders>
              <w:bottom w:val="single" w:sz="8" w:color="2F5DA8"/>
            </w:tcBorders>
          </w:tcPr>
          <w:p>
            <w:pPr>
              <w:spacing w:after="0"/>
              <w:rPr>
                <w:sz w:val="4"/>
                <w:szCs w:val="4"/>
                <w:color w:val="auto"/>
              </w:rPr>
            </w:pPr>
          </w:p>
        </w:tc>
        <w:tc>
          <w:tcPr>
            <w:tcW w:w="1520" w:type="dxa"/>
            <w:vAlign w:val="bottom"/>
            <w:tcBorders>
              <w:bottom w:val="single" w:sz="8" w:color="2F5DA8"/>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000" w:type="dxa"/>
            <w:vAlign w:val="bottom"/>
            <w:vMerge w:val="restart"/>
          </w:tcPr>
          <w:p>
            <w:pPr>
              <w:ind w:left="40"/>
              <w:spacing w:after="0"/>
              <w:rPr>
                <w:sz w:val="20"/>
                <w:szCs w:val="20"/>
                <w:color w:val="auto"/>
              </w:rPr>
            </w:pPr>
            <w:r>
              <w:rPr>
                <w:rFonts w:ascii="Arial" w:cs="Arial" w:eastAsia="Arial" w:hAnsi="Arial"/>
                <w:sz w:val="15"/>
                <w:szCs w:val="15"/>
                <w:b w:val="1"/>
                <w:bCs w:val="1"/>
                <w:color w:val="2F5DA8"/>
              </w:rPr>
              <w:t>Name</w:t>
            </w:r>
          </w:p>
        </w:tc>
        <w:tc>
          <w:tcPr>
            <w:tcW w:w="14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F5DA8"/>
              </w:rPr>
              <w:t>Common Stock</w:t>
            </w: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2F5DA8"/>
              </w:rPr>
              <w:t>Unvested</w:t>
            </w:r>
          </w:p>
        </w:tc>
        <w:tc>
          <w:tcPr>
            <w:tcW w:w="1580" w:type="dxa"/>
            <w:vAlign w:val="bottom"/>
          </w:tcPr>
          <w:p>
            <w:pPr>
              <w:jc w:val="right"/>
              <w:ind w:right="164"/>
              <w:spacing w:after="0"/>
              <w:rPr>
                <w:sz w:val="20"/>
                <w:szCs w:val="20"/>
                <w:color w:val="auto"/>
              </w:rPr>
            </w:pPr>
            <w:r>
              <w:rPr>
                <w:rFonts w:ascii="Arial" w:cs="Arial" w:eastAsia="Arial" w:hAnsi="Arial"/>
                <w:sz w:val="15"/>
                <w:szCs w:val="15"/>
                <w:b w:val="1"/>
                <w:bCs w:val="1"/>
                <w:color w:val="2F5DA8"/>
              </w:rPr>
              <w:t>Total Beneficial</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2F5DA8"/>
              </w:rPr>
              <w:t>Percentage of</w:t>
            </w:r>
          </w:p>
        </w:tc>
        <w:tc>
          <w:tcPr>
            <w:tcW w:w="0" w:type="dxa"/>
            <w:vAlign w:val="bottom"/>
          </w:tcPr>
          <w:p>
            <w:pPr>
              <w:spacing w:after="0"/>
              <w:rPr>
                <w:sz w:val="1"/>
                <w:szCs w:val="1"/>
                <w:color w:val="auto"/>
              </w:rPr>
            </w:pPr>
          </w:p>
        </w:tc>
      </w:tr>
      <w:tr>
        <w:trPr>
          <w:trHeight w:val="262"/>
        </w:trPr>
        <w:tc>
          <w:tcPr>
            <w:tcW w:w="3000" w:type="dxa"/>
            <w:vAlign w:val="bottom"/>
            <w:tcBorders>
              <w:bottom w:val="single" w:sz="8" w:color="2F5DA8"/>
            </w:tcBorders>
            <w:vMerge w:val="continue"/>
          </w:tcPr>
          <w:p>
            <w:pPr>
              <w:spacing w:after="0"/>
              <w:rPr>
                <w:sz w:val="22"/>
                <w:szCs w:val="22"/>
                <w:color w:val="auto"/>
              </w:rPr>
            </w:pPr>
          </w:p>
        </w:tc>
        <w:tc>
          <w:tcPr>
            <w:tcW w:w="1440" w:type="dxa"/>
            <w:vAlign w:val="bottom"/>
            <w:tcBorders>
              <w:bottom w:val="single" w:sz="8" w:color="2F5DA8"/>
            </w:tcBorders>
            <w:vMerge w:val="continue"/>
          </w:tcPr>
          <w:p>
            <w:pPr>
              <w:spacing w:after="0"/>
              <w:rPr>
                <w:sz w:val="22"/>
                <w:szCs w:val="22"/>
                <w:color w:val="auto"/>
              </w:rPr>
            </w:pPr>
          </w:p>
        </w:tc>
        <w:tc>
          <w:tcPr>
            <w:tcW w:w="1560" w:type="dxa"/>
            <w:vAlign w:val="bottom"/>
            <w:tcBorders>
              <w:bottom w:val="single" w:sz="8" w:color="2F5DA8"/>
            </w:tcBorders>
          </w:tcPr>
          <w:p>
            <w:pPr>
              <w:jc w:val="right"/>
              <w:ind w:right="124"/>
              <w:spacing w:after="0"/>
              <w:rPr>
                <w:sz w:val="20"/>
                <w:szCs w:val="20"/>
                <w:color w:val="auto"/>
              </w:rPr>
            </w:pPr>
            <w:r>
              <w:rPr>
                <w:rFonts w:ascii="Arial" w:cs="Arial" w:eastAsia="Arial" w:hAnsi="Arial"/>
                <w:sz w:val="15"/>
                <w:szCs w:val="15"/>
                <w:b w:val="1"/>
                <w:bCs w:val="1"/>
                <w:color w:val="2F5DA8"/>
              </w:rPr>
              <w:t>Restricted Stock</w:t>
            </w:r>
          </w:p>
        </w:tc>
        <w:tc>
          <w:tcPr>
            <w:tcW w:w="1580" w:type="dxa"/>
            <w:vAlign w:val="bottom"/>
            <w:tcBorders>
              <w:bottom w:val="single" w:sz="8" w:color="2F5DA8"/>
            </w:tcBorders>
          </w:tcPr>
          <w:p>
            <w:pPr>
              <w:jc w:val="right"/>
              <w:ind w:right="124"/>
              <w:spacing w:after="0"/>
              <w:rPr>
                <w:sz w:val="20"/>
                <w:szCs w:val="20"/>
                <w:color w:val="auto"/>
              </w:rPr>
            </w:pPr>
            <w:r>
              <w:rPr>
                <w:rFonts w:ascii="Arial" w:cs="Arial" w:eastAsia="Arial" w:hAnsi="Arial"/>
                <w:sz w:val="15"/>
                <w:szCs w:val="15"/>
                <w:b w:val="1"/>
                <w:bCs w:val="1"/>
                <w:color w:val="2F5DA8"/>
              </w:rPr>
              <w:t>Ownership</w:t>
            </w:r>
          </w:p>
        </w:tc>
        <w:tc>
          <w:tcPr>
            <w:tcW w:w="1520" w:type="dxa"/>
            <w:vAlign w:val="bottom"/>
            <w:tcBorders>
              <w:bottom w:val="single" w:sz="8" w:color="2F5DA8"/>
            </w:tcBorders>
          </w:tcPr>
          <w:p>
            <w:pPr>
              <w:jc w:val="right"/>
              <w:spacing w:after="0" w:line="263" w:lineRule="exact"/>
              <w:rPr>
                <w:sz w:val="20"/>
                <w:szCs w:val="20"/>
                <w:color w:val="auto"/>
              </w:rPr>
            </w:pPr>
            <w:r>
              <w:rPr>
                <w:rFonts w:ascii="Arial" w:cs="Arial" w:eastAsia="Arial" w:hAnsi="Arial"/>
                <w:sz w:val="15"/>
                <w:szCs w:val="15"/>
                <w:b w:val="1"/>
                <w:bCs w:val="1"/>
                <w:color w:val="2F5DA8"/>
              </w:rPr>
              <w:t>Common Stock</w:t>
            </w:r>
            <w:r>
              <w:rPr>
                <w:rFonts w:ascii="Arial" w:cs="Arial" w:eastAsia="Arial" w:hAnsi="Arial"/>
                <w:sz w:val="25"/>
                <w:szCs w:val="25"/>
                <w:b w:val="1"/>
                <w:bCs w:val="1"/>
                <w:color w:val="2F5DA8"/>
                <w:vertAlign w:val="superscript"/>
              </w:rPr>
              <w:t>(1)</w:t>
            </w: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41,088</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7,281</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48,369</w:t>
            </w:r>
            <w:r>
              <w:rPr>
                <w:rFonts w:ascii="Arial" w:cs="Arial" w:eastAsia="Arial" w:hAnsi="Arial"/>
                <w:sz w:val="25"/>
                <w:szCs w:val="25"/>
                <w:color w:val="auto"/>
                <w:vertAlign w:val="superscript"/>
              </w:rPr>
              <w:t>(2)</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Robert B. Engel</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23,368</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23,791</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Richard D. Federico</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64,606</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65,029</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Steven C. Finch</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1,272</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1,695</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Leach</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44,174</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37,847</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82,021</w:t>
            </w:r>
            <w:r>
              <w:rPr>
                <w:rFonts w:ascii="Arial" w:cs="Arial" w:eastAsia="Arial" w:hAnsi="Arial"/>
                <w:sz w:val="25"/>
                <w:szCs w:val="25"/>
                <w:color w:val="auto"/>
                <w:vertAlign w:val="superscript"/>
              </w:rPr>
              <w:t>(3)</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P. Maida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80,213</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32,109</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112,322</w:t>
            </w:r>
            <w:r>
              <w:rPr>
                <w:rFonts w:ascii="Arial" w:cs="Arial" w:eastAsia="Arial" w:hAnsi="Arial"/>
                <w:sz w:val="25"/>
                <w:szCs w:val="25"/>
                <w:color w:val="auto"/>
                <w:vertAlign w:val="superscript"/>
              </w:rPr>
              <w:t>(4)</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3000" w:type="dxa"/>
            <w:vAlign w:val="bottom"/>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33,454</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8,600</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42,054</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Geoffery C. Rondeau</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7,297</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6,821</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14,118</w:t>
            </w:r>
            <w:r>
              <w:rPr>
                <w:rFonts w:ascii="Arial" w:cs="Arial" w:eastAsia="Arial" w:hAnsi="Arial"/>
                <w:sz w:val="25"/>
                <w:szCs w:val="25"/>
                <w:color w:val="auto"/>
                <w:vertAlign w:val="superscript"/>
              </w:rPr>
              <w:t>(5)</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3000" w:type="dxa"/>
            <w:vAlign w:val="bottom"/>
          </w:tcPr>
          <w:p>
            <w:pPr>
              <w:ind w:left="40"/>
              <w:spacing w:after="0"/>
              <w:rPr>
                <w:sz w:val="20"/>
                <w:szCs w:val="20"/>
                <w:color w:val="auto"/>
              </w:rPr>
            </w:pPr>
            <w:r>
              <w:rPr>
                <w:rFonts w:ascii="Arial" w:cs="Arial" w:eastAsia="Arial" w:hAnsi="Arial"/>
                <w:sz w:val="15"/>
                <w:szCs w:val="15"/>
                <w:color w:val="auto"/>
              </w:rPr>
              <w:t>James J. Tanous</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28,492</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28,915</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40"/>
              <w:spacing w:after="0"/>
              <w:rPr>
                <w:sz w:val="20"/>
                <w:szCs w:val="20"/>
                <w:color w:val="auto"/>
              </w:rPr>
            </w:pPr>
            <w:r>
              <w:rPr>
                <w:rFonts w:ascii="Arial" w:cs="Arial" w:eastAsia="Arial" w:hAnsi="Arial"/>
                <w:sz w:val="15"/>
                <w:szCs w:val="15"/>
                <w:color w:val="auto"/>
              </w:rPr>
              <w:t>Nicole R. Tzetzo</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1,272</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1,695</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1,339,535</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218,447</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1,557,982</w:t>
            </w:r>
            <w:r>
              <w:rPr>
                <w:rFonts w:ascii="Arial" w:cs="Arial" w:eastAsia="Arial" w:hAnsi="Arial"/>
                <w:sz w:val="25"/>
                <w:szCs w:val="25"/>
                <w:color w:val="auto"/>
                <w:vertAlign w:val="superscript"/>
              </w:rPr>
              <w:t>(6)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Michael R. Winter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28,455</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423</w:t>
            </w:r>
          </w:p>
        </w:tc>
        <w:tc>
          <w:tcPr>
            <w:tcW w:w="1580" w:type="dxa"/>
            <w:vAlign w:val="bottom"/>
          </w:tcPr>
          <w:p>
            <w:pPr>
              <w:jc w:val="right"/>
              <w:ind w:right="304"/>
              <w:spacing w:after="0"/>
              <w:rPr>
                <w:sz w:val="20"/>
                <w:szCs w:val="20"/>
                <w:color w:val="auto"/>
              </w:rPr>
            </w:pPr>
            <w:r>
              <w:rPr>
                <w:rFonts w:ascii="Arial" w:cs="Arial" w:eastAsia="Arial" w:hAnsi="Arial"/>
                <w:sz w:val="15"/>
                <w:szCs w:val="15"/>
                <w:color w:val="auto"/>
              </w:rPr>
              <w:t>28,878</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Employee Stock Ownership Plan</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662,309</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662,309</w:t>
            </w:r>
            <w:r>
              <w:rPr>
                <w:rFonts w:ascii="Arial" w:cs="Arial" w:eastAsia="Arial" w:hAnsi="Arial"/>
                <w:sz w:val="25"/>
                <w:szCs w:val="25"/>
                <w:color w:val="auto"/>
                <w:vertAlign w:val="superscript"/>
              </w:rPr>
              <w:t>(7)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19"/>
        </w:trPr>
        <w:tc>
          <w:tcPr>
            <w:tcW w:w="3000" w:type="dxa"/>
            <w:vAlign w:val="bottom"/>
          </w:tcPr>
          <w:p>
            <w:pPr>
              <w:ind w:left="40"/>
              <w:spacing w:after="0"/>
              <w:rPr>
                <w:sz w:val="20"/>
                <w:szCs w:val="20"/>
                <w:color w:val="auto"/>
              </w:rPr>
            </w:pPr>
            <w:r>
              <w:rPr>
                <w:rFonts w:ascii="Arial" w:cs="Arial" w:eastAsia="Arial" w:hAnsi="Arial"/>
                <w:sz w:val="15"/>
                <w:szCs w:val="15"/>
                <w:color w:val="auto"/>
              </w:rPr>
              <w:t>All directors, nominees and executive</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2F5DA8"/>
            </w:tcBorders>
          </w:tcPr>
          <w:p>
            <w:pPr>
              <w:ind w:left="40"/>
              <w:spacing w:after="0"/>
              <w:rPr>
                <w:sz w:val="20"/>
                <w:szCs w:val="20"/>
                <w:color w:val="auto"/>
              </w:rPr>
            </w:pPr>
            <w:r>
              <w:rPr>
                <w:rFonts w:ascii="Arial" w:cs="Arial" w:eastAsia="Arial" w:hAnsi="Arial"/>
                <w:sz w:val="15"/>
                <w:szCs w:val="15"/>
                <w:color w:val="auto"/>
              </w:rPr>
              <w:t>officers as a group</w:t>
            </w:r>
          </w:p>
        </w:tc>
        <w:tc>
          <w:tcPr>
            <w:tcW w:w="1440" w:type="dxa"/>
            <w:vAlign w:val="bottom"/>
            <w:tcBorders>
              <w:bottom w:val="single" w:sz="8" w:color="2F5DA8"/>
            </w:tcBorders>
          </w:tcPr>
          <w:p>
            <w:pPr>
              <w:jc w:val="right"/>
              <w:ind w:right="104"/>
              <w:spacing w:after="0"/>
              <w:rPr>
                <w:sz w:val="20"/>
                <w:szCs w:val="20"/>
                <w:color w:val="auto"/>
              </w:rPr>
            </w:pPr>
            <w:r>
              <w:rPr>
                <w:rFonts w:ascii="Arial" w:cs="Arial" w:eastAsia="Arial" w:hAnsi="Arial"/>
                <w:sz w:val="15"/>
                <w:szCs w:val="15"/>
                <w:color w:val="auto"/>
              </w:rPr>
              <w:t>2,355,535</w:t>
            </w:r>
          </w:p>
        </w:tc>
        <w:tc>
          <w:tcPr>
            <w:tcW w:w="1560" w:type="dxa"/>
            <w:vAlign w:val="bottom"/>
            <w:tcBorders>
              <w:bottom w:val="single" w:sz="8" w:color="2F5DA8"/>
            </w:tcBorders>
          </w:tcPr>
          <w:p>
            <w:pPr>
              <w:jc w:val="right"/>
              <w:ind w:right="144"/>
              <w:spacing w:after="0"/>
              <w:rPr>
                <w:sz w:val="20"/>
                <w:szCs w:val="20"/>
                <w:color w:val="auto"/>
              </w:rPr>
            </w:pPr>
            <w:r>
              <w:rPr>
                <w:rFonts w:ascii="Arial" w:cs="Arial" w:eastAsia="Arial" w:hAnsi="Arial"/>
                <w:sz w:val="15"/>
                <w:szCs w:val="15"/>
                <w:color w:val="auto"/>
              </w:rPr>
              <w:t>313,643</w:t>
            </w:r>
          </w:p>
        </w:tc>
        <w:tc>
          <w:tcPr>
            <w:tcW w:w="1580" w:type="dxa"/>
            <w:vAlign w:val="bottom"/>
            <w:tcBorders>
              <w:bottom w:val="single" w:sz="8" w:color="2F5DA8"/>
            </w:tcBorders>
          </w:tcPr>
          <w:p>
            <w:pPr>
              <w:jc w:val="right"/>
              <w:ind w:right="284"/>
              <w:spacing w:after="0"/>
              <w:rPr>
                <w:sz w:val="20"/>
                <w:szCs w:val="20"/>
                <w:color w:val="auto"/>
              </w:rPr>
            </w:pPr>
            <w:r>
              <w:rPr>
                <w:rFonts w:ascii="Arial" w:cs="Arial" w:eastAsia="Arial" w:hAnsi="Arial"/>
                <w:sz w:val="15"/>
                <w:szCs w:val="15"/>
                <w:color w:val="auto"/>
              </w:rPr>
              <w:t>2,669,178</w:t>
            </w:r>
          </w:p>
        </w:tc>
        <w:tc>
          <w:tcPr>
            <w:tcW w:w="152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560" w:hanging="342"/>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percentages are based upon 15,452,717 shares of Common Stock outstanding as of the Record Date.</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213 shares of Common Stock credited to the ESOP account of Mr. Bendre.</w:t>
      </w:r>
    </w:p>
    <w:p>
      <w:pPr>
        <w:spacing w:after="0" w:line="53" w:lineRule="exact"/>
        <w:rPr>
          <w:rFonts w:ascii="Arial" w:cs="Arial" w:eastAsia="Arial" w:hAnsi="Arial"/>
          <w:sz w:val="13"/>
          <w:szCs w:val="13"/>
          <w:color w:val="auto"/>
        </w:rPr>
      </w:pPr>
    </w:p>
    <w:p>
      <w:pPr>
        <w:ind w:left="560" w:right="140" w:hanging="342"/>
        <w:spacing w:after="0" w:line="281" w:lineRule="auto"/>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1,771 shares of Common Stock credited to the ESOP account of Mr. Leach. Except as set forth in this note (3), does not include shares held by the ESOP as to which Mr. Leach serves as one of four trustees.</w:t>
      </w:r>
    </w:p>
    <w:p>
      <w:pPr>
        <w:ind w:left="560" w:hanging="342"/>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4,275 shares of Common Stock credited to the ESOP account of Mr. Maida.</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1,771 shares of Common Stock credited to the ESOP account of Mr. Rondeau.</w:t>
      </w:r>
    </w:p>
    <w:p>
      <w:pPr>
        <w:spacing w:after="0" w:line="53" w:lineRule="exact"/>
        <w:rPr>
          <w:rFonts w:ascii="Arial" w:cs="Arial" w:eastAsia="Arial" w:hAnsi="Arial"/>
          <w:sz w:val="13"/>
          <w:szCs w:val="13"/>
          <w:color w:val="auto"/>
        </w:rPr>
      </w:pPr>
    </w:p>
    <w:p>
      <w:pPr>
        <w:ind w:left="560" w:right="380" w:hanging="342"/>
        <w:spacing w:after="0" w:line="281" w:lineRule="auto"/>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24,777 shares of Common Stock credited to the ESOP account of Mr. Warzala. Except as set forth in this note (6), does not include shares held by the ESOP as to which Mr. Warzala serves as one of four trustees.</w:t>
      </w:r>
    </w:p>
    <w:p>
      <w:pPr>
        <w:sectPr>
          <w:pgSz w:w="11900" w:h="16838" w:orient="portrait"/>
          <w:cols w:equalWidth="0" w:num="1">
            <w:col w:w="9320"/>
          </w:cols>
          <w:pgMar w:left="1280" w:top="263" w:right="12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Ownership of Company Stock</w:t>
      </w:r>
    </w:p>
    <w:p>
      <w:pPr>
        <w:spacing w:after="0" w:line="393" w:lineRule="exact"/>
        <w:rPr>
          <w:sz w:val="20"/>
          <w:szCs w:val="20"/>
          <w:color w:val="auto"/>
        </w:rPr>
      </w:pPr>
    </w:p>
    <w:p>
      <w:pPr>
        <w:ind w:left="360" w:right="240" w:hanging="358"/>
        <w:spacing w:after="0" w:line="244"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Messrs. Warzala and Leach are trustees of the ESOP and could be deemed to have shared investment power over those shares. The ESOP holds an aggregate of 662,309 shares of Common Stock, including 213 shares credited to the ESOP account of Mr. Bendre, 1,771 shares credited to the ESOP account of Mr. Leach, 4,275 shares credited to the ESOP account of Mr. Maida, 1,771 shares credited to the ESOP account of</w:t>
      </w:r>
    </w:p>
    <w:p>
      <w:pPr>
        <w:spacing w:after="0" w:line="1"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Mr. Rondeau and 24,777 shares credited to the ESOP account of Mr. Warzala, previously reported in this table.</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Delinquent Section 16(a) Reports</w:t>
      </w:r>
    </w:p>
    <w:p>
      <w:pPr>
        <w:spacing w:after="0" w:line="12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2021 with the exception of a Form 4 to report the forfeiture of restricted shares by one executive was inadvertently filed late.</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13"/>
          <w:szCs w:val="13"/>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F5DA8"/>
        </w:rPr>
        <w:t>AUDIT COMMITTEE MATTERS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Audit Committee Report</w:t>
      </w:r>
    </w:p>
    <w:p>
      <w:pPr>
        <w:spacing w:after="0" w:line="130" w:lineRule="exact"/>
        <w:rPr>
          <w:sz w:val="20"/>
          <w:szCs w:val="20"/>
          <w:color w:val="auto"/>
        </w:rPr>
      </w:pPr>
    </w:p>
    <w:p>
      <w:pPr>
        <w:ind w:left="220" w:right="20"/>
        <w:spacing w:after="0" w:line="265"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left="220" w:right="220"/>
        <w:spacing w:after="0" w:line="259"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70"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2021 prior to year-end and all Charter tasks scheduled to be performed in 2022 prior to the filing of this proxy statement. Our work included, among other procedures:</w:t>
      </w:r>
    </w:p>
    <w:p>
      <w:pPr>
        <w:spacing w:after="0" w:line="83" w:lineRule="exact"/>
        <w:rPr>
          <w:sz w:val="20"/>
          <w:szCs w:val="20"/>
          <w:color w:val="auto"/>
        </w:rPr>
      </w:pPr>
    </w:p>
    <w:p>
      <w:pPr>
        <w:ind w:left="460" w:hanging="24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pre-approved audit and permitted non-audit services of the Company’s independent auditors.</w:t>
      </w:r>
    </w:p>
    <w:p>
      <w:pPr>
        <w:spacing w:after="0" w:line="113" w:lineRule="exact"/>
        <w:rPr>
          <w:rFonts w:ascii="Arial" w:cs="Arial" w:eastAsia="Arial" w:hAnsi="Arial"/>
          <w:sz w:val="16"/>
          <w:szCs w:val="16"/>
          <w:color w:val="auto"/>
        </w:rPr>
      </w:pPr>
    </w:p>
    <w:p>
      <w:pPr>
        <w:ind w:left="220" w:right="280" w:hanging="2"/>
        <w:spacing w:after="0" w:line="286" w:lineRule="auto"/>
        <w:tabs>
          <w:tab w:leader="none" w:pos="4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met with management and the independent auditors on a quarterly basis to discuss financial statements and related reports and to review significant accounting and reporting matters.</w:t>
      </w:r>
    </w:p>
    <w:p>
      <w:pPr>
        <w:spacing w:after="0" w:line="47" w:lineRule="exact"/>
        <w:rPr>
          <w:rFonts w:ascii="Arial" w:cs="Arial" w:eastAsia="Arial" w:hAnsi="Arial"/>
          <w:sz w:val="16"/>
          <w:szCs w:val="16"/>
          <w:color w:val="auto"/>
        </w:rPr>
      </w:pPr>
    </w:p>
    <w:p>
      <w:pPr>
        <w:jc w:val="both"/>
        <w:ind w:left="220" w:right="380" w:hanging="2"/>
        <w:spacing w:after="0" w:line="266" w:lineRule="auto"/>
        <w:tabs>
          <w:tab w:leader="none" w:pos="4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63" w:lineRule="exact"/>
        <w:rPr>
          <w:rFonts w:ascii="Arial" w:cs="Arial" w:eastAsia="Arial" w:hAnsi="Arial"/>
          <w:sz w:val="16"/>
          <w:szCs w:val="16"/>
          <w:color w:val="auto"/>
        </w:rPr>
      </w:pPr>
    </w:p>
    <w:p>
      <w:pPr>
        <w:ind w:left="220" w:right="240" w:hanging="2"/>
        <w:spacing w:after="0" w:line="266" w:lineRule="auto"/>
        <w:tabs>
          <w:tab w:leader="none" w:pos="4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Prior to their publication, we reviewed and discussed with management and the independent auditors the Company’s December 31, 2021, audited financial statements, the related audit report, and the applicable management’s discussion and analysis.</w:t>
      </w:r>
    </w:p>
    <w:p>
      <w:pPr>
        <w:spacing w:after="0" w:line="63"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2021, for filing with the SEC.</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AUDIT COMMITTEE</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Michael R. Winter, Chairman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James J. Tanous</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34 </w:t>
      </w:r>
      <w:r>
        <w:rPr>
          <w:rFonts w:ascii="Arial" w:cs="Arial" w:eastAsia="Arial" w:hAnsi="Arial"/>
          <w:sz w:val="13"/>
          <w:szCs w:val="13"/>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F5DA8"/>
        </w:rPr>
        <w:t>Audit Committee Matters</w:t>
      </w: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Policy for Pre-Approval of Audit and Permitted Non-Audit Services</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full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2F5DA8"/>
        </w:rPr>
        <w:t>Auditor Fees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fees for the audit and other services provided by Deloitte &amp; Touche LLP for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57778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60" w:type="dxa"/>
            <w:vAlign w:val="bottom"/>
          </w:tcPr>
          <w:p>
            <w:pPr>
              <w:jc w:val="right"/>
              <w:ind w:right="704"/>
              <w:spacing w:after="0"/>
              <w:rPr>
                <w:sz w:val="20"/>
                <w:szCs w:val="20"/>
                <w:color w:val="auto"/>
              </w:rPr>
            </w:pPr>
            <w:r>
              <w:rPr>
                <w:rFonts w:ascii="Arial" w:cs="Arial" w:eastAsia="Arial" w:hAnsi="Arial"/>
                <w:sz w:val="15"/>
                <w:szCs w:val="15"/>
                <w:b w:val="1"/>
                <w:bCs w:val="1"/>
                <w:color w:val="2F5DA8"/>
              </w:rPr>
              <w:t>2021</w:t>
            </w: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2F5DA8"/>
              </w:rPr>
              <w:t>2020</w:t>
            </w:r>
          </w:p>
        </w:tc>
      </w:tr>
      <w:tr>
        <w:trPr>
          <w:trHeight w:val="52"/>
        </w:trPr>
        <w:tc>
          <w:tcPr>
            <w:tcW w:w="3740" w:type="dxa"/>
            <w:vAlign w:val="bottom"/>
            <w:tcBorders>
              <w:bottom w:val="single" w:sz="8" w:color="2F5DA8"/>
            </w:tcBorders>
          </w:tcPr>
          <w:p>
            <w:pPr>
              <w:spacing w:after="0"/>
              <w:rPr>
                <w:sz w:val="4"/>
                <w:szCs w:val="4"/>
                <w:color w:val="auto"/>
              </w:rPr>
            </w:pPr>
          </w:p>
        </w:tc>
        <w:tc>
          <w:tcPr>
            <w:tcW w:w="2300" w:type="dxa"/>
            <w:vAlign w:val="bottom"/>
            <w:tcBorders>
              <w:bottom w:val="single" w:sz="8" w:color="2F5DA8"/>
            </w:tcBorders>
          </w:tcPr>
          <w:p>
            <w:pPr>
              <w:spacing w:after="0"/>
              <w:rPr>
                <w:sz w:val="4"/>
                <w:szCs w:val="4"/>
                <w:color w:val="auto"/>
              </w:rPr>
            </w:pPr>
          </w:p>
        </w:tc>
        <w:tc>
          <w:tcPr>
            <w:tcW w:w="1460" w:type="dxa"/>
            <w:vAlign w:val="bottom"/>
            <w:tcBorders>
              <w:bottom w:val="single" w:sz="8" w:color="2F5DA8"/>
            </w:tcBorders>
          </w:tcPr>
          <w:p>
            <w:pPr>
              <w:spacing w:after="0"/>
              <w:rPr>
                <w:sz w:val="4"/>
                <w:szCs w:val="4"/>
                <w:color w:val="auto"/>
              </w:rPr>
            </w:pPr>
          </w:p>
        </w:tc>
        <w:tc>
          <w:tcPr>
            <w:tcW w:w="1600" w:type="dxa"/>
            <w:vAlign w:val="bottom"/>
            <w:tcBorders>
              <w:bottom w:val="single" w:sz="8" w:color="2F5DA8"/>
            </w:tcBorders>
            <w:gridSpan w:val="2"/>
          </w:tcPr>
          <w:p>
            <w:pPr>
              <w:spacing w:after="0"/>
              <w:rPr>
                <w:sz w:val="4"/>
                <w:szCs w:val="4"/>
                <w:color w:val="auto"/>
              </w:rPr>
            </w:pPr>
          </w:p>
        </w:tc>
      </w:tr>
      <w:tr>
        <w:trPr>
          <w:trHeight w:val="31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w w:val="98"/>
              </w:rPr>
              <w:t>1,265,925</w:t>
            </w:r>
          </w:p>
        </w:tc>
        <w:tc>
          <w:tcPr>
            <w:tcW w:w="1600" w:type="dxa"/>
            <w:vAlign w:val="bottom"/>
            <w:tcBorders>
              <w:bottom w:val="single" w:sz="8" w:color="auto"/>
            </w:tcBorders>
            <w:gridSpan w:val="2"/>
          </w:tcPr>
          <w:p>
            <w:pPr>
              <w:ind w:left="800"/>
              <w:spacing w:after="0"/>
              <w:rPr>
                <w:sz w:val="20"/>
                <w:szCs w:val="20"/>
                <w:color w:val="auto"/>
              </w:rPr>
            </w:pPr>
            <w:r>
              <w:rPr>
                <w:rFonts w:ascii="Arial" w:cs="Arial" w:eastAsia="Arial" w:hAnsi="Arial"/>
                <w:sz w:val="15"/>
                <w:szCs w:val="15"/>
                <w:color w:val="auto"/>
              </w:rPr>
              <w:t>$1,011,836</w:t>
            </w:r>
          </w:p>
        </w:tc>
      </w:tr>
      <w:tr>
        <w:trPr>
          <w:trHeight w:val="31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rPr>
              <w:t>25,000</w:t>
            </w:r>
          </w:p>
        </w:tc>
        <w:tc>
          <w:tcPr>
            <w:tcW w:w="88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18"/>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(3)</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rPr>
              <w:t>40,085</w:t>
            </w:r>
          </w:p>
        </w:tc>
        <w:tc>
          <w:tcPr>
            <w:tcW w:w="88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81,000</w:t>
            </w:r>
          </w:p>
        </w:tc>
      </w:tr>
      <w:tr>
        <w:trPr>
          <w:trHeight w:val="318"/>
        </w:trPr>
        <w:tc>
          <w:tcPr>
            <w:tcW w:w="3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58"/>
        </w:trPr>
        <w:tc>
          <w:tcPr>
            <w:tcW w:w="3740" w:type="dxa"/>
            <w:vAlign w:val="bottom"/>
          </w:tcPr>
          <w:p>
            <w:pPr>
              <w:ind w:left="60"/>
              <w:spacing w:after="0"/>
              <w:rPr>
                <w:sz w:val="20"/>
                <w:szCs w:val="20"/>
                <w:color w:val="auto"/>
              </w:rPr>
            </w:pPr>
            <w:r>
              <w:rPr>
                <w:rFonts w:ascii="Arial" w:cs="Arial" w:eastAsia="Arial" w:hAnsi="Arial"/>
                <w:sz w:val="15"/>
                <w:szCs w:val="15"/>
                <w:color w:val="auto"/>
              </w:rPr>
              <w:t>Other</w:t>
            </w:r>
          </w:p>
        </w:tc>
        <w:tc>
          <w:tcPr>
            <w:tcW w:w="23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tcPr>
          <w:p>
            <w:pPr>
              <w:ind w:left="8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0"/>
        </w:trPr>
        <w:tc>
          <w:tcPr>
            <w:tcW w:w="37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71"/>
        </w:trPr>
        <w:tc>
          <w:tcPr>
            <w:tcW w:w="3740" w:type="dxa"/>
            <w:vAlign w:val="bottom"/>
            <w:tcBorders>
              <w:bottom w:val="single" w:sz="8" w:color="2F5DA8"/>
            </w:tcBorders>
          </w:tcPr>
          <w:p>
            <w:pPr>
              <w:ind w:left="60"/>
              <w:spacing w:after="0"/>
              <w:rPr>
                <w:sz w:val="20"/>
                <w:szCs w:val="20"/>
                <w:color w:val="auto"/>
              </w:rPr>
            </w:pPr>
            <w:r>
              <w:rPr>
                <w:rFonts w:ascii="Arial" w:cs="Arial" w:eastAsia="Arial" w:hAnsi="Arial"/>
                <w:sz w:val="15"/>
                <w:szCs w:val="15"/>
                <w:color w:val="auto"/>
              </w:rPr>
              <w:t>Total</w:t>
            </w:r>
          </w:p>
        </w:tc>
        <w:tc>
          <w:tcPr>
            <w:tcW w:w="230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2F5DA8"/>
            </w:tcBorders>
          </w:tcPr>
          <w:p>
            <w:pPr>
              <w:jc w:val="right"/>
              <w:ind w:right="704"/>
              <w:spacing w:after="0"/>
              <w:rPr>
                <w:sz w:val="20"/>
                <w:szCs w:val="20"/>
                <w:color w:val="auto"/>
              </w:rPr>
            </w:pPr>
            <w:r>
              <w:rPr>
                <w:rFonts w:ascii="Arial" w:cs="Arial" w:eastAsia="Arial" w:hAnsi="Arial"/>
                <w:sz w:val="15"/>
                <w:szCs w:val="15"/>
                <w:color w:val="auto"/>
                <w:w w:val="98"/>
              </w:rPr>
              <w:t>1,331,010</w:t>
            </w:r>
          </w:p>
        </w:tc>
        <w:tc>
          <w:tcPr>
            <w:tcW w:w="880" w:type="dxa"/>
            <w:vAlign w:val="bottom"/>
            <w:tcBorders>
              <w:bottom w:val="single" w:sz="8" w:color="2F5DA8"/>
            </w:tcBorders>
          </w:tcPr>
          <w:p>
            <w:pPr>
              <w:ind w:left="80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2F5DA8"/>
            </w:tcBorders>
          </w:tcPr>
          <w:p>
            <w:pPr>
              <w:jc w:val="right"/>
              <w:spacing w:after="0"/>
              <w:rPr>
                <w:sz w:val="20"/>
                <w:szCs w:val="20"/>
                <w:color w:val="auto"/>
              </w:rPr>
            </w:pPr>
            <w:r>
              <w:rPr>
                <w:rFonts w:ascii="Arial" w:cs="Arial" w:eastAsia="Arial" w:hAnsi="Arial"/>
                <w:sz w:val="15"/>
                <w:szCs w:val="15"/>
                <w:color w:val="auto"/>
                <w:w w:val="98"/>
              </w:rPr>
              <w:t>1,092,836</w:t>
            </w:r>
          </w:p>
        </w:tc>
      </w:tr>
    </w:tbl>
    <w:p>
      <w:pPr>
        <w:spacing w:after="0" w:line="136" w:lineRule="exact"/>
        <w:rPr>
          <w:sz w:val="20"/>
          <w:szCs w:val="20"/>
          <w:color w:val="auto"/>
        </w:rPr>
      </w:pPr>
    </w:p>
    <w:p>
      <w:pPr>
        <w:ind w:left="360" w:right="300" w:hanging="358"/>
        <w:spacing w:after="0" w:line="259" w:lineRule="auto"/>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5" w:lineRule="exact"/>
        <w:rPr>
          <w:rFonts w:ascii="Arial" w:cs="Arial" w:eastAsia="Arial" w:hAnsi="Arial"/>
          <w:sz w:val="13"/>
          <w:szCs w:val="13"/>
          <w:color w:val="auto"/>
        </w:rPr>
      </w:pPr>
    </w:p>
    <w:p>
      <w:pPr>
        <w:ind w:left="360" w:hanging="358"/>
        <w:spacing w:after="0"/>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Audit-related fees consist of fees related to the filing of a registration statement on Form S-3.</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Tax fees consists of fees for tax consulting services.</w:t>
      </w:r>
    </w:p>
    <w:p>
      <w:pPr>
        <w:spacing w:after="0" w:line="106"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Deloitte &amp; Touche LLP’s independence.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F5DA8"/>
        </w:rPr>
        <w:t>OTHER MATTERS</w:t>
      </w:r>
    </w:p>
    <w:p>
      <w:pPr>
        <w:spacing w:after="0" w:line="134"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Our management does not know of any other matters to come before the 2022 Annual Meeting. However, if any other matters come before the Annual Meeting, it is the intention of the persons designated as proxies to vote in accordance with their judgment on such matters.</w:t>
      </w:r>
    </w:p>
    <w:p>
      <w:pPr>
        <w:spacing w:after="0" w:line="128" w:lineRule="exact"/>
        <w:rPr>
          <w:sz w:val="20"/>
          <w:szCs w:val="20"/>
          <w:color w:val="auto"/>
        </w:rPr>
      </w:pPr>
    </w:p>
    <w:p>
      <w:pPr>
        <w:ind w:left="220" w:right="700"/>
        <w:spacing w:after="0" w:line="298" w:lineRule="auto"/>
        <w:rPr>
          <w:sz w:val="20"/>
          <w:szCs w:val="20"/>
          <w:color w:val="auto"/>
        </w:rPr>
      </w:pPr>
      <w:r>
        <w:rPr>
          <w:rFonts w:ascii="Arial" w:cs="Arial" w:eastAsia="Arial" w:hAnsi="Arial"/>
          <w:sz w:val="32"/>
          <w:szCs w:val="32"/>
          <w:b w:val="1"/>
          <w:bCs w:val="1"/>
          <w:color w:val="2F5DA8"/>
        </w:rPr>
        <w:t>SHAREHOLDER PROPOSALS FOR THE 2023 ANNUAL MEETING</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Proposals for the Company’s Proxy Material</w:t>
      </w:r>
    </w:p>
    <w:p>
      <w:pPr>
        <w:spacing w:after="0" w:line="128" w:lineRule="exact"/>
        <w:rPr>
          <w:sz w:val="20"/>
          <w:szCs w:val="20"/>
          <w:color w:val="auto"/>
        </w:rPr>
      </w:pPr>
    </w:p>
    <w:p>
      <w:pPr>
        <w:jc w:val="both"/>
        <w:ind w:left="220" w:right="400"/>
        <w:spacing w:after="0" w:line="259" w:lineRule="auto"/>
        <w:rPr>
          <w:sz w:val="20"/>
          <w:szCs w:val="20"/>
          <w:color w:val="auto"/>
        </w:rPr>
      </w:pPr>
      <w:r>
        <w:rPr>
          <w:rFonts w:ascii="Arial" w:cs="Arial" w:eastAsia="Arial" w:hAnsi="Arial"/>
          <w:sz w:val="16"/>
          <w:szCs w:val="16"/>
          <w:color w:val="auto"/>
        </w:rPr>
        <w:t>Any Company shareholder who wishes to submit a proposal to be included in the Proxy Material for the Company’s 2023 Annual Meeting of Shareholders must submit such proposal to the Company at its office at 495 Commerce Drive, Suite 3, Amherst, New York 14228, Attention: Secretary, no later than December 7, 2022, in order to be considered for inclusion, if appropriate, in the Company’s proxy statement and form of proxy relating to its 2023 Annual Meeting of Shareholders.</w:t>
      </w:r>
    </w:p>
    <w:p>
      <w:pPr>
        <w:spacing w:after="0" w:line="167" w:lineRule="exact"/>
        <w:rPr>
          <w:sz w:val="20"/>
          <w:szCs w:val="20"/>
          <w:color w:val="auto"/>
        </w:rPr>
      </w:pPr>
    </w:p>
    <w:p>
      <w:pPr>
        <w:ind w:left="220" w:right="440"/>
        <w:spacing w:after="0" w:line="297" w:lineRule="auto"/>
        <w:rPr>
          <w:sz w:val="20"/>
          <w:szCs w:val="20"/>
          <w:color w:val="auto"/>
        </w:rPr>
      </w:pPr>
      <w:r>
        <w:rPr>
          <w:rFonts w:ascii="Arial" w:cs="Arial" w:eastAsia="Arial" w:hAnsi="Arial"/>
          <w:sz w:val="25"/>
          <w:szCs w:val="25"/>
          <w:b w:val="1"/>
          <w:bCs w:val="1"/>
          <w:color w:val="2F5DA8"/>
        </w:rPr>
        <w:t>Proposals to be Introduced at the Annual Meeting but not Intended to be Included in the Company’s Proxy Material</w:t>
      </w:r>
    </w:p>
    <w:p>
      <w:pPr>
        <w:spacing w:after="0" w:line="1"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color w:val="auto"/>
        </w:rPr>
        <w:t>For any shareholder proposal to be presented in connection with the 2023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77" w:lineRule="exact"/>
        <w:rPr>
          <w:sz w:val="20"/>
          <w:szCs w:val="20"/>
          <w:color w:val="auto"/>
        </w:rPr>
      </w:pPr>
    </w:p>
    <w:p>
      <w:pPr>
        <w:ind w:left="220" w:right="120"/>
        <w:spacing w:after="0" w:line="266" w:lineRule="auto"/>
        <w:rPr>
          <w:sz w:val="20"/>
          <w:szCs w:val="20"/>
          <w:color w:val="auto"/>
        </w:rPr>
      </w:pPr>
      <w:r>
        <w:rPr>
          <w:rFonts w:ascii="Arial" w:cs="Arial" w:eastAsia="Arial" w:hAnsi="Arial"/>
          <w:sz w:val="16"/>
          <w:szCs w:val="16"/>
          <w:color w:val="auto"/>
        </w:rPr>
        <w:t>Based upon a meeting date of May 4, 2022 for the 2022 Annual Meeting of Shareholders, a qualified shareholder intending to introduce a proposal or nominate a director at the 2023 Annual Meeting of Shareholders should give written notice to the Company’s Secretary not later than March 5, 2023 and not earlier than February 3, 2023.</w:t>
      </w:r>
    </w:p>
    <w:p>
      <w:pPr>
        <w:spacing w:after="0" w:line="63" w:lineRule="exact"/>
        <w:rPr>
          <w:sz w:val="20"/>
          <w:szCs w:val="20"/>
          <w:color w:val="auto"/>
        </w:rPr>
      </w:pPr>
    </w:p>
    <w:p>
      <w:pPr>
        <w:ind w:left="220" w:right="120"/>
        <w:spacing w:after="0" w:line="286" w:lineRule="auto"/>
        <w:rPr>
          <w:sz w:val="20"/>
          <w:szCs w:val="20"/>
          <w:color w:val="auto"/>
        </w:rPr>
      </w:pPr>
      <w:r>
        <w:rPr>
          <w:rFonts w:ascii="Arial" w:cs="Arial" w:eastAsia="Arial" w:hAnsi="Arial"/>
          <w:sz w:val="16"/>
          <w:szCs w:val="16"/>
          <w:color w:val="auto"/>
        </w:rPr>
        <w:t>The specific requirements of these advance notice and eligibility provisions are set forth in Article II of the Company’s Bylaws, a copy of which is available upon request.</w:t>
      </w:r>
    </w:p>
    <w:p>
      <w:pPr>
        <w:spacing w:after="0" w:line="48" w:lineRule="exact"/>
        <w:rPr>
          <w:sz w:val="20"/>
          <w:szCs w:val="20"/>
          <w:color w:val="auto"/>
        </w:rPr>
      </w:pPr>
    </w:p>
    <w:p>
      <w:pPr>
        <w:ind w:left="220" w:right="180"/>
        <w:spacing w:after="0" w:line="286" w:lineRule="auto"/>
        <w:rPr>
          <w:sz w:val="20"/>
          <w:szCs w:val="20"/>
          <w:color w:val="auto"/>
        </w:rPr>
      </w:pPr>
      <w:r>
        <w:rPr>
          <w:rFonts w:ascii="Arial" w:cs="Arial" w:eastAsia="Arial" w:hAnsi="Arial"/>
          <w:sz w:val="16"/>
          <w:szCs w:val="16"/>
          <w:color w:val="auto"/>
        </w:rPr>
        <w:t>Such requests and any shareholder proposals should be sent to the Secretary of the Company at Allied Motion Technologies Inc., 495 Commerce Drive, Suite 3, Amherst, New York 14228.</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F5DA8"/>
        </w:rPr>
        <w:t>Compliance with Universal Proxy Rules for Director Nominations</w:t>
      </w:r>
    </w:p>
    <w:p>
      <w:pPr>
        <w:spacing w:after="0" w:line="128"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In addition to satisfying the requirements under the Company’s Bylaws, if a shareholder intends to comply with the universal proxy rules (once effective) and to solicit proxies in support of director nominees other than the Company’s nominees, the shareholder must provide notice that sets forth the information required by Rule 14a-19 under the Exchange Act, which notice must be postmarked or transmitted electronically to the Secretary of the Company at Allied Motion Technologies Inc., 495 Commerce Drive, Suite 3, Amherst, New York 14228 no later than 60 calendar days prior to the one-year anniversary date of the annual meeting (for the 2023 annual meeting, no later than March 5, 2023). If the date of the 2023 annual meeting is changed by more than 30 calendar days from such anniversary date, however, then the shareholder must provide notice by the later of 60 calendar days prior to the date of the 2023 annual meeting and the 10th calendar day following the date on which public announcement of the date of the 2023 annual meeting is first made.</w:t>
      </w:r>
    </w:p>
    <w:p>
      <w:pPr>
        <w:spacing w:after="0" w:line="104"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269240</wp:posOffset>
            </wp:positionV>
            <wp:extent cx="1089025" cy="4546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890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JOSEPH P. KUBAREK</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Secretary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April 6, 2022</w:t>
      </w:r>
    </w:p>
    <w:p>
      <w:pPr>
        <w:sectPr>
          <w:pgSz w:w="11900" w:h="16838" w:orient="portrait"/>
          <w:cols w:equalWidth="0" w:num="1">
            <w:col w:w="9320"/>
          </w:cols>
          <w:pgMar w:left="1280" w:top="263" w:right="12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36 </w:t>
      </w:r>
      <w:r>
        <w:rPr>
          <w:rFonts w:ascii="Arial" w:cs="Arial" w:eastAsia="Arial" w:hAnsi="Arial"/>
          <w:sz w:val="12"/>
          <w:szCs w:val="12"/>
          <w:color w:val="auto"/>
        </w:rPr>
        <w:t>| Allied Motion Technologies Inc.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type w:val="continuous"/>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ALLIED MOTION TECHNOLOGIES INC.</w:t>
      </w:r>
    </w:p>
    <w:p>
      <w:pPr>
        <w:spacing w:after="0" w:line="2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495 Commerce Drive, Suite 3</w:t>
      </w:r>
    </w:p>
    <w:p>
      <w:pPr>
        <w:spacing w:after="0" w:line="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Amherst, New York 14228</w:t>
      </w:r>
    </w:p>
    <w:p>
      <w:pPr>
        <w:spacing w:after="0" w:line="17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THIS PROXY IS SOLICITED ON BEHALF OF THE BOARD OF DIRECTORS</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4, 2022, and at all adjournments thereof, and directs that the shares represented by this proxy should be voted as indicated on the reverse:</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(Continued and to be signed on the reverse side.)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Allied Motion Technologies Inc. | 2022 Proxy Statement | </w:t>
      </w:r>
      <w:r>
        <w:rPr>
          <w:rFonts w:ascii="Arial" w:cs="Arial" w:eastAsia="Arial" w:hAnsi="Arial"/>
          <w:sz w:val="25"/>
          <w:szCs w:val="25"/>
          <w:b w:val="1"/>
          <w:bCs w:val="1"/>
          <w:color w:val="auto"/>
          <w:vertAlign w:val="superscript"/>
        </w:rPr>
        <w:t>A-</w:t>
      </w:r>
    </w:p>
    <w:p>
      <w:pPr>
        <w:jc w:val="right"/>
        <w:spacing w:after="0"/>
        <w:rPr>
          <w:sz w:val="20"/>
          <w:szCs w:val="20"/>
          <w:color w:val="auto"/>
        </w:rPr>
      </w:pP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123190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3" w:right="129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ANNUAL MEETING OF SHAREHOLDERS OF</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ALLIED MOTION TECHNOLOGIES INC.</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MAY 4, 2022</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NOTICE OF INTERNET AVAILABILITY OF PROXY MATERIAL:</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Notice of Meeting, proxy statement and proxy card are available at</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www.proxyvote.com</w:t>
      </w:r>
    </w:p>
    <w:p>
      <w:pPr>
        <w:spacing w:after="0" w:line="178" w:lineRule="exact"/>
        <w:rPr>
          <w:sz w:val="20"/>
          <w:szCs w:val="20"/>
          <w:color w:val="auto"/>
        </w:rPr>
      </w:pPr>
    </w:p>
    <w:p>
      <w:pPr>
        <w:ind w:left="1540" w:right="900" w:hanging="1250"/>
        <w:spacing w:after="0" w:line="286" w:lineRule="auto"/>
        <w:tabs>
          <w:tab w:leader="none" w:pos="152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13335</wp:posOffset>
            </wp:positionV>
            <wp:extent cx="5777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6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55245</wp:posOffset>
            </wp:positionV>
            <wp:extent cx="5777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254"/>
        </w:trPr>
        <w:tc>
          <w:tcPr>
            <w:tcW w:w="940" w:type="dxa"/>
            <w:vAlign w:val="bottom"/>
          </w:tcPr>
          <w:p>
            <w:pPr>
              <w:spacing w:after="0"/>
              <w:rPr>
                <w:sz w:val="22"/>
                <w:szCs w:val="22"/>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R.B. Engel</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5"/>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R.D. Federico</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5"/>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S.C. Finch</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5"/>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J.J. Tanous</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6"/>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N.R. Tzetzo</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5"/>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6"/>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R.S. Warzala</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5"/>
        </w:trPr>
        <w:tc>
          <w:tcPr>
            <w:tcW w:w="940" w:type="dxa"/>
            <w:vAlign w:val="bottom"/>
          </w:tcPr>
          <w:p>
            <w:pPr>
              <w:spacing w:after="0"/>
              <w:rPr>
                <w:sz w:val="23"/>
                <w:szCs w:val="23"/>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M.R. Winter</w:t>
            </w: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8160" w:type="dxa"/>
            <w:vAlign w:val="bottom"/>
            <w:tcBorders>
              <w:bottom w:val="single" w:sz="8" w:color="808080"/>
            </w:tcBorders>
            <w:gridSpan w:val="5"/>
          </w:tcPr>
          <w:p>
            <w:pPr>
              <w:spacing w:after="0"/>
              <w:rPr>
                <w:sz w:val="4"/>
                <w:szCs w:val="4"/>
                <w:color w:val="auto"/>
              </w:rPr>
            </w:pPr>
          </w:p>
        </w:tc>
      </w:tr>
      <w:tr>
        <w:trPr>
          <w:trHeight w:val="318"/>
        </w:trPr>
        <w:tc>
          <w:tcPr>
            <w:tcW w:w="9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r>
        <w:trPr>
          <w:trHeight w:val="261"/>
        </w:trPr>
        <w:tc>
          <w:tcPr>
            <w:tcW w:w="940" w:type="dxa"/>
            <w:vAlign w:val="bottom"/>
          </w:tcPr>
          <w:p>
            <w:pPr>
              <w:ind w:left="60"/>
              <w:spacing w:after="0"/>
              <w:rPr>
                <w:sz w:val="20"/>
                <w:szCs w:val="20"/>
                <w:color w:val="auto"/>
              </w:rPr>
            </w:pPr>
            <w:r>
              <w:rPr>
                <w:rFonts w:ascii="Arial" w:cs="Arial" w:eastAsia="Arial" w:hAnsi="Arial"/>
                <w:sz w:val="16"/>
                <w:szCs w:val="16"/>
                <w:color w:val="auto"/>
              </w:rPr>
              <w:t>Item 2.</w:t>
            </w:r>
          </w:p>
        </w:tc>
        <w:tc>
          <w:tcPr>
            <w:tcW w:w="8160" w:type="dxa"/>
            <w:vAlign w:val="bottom"/>
            <w:gridSpan w:val="5"/>
          </w:tcPr>
          <w:p>
            <w:pPr>
              <w:ind w:left="380"/>
              <w:spacing w:after="0"/>
              <w:rPr>
                <w:sz w:val="20"/>
                <w:szCs w:val="20"/>
                <w:color w:val="auto"/>
              </w:rPr>
            </w:pPr>
            <w:r>
              <w:rPr>
                <w:rFonts w:ascii="Arial" w:cs="Arial" w:eastAsia="Arial" w:hAnsi="Arial"/>
                <w:sz w:val="16"/>
                <w:szCs w:val="16"/>
                <w:color w:val="auto"/>
              </w:rPr>
              <w:t>ADVISORY VOTE TO APPROVE THE COMPENSATION OF OUR NAMED EXECUTIVE OFFICERS.</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r>
        <w:trPr>
          <w:trHeight w:val="275"/>
        </w:trPr>
        <w:tc>
          <w:tcPr>
            <w:tcW w:w="9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60" w:type="dxa"/>
            <w:vAlign w:val="bottom"/>
          </w:tcPr>
          <w:p>
            <w:pPr>
              <w:ind w:left="80"/>
              <w:spacing w:after="0"/>
              <w:rPr>
                <w:sz w:val="20"/>
                <w:szCs w:val="20"/>
                <w:color w:val="auto"/>
              </w:rPr>
            </w:pPr>
            <w:r>
              <w:rPr>
                <w:rFonts w:ascii="Arial" w:cs="Arial" w:eastAsia="Arial" w:hAnsi="Arial"/>
                <w:sz w:val="16"/>
                <w:szCs w:val="16"/>
                <w:color w:val="auto"/>
              </w:rPr>
              <w:t>FOR</w:t>
            </w:r>
          </w:p>
        </w:tc>
        <w:tc>
          <w:tcPr>
            <w:tcW w:w="186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AGAINST</w:t>
            </w:r>
          </w:p>
        </w:tc>
        <w:tc>
          <w:tcPr>
            <w:tcW w:w="30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ABSTAIN</w:t>
            </w:r>
          </w:p>
        </w:tc>
      </w:tr>
      <w:tr>
        <w:trPr>
          <w:trHeight w:val="56"/>
        </w:trPr>
        <w:tc>
          <w:tcPr>
            <w:tcW w:w="94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3040" w:type="dxa"/>
            <w:vAlign w:val="bottom"/>
            <w:tcBorders>
              <w:bottom w:val="single" w:sz="8" w:color="80808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205740</wp:posOffset>
            </wp:positionV>
            <wp:extent cx="57778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371" w:lineRule="exact"/>
        <w:rPr>
          <w:sz w:val="20"/>
          <w:szCs w:val="20"/>
          <w:color w:val="auto"/>
        </w:rPr>
      </w:pPr>
    </w:p>
    <w:p>
      <w:pPr>
        <w:ind w:left="1540" w:right="220" w:hanging="1250"/>
        <w:spacing w:after="0" w:line="286" w:lineRule="auto"/>
        <w:tabs>
          <w:tab w:leader="none" w:pos="152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RATIFICATION OF THE APPOINTMENT OF THE COMPANY’S INDEPENDENT PUBLIC ACCOUNTING FIRM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13335</wp:posOffset>
            </wp:positionV>
            <wp:extent cx="5777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42" w:lineRule="exact"/>
        <w:rPr>
          <w:sz w:val="20"/>
          <w:szCs w:val="20"/>
          <w:color w:val="auto"/>
        </w:rPr>
      </w:pPr>
    </w:p>
    <w:p>
      <w:pPr>
        <w:ind w:left="3240"/>
        <w:spacing w:after="0" w:line="184" w:lineRule="exact"/>
        <w:tabs>
          <w:tab w:leader="none" w:pos="3520" w:val="left"/>
          <w:tab w:leader="none" w:pos="4920" w:val="left"/>
          <w:tab w:leader="none" w:pos="658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ab/>
        <w:t>FOR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53975</wp:posOffset>
            </wp:positionV>
            <wp:extent cx="5777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73" w:lineRule="exact"/>
        <w:rPr>
          <w:sz w:val="20"/>
          <w:szCs w:val="20"/>
          <w:color w:val="auto"/>
        </w:rPr>
      </w:pPr>
    </w:p>
    <w:p>
      <w:pPr>
        <w:ind w:left="220" w:right="60"/>
        <w:spacing w:after="0" w:line="259" w:lineRule="auto"/>
        <w:rPr>
          <w:sz w:val="20"/>
          <w:szCs w:val="20"/>
          <w:color w:val="auto"/>
        </w:rPr>
      </w:pPr>
      <w:r>
        <w:rPr>
          <w:rFonts w:ascii="Arial" w:cs="Arial" w:eastAsia="Arial" w:hAnsi="Arial"/>
          <w:sz w:val="16"/>
          <w:szCs w:val="16"/>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proposal 1 and FOR proposals 2 and 3. In their discretion, the proxies are authorized to vote upon such other business as may properly come before the Annual Meeting.</w:t>
      </w:r>
    </w:p>
    <w:p>
      <w:pPr>
        <w:spacing w:after="0" w:line="70" w:lineRule="exact"/>
        <w:rPr>
          <w:sz w:val="20"/>
          <w:szCs w:val="20"/>
          <w:color w:val="auto"/>
        </w:rPr>
      </w:pPr>
    </w:p>
    <w:p>
      <w:pPr>
        <w:jc w:val="both"/>
        <w:ind w:left="220" w:right="260"/>
        <w:spacing w:after="0" w:line="266" w:lineRule="auto"/>
        <w:rPr>
          <w:sz w:val="20"/>
          <w:szCs w:val="20"/>
          <w:color w:val="auto"/>
        </w:rPr>
      </w:pPr>
      <w:r>
        <w:rPr>
          <w:rFonts w:ascii="Arial" w:cs="Arial" w:eastAsia="Arial" w:hAnsi="Arial"/>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254635</wp:posOffset>
            </wp:positionV>
            <wp:extent cx="57518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4800" w:val="left"/>
          <w:tab w:leader="none" w:pos="5440" w:val="left"/>
          <w:tab w:leader="none" w:pos="8880" w:val="left"/>
        </w:tabs>
        <w:rPr>
          <w:sz w:val="20"/>
          <w:szCs w:val="20"/>
          <w:color w:val="auto"/>
        </w:rPr>
      </w:pPr>
      <w:r>
        <w:rPr>
          <w:rFonts w:ascii="Arial" w:cs="Arial" w:eastAsia="Arial" w:hAnsi="Arial"/>
          <w:sz w:val="16"/>
          <w:szCs w:val="16"/>
          <w:color w:val="auto"/>
        </w:rPr>
        <w:t>Signature (PLEASE SIGN WITHIN BOX)</w:t>
      </w:r>
      <w:r>
        <w:rPr>
          <w:sz w:val="20"/>
          <w:szCs w:val="20"/>
          <w:color w:val="auto"/>
        </w:rPr>
        <w:tab/>
      </w:r>
      <w:r>
        <w:rPr>
          <w:rFonts w:ascii="Arial" w:cs="Arial" w:eastAsia="Arial" w:hAnsi="Arial"/>
          <w:sz w:val="16"/>
          <w:szCs w:val="16"/>
          <w:color w:val="auto"/>
        </w:rPr>
        <w:t>Date:</w:t>
        <w:tab/>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29210</wp:posOffset>
            </wp:positionV>
            <wp:extent cx="5777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A-2</w:t>
      </w:r>
      <w:r>
        <w:rPr>
          <w:rFonts w:ascii="Arial" w:cs="Arial" w:eastAsia="Arial" w:hAnsi="Arial"/>
          <w:sz w:val="13"/>
          <w:szCs w:val="13"/>
          <w:color w:val="auto"/>
        </w:rPr>
        <w:t>| Allied Motion Technologies Inc. | 2022 Proxy Statement</w:t>
      </w:r>
    </w:p>
    <w:sectPr>
      <w:pgSz w:w="11900" w:h="16838" w:orient="portrait"/>
      <w:cols w:equalWidth="0" w:num="1">
        <w:col w:w="9320"/>
      </w:cols>
      <w:pgMar w:left="1280" w:top="26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Roman"/>
      <w:start w:val="2"/>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lvl w:ilvl="1">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1)"/>
      <w:numFmt w:val="lowerRoman"/>
      <w:start w:val="2"/>
    </w:lvl>
    <w:lvl w:ilvl="1">
      <w:lvlJc w:val="left"/>
      <w:lvlText w:val="(%2)"/>
      <w:numFmt w:val="lowerRoman"/>
      <w:start w:val="1"/>
    </w:lvl>
  </w:abstractNum>
  <w:abstractNum w:abstractNumId="17">
    <w:nsid w:val="8138641"/>
    <w:multiLevelType w:val="hybridMultilevel"/>
    <w:lvl w:ilvl="0">
      <w:lvlJc w:val="left"/>
      <w:lvlText w:val="(%1)"/>
      <w:numFmt w:val="lowerRoman"/>
      <w:start w:val="3"/>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4"/>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Roman"/>
      <w:start w:val="2"/>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lowerRoman"/>
      <w:start w:val="4"/>
    </w:lvl>
  </w:abstractNum>
  <w:abstractNum w:abstractNumId="32">
    <w:nsid w:val="7724C67E"/>
    <w:multiLevelType w:val="hybridMultilevel"/>
    <w:lvl w:ilvl="0">
      <w:lvlJc w:val="left"/>
      <w:lvlText w:val="(%1)"/>
      <w:numFmt w:val="lowerRoman"/>
      <w:start w:val="4"/>
    </w:lvl>
  </w:abstractNum>
  <w:abstractNum w:abstractNumId="33">
    <w:nsid w:val="5C482A97"/>
    <w:multiLevelType w:val="hybridMultilevel"/>
    <w:lvl w:ilvl="0">
      <w:lvlJc w:val="left"/>
      <w:lvlText w:val="(%1)"/>
      <w:numFmt w:val="lowerRoman"/>
      <w:start w:val="3"/>
    </w:lvl>
  </w:abstractNum>
  <w:abstractNum w:abstractNumId="34">
    <w:nsid w:val="2463B9EA"/>
    <w:multiLevelType w:val="hybridMultilevel"/>
    <w:lvl w:ilvl="0">
      <w:lvlJc w:val="left"/>
      <w:lvlText w:val="(%1)"/>
      <w:numFmt w:val="lowerRoman"/>
      <w:start w:val="6"/>
    </w:lvl>
  </w:abstractNum>
  <w:abstractNum w:abstractNumId="35">
    <w:nsid w:val="5E884ADC"/>
    <w:multiLevelType w:val="hybridMultilevel"/>
    <w:lvl w:ilvl="0">
      <w:lvlJc w:val="left"/>
      <w:lvlText w:val="(%1)"/>
      <w:numFmt w:val="lowerRoman"/>
      <w:start w:val="8"/>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7"/>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2022-04-06T08:03:04Z</dcterms:created>
  <dcterms:modified xsi:type="dcterms:W3CDTF">2022-04-06T08:03:04Z</dcterms:modified>
</cp:coreProperties>
</file>