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4" w:lineRule="exact"/>
        <w:rPr>
          <w:rFonts w:ascii="Arial" w:cs="Arial" w:eastAsia="Arial" w:hAnsi="Arial"/>
          <w:sz w:val="18"/>
          <w:szCs w:val="18"/>
          <w:color w:val="auto"/>
        </w:rPr>
      </w:pPr>
    </w:p>
    <w:p>
      <w:pPr>
        <w:ind w:left="1100" w:right="6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-305435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-588010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-871220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-1154430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-1840230</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-2123440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-2406015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-2826385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-3109595</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152400</wp:posOffset>
            </wp:positionV>
            <wp:extent cx="284734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734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2, 2018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ectPr>
          <w:pgSz w:w="11900" w:h="16838" w:orient="portrait"/>
          <w:cols w:equalWidth="0" w:num="1">
            <w:col w:w="11380"/>
          </w:cols>
          <w:pgMar w:left="240" w:top="233" w:right="279" w:bottom="0" w:gutter="0" w:footer="0" w:header="0"/>
        </w:sectPr>
      </w:pPr>
    </w:p>
    <w:bookmarkStart w:id="1" w:name="page2"/>
    <w:bookmarkEnd w:id="1"/>
    <w:p>
      <w:pPr>
        <w:ind w:right="200" w:firstLine="648"/>
        <w:spacing w:after="0" w:line="264" w:lineRule="auto"/>
        <w:rPr>
          <w:sz w:val="20"/>
          <w:szCs w:val="20"/>
          <w:color w:val="auto"/>
        </w:rPr>
      </w:pPr>
      <w:r>
        <w:rPr>
          <w:rFonts w:ascii="Arial" w:cs="Arial" w:eastAsia="Arial" w:hAnsi="Arial"/>
          <w:sz w:val="18"/>
          <w:szCs w:val="18"/>
          <w:color w:val="auto"/>
        </w:rPr>
        <w:t>You are hereby notified that the 2018 Annual Meeting of Shareholders of Allied Motion Technologies Inc. (the “Company”) will be held on Wednesday, May 2, 2018 at 2:00 p.m. (Eastern Time) at the Company’s offices, 495 Commerce Drive, Suite 3, Amherst, New York 14228. At this meeting, the shareholders will be asked to act on the following matters:</w:t>
      </w:r>
    </w:p>
    <w:p>
      <w:pPr>
        <w:spacing w:after="0" w:line="18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an advisory approval of the compensation of our named executive officers;</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EKS&amp;H LLP (“EKS&amp;H”) as the Company’s independent registered public accounting firm for the 2018 fiscal year;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2018 Annual Meeting or any adjournment thereof.</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13, 2018 are entitled to notice of and to vote at the 2018 Annual Meeting and any adjournment thereof.</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2018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1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144907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2018</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This Proxy Statement and the Company’s Annual Report are available on the Internet at https://materials.proxyvote.com/019330.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6"/>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QUESTIONS AND ANSWERS ABOUT THE 2018 ANNUAL MEETING</w:t>
              </w:r>
            </w:hyperlink>
          </w:p>
        </w:tc>
        <w:tc>
          <w:tcPr>
            <w:tcW w:w="4720" w:type="dxa"/>
            <w:vAlign w:val="bottom"/>
            <w:gridSpan w:val="2"/>
            <w:vMerge w:val="restart"/>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680" w:type="dxa"/>
            <w:vAlign w:val="bottom"/>
            <w:tcBorders>
              <w:bottom w:val="single" w:sz="8" w:color="0000EE"/>
            </w:tcBorders>
            <w:gridSpan w:val="26"/>
            <w:vMerge w:val="continue"/>
          </w:tcPr>
          <w:p>
            <w:pPr>
              <w:spacing w:after="0"/>
              <w:rPr>
                <w:sz w:val="13"/>
                <w:szCs w:val="13"/>
                <w:color w:val="auto"/>
              </w:rPr>
            </w:pPr>
          </w:p>
        </w:tc>
        <w:tc>
          <w:tcPr>
            <w:tcW w:w="4720" w:type="dxa"/>
            <w:vAlign w:val="bottom"/>
            <w:gridSpan w:val="2"/>
            <w:vMerge w:val="continue"/>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400" w:type="dxa"/>
            <w:vAlign w:val="bottom"/>
            <w:gridSpan w:val="2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CORPORATE GOVERNANCE AND BOARD MATTERS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Director Qualifications and Biographical Information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12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Independent Directors</w:t>
              </w:r>
            </w:hyperlink>
          </w:p>
        </w:tc>
        <w:tc>
          <w:tcPr>
            <w:tcW w:w="5500" w:type="dxa"/>
            <w:vAlign w:val="bottom"/>
            <w:gridSpan w:val="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Board Leadership Structure</w:t>
              </w:r>
            </w:hyperlink>
          </w:p>
        </w:tc>
        <w:tc>
          <w:tcPr>
            <w:tcW w:w="7440" w:type="dxa"/>
            <w:vAlign w:val="bottom"/>
            <w:gridSpan w:val="20"/>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4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Shareholder Communication With the Board</w:t>
              </w:r>
            </w:hyperlink>
          </w:p>
        </w:tc>
        <w:tc>
          <w:tcPr>
            <w:tcW w:w="6140" w:type="dxa"/>
            <w:vAlign w:val="bottom"/>
            <w:gridSpan w:val="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Committees and Meeting Data</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Board Oversight of Risk Management</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Nominating Procedures</w:t>
              </w:r>
            </w:hyperlink>
          </w:p>
        </w:tc>
        <w:tc>
          <w:tcPr>
            <w:tcW w:w="1100" w:type="dxa"/>
            <w:vAlign w:val="bottom"/>
            <w:tcBorders>
              <w:top w:val="single" w:sz="8" w:color="0000EE"/>
            </w:tcBorders>
            <w:gridSpan w:val="9"/>
          </w:tcPr>
          <w:p>
            <w:pPr>
              <w:spacing w:after="0"/>
              <w:rPr>
                <w:sz w:val="17"/>
                <w:szCs w:val="17"/>
                <w:color w:val="auto"/>
              </w:rPr>
            </w:pPr>
          </w:p>
        </w:tc>
        <w:tc>
          <w:tcPr>
            <w:tcW w:w="6700" w:type="dxa"/>
            <w:vAlign w:val="bottom"/>
            <w:gridSpan w:val="1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Board Attendance at Meetings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Compensation Committee Interlocks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2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Compensation of Directors</w:t>
              </w:r>
            </w:hyperlink>
          </w:p>
        </w:tc>
        <w:tc>
          <w:tcPr>
            <w:tcW w:w="6800" w:type="dxa"/>
            <w:vAlign w:val="bottom"/>
            <w:gridSpan w:val="1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PROPOSALS TO BE VOTED ON</w:t>
              </w:r>
            </w:hyperlink>
          </w:p>
        </w:tc>
        <w:tc>
          <w:tcPr>
            <w:tcW w:w="7720" w:type="dxa"/>
            <w:vAlign w:val="bottom"/>
            <w:gridSpan w:val="2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Proposal 1 – Election of Directors</w:t>
              </w:r>
            </w:hyperlink>
          </w:p>
        </w:tc>
        <w:tc>
          <w:tcPr>
            <w:tcW w:w="7040" w:type="dxa"/>
            <w:vAlign w:val="bottom"/>
            <w:gridSpan w:val="17"/>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2 – Advisory Vote on Executive Compensation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52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Proposal 3 – Advisory Vote on the Ratification of Independent Registered Public Accounting Firm</w:t>
              </w:r>
            </w:hyperlink>
          </w:p>
        </w:tc>
        <w:tc>
          <w:tcPr>
            <w:tcW w:w="210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EXECUTIVE OFFICERS</w:t>
              </w:r>
            </w:hyperlink>
          </w:p>
        </w:tc>
        <w:tc>
          <w:tcPr>
            <w:tcW w:w="8360" w:type="dxa"/>
            <w:vAlign w:val="bottom"/>
            <w:gridSpan w:val="2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COMPENSATION OF EXECUTIVE OFFICERS</w:t>
              </w:r>
            </w:hyperlink>
          </w:p>
        </w:tc>
        <w:tc>
          <w:tcPr>
            <w:tcW w:w="6540" w:type="dxa"/>
            <w:vAlign w:val="bottom"/>
            <w:gridSpan w:val="1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0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7"/>
              </w:rPr>
            </w:pPr>
            <w:hyperlink w:anchor="page10">
              <w:r>
                <w:rPr>
                  <w:rFonts w:ascii="Arial" w:cs="Arial" w:eastAsia="Arial" w:hAnsi="Arial"/>
                  <w:sz w:val="18"/>
                  <w:szCs w:val="18"/>
                  <w:b w:val="1"/>
                  <w:bCs w:val="1"/>
                  <w:color w:val="0000EE"/>
                  <w:w w:val="87"/>
                </w:rPr>
                <w:t>Compensation Discussion and Analysis</w:t>
              </w:r>
            </w:hyperlink>
          </w:p>
        </w:tc>
        <w:tc>
          <w:tcPr>
            <w:tcW w:w="6620" w:type="dxa"/>
            <w:vAlign w:val="bottom"/>
            <w:gridSpan w:val="13"/>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6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0"/>
              </w:rPr>
            </w:pPr>
            <w:hyperlink w:anchor="page13">
              <w:r>
                <w:rPr>
                  <w:rFonts w:ascii="Arial" w:cs="Arial" w:eastAsia="Arial" w:hAnsi="Arial"/>
                  <w:sz w:val="18"/>
                  <w:szCs w:val="18"/>
                  <w:b w:val="1"/>
                  <w:bCs w:val="1"/>
                  <w:color w:val="0000EE"/>
                  <w:w w:val="90"/>
                </w:rPr>
                <w:t>Chief Executive Officer Employment Agreement</w:t>
              </w:r>
            </w:hyperlink>
          </w:p>
        </w:tc>
        <w:tc>
          <w:tcPr>
            <w:tcW w:w="5860" w:type="dxa"/>
            <w:vAlign w:val="bottom"/>
            <w:gridSpan w:val="7"/>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Report of the Compensation Committee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Pay Ratio Disclosure</w:t>
              </w:r>
            </w:hyperlink>
          </w:p>
        </w:tc>
        <w:tc>
          <w:tcPr>
            <w:tcW w:w="1460" w:type="dxa"/>
            <w:vAlign w:val="bottom"/>
            <w:tcBorders>
              <w:top w:val="single" w:sz="8" w:color="0000EE"/>
            </w:tcBorders>
            <w:gridSpan w:val="13"/>
          </w:tcPr>
          <w:p>
            <w:pPr>
              <w:spacing w:after="0"/>
              <w:rPr>
                <w:sz w:val="17"/>
                <w:szCs w:val="17"/>
                <w:color w:val="auto"/>
              </w:rPr>
            </w:pPr>
          </w:p>
        </w:tc>
        <w:tc>
          <w:tcPr>
            <w:tcW w:w="6560" w:type="dxa"/>
            <w:vAlign w:val="bottom"/>
            <w:gridSpan w:val="1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Summary Compensation Table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8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9"/>
              </w:rPr>
            </w:pPr>
            <w:hyperlink w:anchor="page15">
              <w:r>
                <w:rPr>
                  <w:rFonts w:ascii="Arial" w:cs="Arial" w:eastAsia="Arial" w:hAnsi="Arial"/>
                  <w:sz w:val="18"/>
                  <w:szCs w:val="18"/>
                  <w:b w:val="1"/>
                  <w:bCs w:val="1"/>
                  <w:color w:val="0000EE"/>
                  <w:w w:val="89"/>
                </w:rPr>
                <w:t>Grants of Plan-Based Awards in 2017</w:t>
              </w:r>
            </w:hyperlink>
          </w:p>
        </w:tc>
        <w:tc>
          <w:tcPr>
            <w:tcW w:w="6740" w:type="dxa"/>
            <w:vAlign w:val="bottom"/>
            <w:gridSpan w:val="1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2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0"/>
              </w:rPr>
            </w:pPr>
            <w:hyperlink w:anchor="page16">
              <w:r>
                <w:rPr>
                  <w:rFonts w:ascii="Arial" w:cs="Arial" w:eastAsia="Arial" w:hAnsi="Arial"/>
                  <w:sz w:val="18"/>
                  <w:szCs w:val="18"/>
                  <w:b w:val="1"/>
                  <w:bCs w:val="1"/>
                  <w:color w:val="0000EE"/>
                  <w:w w:val="90"/>
                </w:rPr>
                <w:t>Outstanding Equity Awards at 2017 Fiscal Year End</w:t>
              </w:r>
            </w:hyperlink>
          </w:p>
        </w:tc>
        <w:tc>
          <w:tcPr>
            <w:tcW w:w="5600" w:type="dxa"/>
            <w:vAlign w:val="bottom"/>
            <w:gridSpan w:val="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7"/>
              </w:rPr>
            </w:pPr>
            <w:hyperlink w:anchor="page17">
              <w:r>
                <w:rPr>
                  <w:rFonts w:ascii="Arial" w:cs="Arial" w:eastAsia="Arial" w:hAnsi="Arial"/>
                  <w:sz w:val="18"/>
                  <w:szCs w:val="18"/>
                  <w:b w:val="1"/>
                  <w:bCs w:val="1"/>
                  <w:color w:val="0000EE"/>
                  <w:w w:val="87"/>
                </w:rPr>
                <w:t>Option Exercises and Stock Vested in 2017</w:t>
              </w:r>
            </w:hyperlink>
          </w:p>
        </w:tc>
        <w:tc>
          <w:tcPr>
            <w:tcW w:w="6360" w:type="dxa"/>
            <w:vAlign w:val="bottom"/>
            <w:gridSpan w:val="10"/>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Potential Payments upon Termination or Change in Control</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8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tcBorders>
            <w:gridSpan w:val="9"/>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8"/>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CERTAIN TRANSACTIONS AND RELATIONSHIPS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tcBorders>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90"/>
              </w:rPr>
            </w:pPr>
            <w:hyperlink w:anchor="page20">
              <w:r>
                <w:rPr>
                  <w:rFonts w:ascii="Arial" w:cs="Arial" w:eastAsia="Arial" w:hAnsi="Arial"/>
                  <w:sz w:val="18"/>
                  <w:szCs w:val="18"/>
                  <w:b w:val="1"/>
                  <w:bCs w:val="1"/>
                  <w:color w:val="0000EE"/>
                  <w:w w:val="90"/>
                </w:rPr>
                <w:t>Change in Control Agreement</w:t>
              </w:r>
            </w:hyperlink>
          </w:p>
        </w:tc>
        <w:tc>
          <w:tcPr>
            <w:tcW w:w="1120" w:type="dxa"/>
            <w:vAlign w:val="bottom"/>
            <w:tcBorders>
              <w:top w:val="single" w:sz="8" w:color="0000EE"/>
            </w:tcBorders>
            <w:gridSpan w:val="9"/>
          </w:tcPr>
          <w:p>
            <w:pPr>
              <w:spacing w:after="0"/>
              <w:rPr>
                <w:sz w:val="17"/>
                <w:szCs w:val="17"/>
                <w:color w:val="auto"/>
              </w:rPr>
            </w:pPr>
          </w:p>
        </w:tc>
        <w:tc>
          <w:tcPr>
            <w:tcW w:w="6160" w:type="dxa"/>
            <w:vAlign w:val="bottom"/>
            <w:gridSpan w:val="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20" w:type="dxa"/>
            <w:vAlign w:val="bottom"/>
            <w:gridSpan w:val="27"/>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Related-Party Transactions Policies and Procedures.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80" w:type="dxa"/>
            <w:vAlign w:val="bottom"/>
            <w:gridSpan w:val="8"/>
            <w:shd w:val="clear" w:color="auto" w:fill="0000EE"/>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8"/>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OWNERSHIP OF COMPANY STOCK</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rPr>
                <w:rFonts w:ascii="Arial" w:cs="Arial" w:eastAsia="Arial" w:hAnsi="Arial"/>
                <w:sz w:val="18"/>
                <w:szCs w:val="18"/>
                <w:b w:val="1"/>
                <w:bCs w:val="1"/>
                <w:color w:val="0000EE"/>
                <w:w w:val="90"/>
              </w:rPr>
            </w:pPr>
            <w:hyperlink w:anchor="page20">
              <w:r>
                <w:rPr>
                  <w:rFonts w:ascii="Arial" w:cs="Arial" w:eastAsia="Arial" w:hAnsi="Arial"/>
                  <w:sz w:val="18"/>
                  <w:szCs w:val="18"/>
                  <w:b w:val="1"/>
                  <w:bCs w:val="1"/>
                  <w:color w:val="0000EE"/>
                  <w:w w:val="90"/>
                </w:rPr>
                <w:t>Security Ownership of Certain Beneficial Owners</w:t>
              </w:r>
            </w:hyperlink>
          </w:p>
        </w:tc>
        <w:tc>
          <w:tcPr>
            <w:tcW w:w="5120" w:type="dxa"/>
            <w:vAlign w:val="bottom"/>
            <w:gridSpan w:val="5"/>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rPr>
                <w:sz w:val="17"/>
                <w:szCs w:val="17"/>
                <w:color w:val="auto"/>
              </w:rPr>
            </w:pPr>
          </w:p>
        </w:tc>
        <w:tc>
          <w:tcPr>
            <w:tcW w:w="38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0"/>
              </w:rPr>
            </w:pPr>
            <w:hyperlink w:anchor="page20">
              <w:r>
                <w:rPr>
                  <w:rFonts w:ascii="Arial" w:cs="Arial" w:eastAsia="Arial" w:hAnsi="Arial"/>
                  <w:sz w:val="18"/>
                  <w:szCs w:val="18"/>
                  <w:b w:val="1"/>
                  <w:bCs w:val="1"/>
                  <w:color w:val="0000EE"/>
                  <w:w w:val="90"/>
                </w:rPr>
                <w:t>Security Ownership of Management and Directors</w:t>
              </w:r>
            </w:hyperlink>
          </w:p>
        </w:tc>
        <w:tc>
          <w:tcPr>
            <w:tcW w:w="506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rPr>
                <w:sz w:val="17"/>
                <w:szCs w:val="17"/>
                <w:color w:val="auto"/>
              </w:rPr>
            </w:pPr>
          </w:p>
        </w:tc>
        <w:tc>
          <w:tcPr>
            <w:tcW w:w="8940" w:type="dxa"/>
            <w:vAlign w:val="bottom"/>
            <w:gridSpan w:val="11"/>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Section 16(a) Beneficial Ownership Reporting Compliance</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7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AUDIT COMMITTEE MATTERS</w:t>
              </w:r>
            </w:hyperlink>
          </w:p>
        </w:tc>
        <w:tc>
          <w:tcPr>
            <w:tcW w:w="700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8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Audit Committee Report</w:t>
              </w:r>
            </w:hyperlink>
          </w:p>
        </w:tc>
        <w:tc>
          <w:tcPr>
            <w:tcW w:w="7020" w:type="dxa"/>
            <w:vAlign w:val="bottom"/>
            <w:gridSpan w:val="9"/>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80" w:type="dxa"/>
            <w:vAlign w:val="bottom"/>
          </w:tcPr>
          <w:p>
            <w:pPr>
              <w:spacing w:after="0"/>
              <w:rPr>
                <w:sz w:val="17"/>
                <w:szCs w:val="17"/>
                <w:color w:val="auto"/>
              </w:rPr>
            </w:pPr>
          </w:p>
        </w:tc>
        <w:tc>
          <w:tcPr>
            <w:tcW w:w="8940" w:type="dxa"/>
            <w:vAlign w:val="bottom"/>
            <w:gridSpan w:val="11"/>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Policy For Pre-Approval of Audit and Permitted Non-Audit Services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80" w:type="dxa"/>
            <w:vAlign w:val="bottom"/>
          </w:tcPr>
          <w:p>
            <w:pPr>
              <w:spacing w:after="0"/>
              <w:rPr>
                <w:sz w:val="17"/>
                <w:szCs w:val="17"/>
                <w:color w:val="auto"/>
              </w:rPr>
            </w:pPr>
          </w:p>
        </w:tc>
        <w:tc>
          <w:tcPr>
            <w:tcW w:w="526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Auditor Fees and Services</w:t>
              </w:r>
            </w:hyperlink>
          </w:p>
        </w:tc>
        <w:tc>
          <w:tcPr>
            <w:tcW w:w="368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OTHER MATTERS</w:t>
              </w:r>
            </w:hyperlink>
          </w:p>
        </w:tc>
        <w:tc>
          <w:tcPr>
            <w:tcW w:w="8140" w:type="dxa"/>
            <w:vAlign w:val="bottom"/>
            <w:gridSpan w:val="10"/>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52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SHAREHOLDER PROPOSALS FOR THE 2019 ANNUAL MEETING</w:t>
              </w:r>
            </w:hyperlink>
          </w:p>
        </w:tc>
        <w:tc>
          <w:tcPr>
            <w:tcW w:w="420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8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Proposals for the Company’s Proxy Material</w:t>
              </w:r>
            </w:hyperlink>
          </w:p>
        </w:tc>
        <w:tc>
          <w:tcPr>
            <w:tcW w:w="5500" w:type="dxa"/>
            <w:vAlign w:val="bottom"/>
            <w:gridSpan w:val="6"/>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80" w:type="dxa"/>
            <w:vAlign w:val="bottom"/>
          </w:tcPr>
          <w:p>
            <w:pPr>
              <w:spacing w:after="0"/>
              <w:rPr>
                <w:sz w:val="17"/>
                <w:szCs w:val="17"/>
                <w:color w:val="auto"/>
              </w:rPr>
            </w:pPr>
          </w:p>
        </w:tc>
        <w:tc>
          <w:tcPr>
            <w:tcW w:w="89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Proposals to be Introduced at the Annual Meeting but not Intended to be Included in the Company’s Proxy Material</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152400</wp:posOffset>
            </wp:positionV>
            <wp:extent cx="2838450" cy="59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84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2018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Wednesday, May 2, 2018, at 2:00 p.m. (Eastern Time) at the Company’s offices, 495 Commerce Drive, Suite 3, Amherst, New York 14228. This proxy statement summarizes the information you need to know to vote by proxy or in person at the Annual Meeting. You do not need to attend the Annual Meeting in person in order to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shareholders of record as of the close of business on Tuesday, March 13, 2018 (the “Record Date”) are entitled to vote at the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9,426,012 shares of Common Stock were issued and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you are considered the shareholder of record with respect to those shares.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 voted at the Annual Meeting in the manner you directed. You may also vote your shares in person at the Annual Meeting. If you are a shareholder of record, you may request a ballot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29"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ectPr>
          <w:pgSz w:w="11900" w:h="16838" w:orient="portrait"/>
          <w:cols w:equalWidth="0" w:num="1">
            <w:col w:w="11420"/>
          </w:cols>
          <w:pgMar w:left="240" w:top="108" w:right="239" w:bottom="4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4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Three). Please ensure that you complete the voting instruction card sent by your bank or broker.</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Two: an advisory vote on the compensation of our named executive officers;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Three: the ratification of EKS&amp;H as the Company’s independent registered public accounting firm for the 2018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Richard D. Federico with respect to any other matters that might be brought before the Annual Meeting. Those persons intend to vote that proxy in accordance with their best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our Amended and Restated Articles of Incorporation and Bylaws, directors will be elected by the affirmative vote of the majority of the votes cast with respect to such director’s election.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Proposals Two and Three requires an affirmative vote by a majority of the votes cast on each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and that such shares have not been voted by the nominee. Your attendance at the Annual Meeting will not in itself revoke your proxy.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paid the entire expense of this proxy statement and any additional materials furnished to shareholders.</w:t>
      </w:r>
    </w:p>
    <w:p>
      <w:pPr>
        <w:sectPr>
          <w:pgSz w:w="11900" w:h="16838" w:orient="portrait"/>
          <w:cols w:equalWidth="0" w:num="1">
            <w:col w:w="11400"/>
          </w:cols>
          <w:pgMar w:left="240" w:top="368" w:right="259" w:bottom="0" w:gutter="0" w:footer="0" w:header="0"/>
        </w:sectPr>
      </w:pPr>
    </w:p>
    <w:bookmarkStart w:id="4" w:name="page5"/>
    <w:bookmarkEnd w:id="4"/>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 copy of the Company’s 2017 Annual Report to Shareholders, including financial statements for the fiscal year ended December 31, 2017,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return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April 2,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495 Commerce Drive, Suite 3, Amherst, New York 14228, Attention: Secretary.</w:t>
      </w:r>
    </w:p>
    <w:p>
      <w:pPr>
        <w:spacing w:after="0" w:line="16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7"/>
          <w:szCs w:val="17"/>
          <w:b w:val="1"/>
          <w:bCs w:val="1"/>
          <w:color w:val="auto"/>
        </w:rPr>
        <w:t>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Biographical Information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Richard D. Federico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 63—Mr. Federico has over thirty-seven years of operational, strategy and investment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experience. He has served as a director since February 2012 and as Lead Director for the past three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Fisher Scientific, The Millard Fillmore Health System, The Science Kit Group and KPMG. He currently is and has been involved with numerous private and non-profit boards. His operational, financial and investment experience, knowledge of capital markets and experience on other public and private company boards prepare him to give the Board his views on strategic, operational and financial matters.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74—Mr. Laber has served as a director of the Company since November 2010. He has been a private investor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 when he retired after 33 years of service with Arthur Andersen LLP. He was an audit partner with Arthur Andersen LLP from 1980 until retiring in 2000. Mr. Laber is a Certified Public Accountant and is a member of the American Institute of Certified Public Accountants and the Colorado Society of Certified Public Accountants. Mr. Laber is currently on the board of directors and chair of the audit committee and member of the compensation and governance committees of Scott’s Liquid Gold. He was on the board and chair of the audit committee and member of the compensation and governance and nominating committees for Boulder Brands Inc. from May 2005 through January 2016 when the company was acquired. He served as President of the Catholic Foundation of Northern Colorado from January 2008 until November 2012. He previously served on the Board of Directors and as Chair of the Audit Committee of Spectralink Corporation from April 2004 to March 2007 when the company was acquired, and served on the Board of Directors and Audit Committee of Applied Films Corporation from July 2004 to July 2007 when the company was acquired. He brings to the Board extensive experience in accounting, financial matters and strategic planning and his experience as a director of other public companies gives him insight into governance and related best practices which enable him to make significant contributions as a Board member.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70—Mr. Smith has served as a director of the Company since August 1996. Mr. Smith has broad executive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experience with the Company and extensive knowledge and experience in accounting and financial matters. He served as Chief Financial Officer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1983 until December 1, 2012, as Chief Executive Officer from August 1998 until May 2009 and as Executive Chairman of the Board of Directors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2009 until his retirement in March 2013. Mr. Smith served as non-executive Chairman of the Board from March 2013 until February 2014.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Smith’s consulting agreement with the Company, the Board shall nominate him for election to the Board as long as he has not been terminated and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willing to serve on the Board of Directors. He provides valuable insight to the Board with respect to the historical and future direction of the Company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his many years of experience on the Board together with his decades of experience in the industry.</w:t>
      </w:r>
    </w:p>
    <w:p>
      <w:pPr>
        <w:spacing w:after="0" w:line="21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b w:val="1"/>
          <w:bCs w:val="1"/>
          <w:i w:val="1"/>
          <w:iCs w:val="1"/>
          <w:color w:val="auto"/>
        </w:rPr>
        <w:t>James J. Tanous</w:t>
      </w:r>
      <w:r>
        <w:rPr>
          <w:rFonts w:ascii="Arial" w:cs="Arial" w:eastAsia="Arial" w:hAnsi="Arial"/>
          <w:sz w:val="16"/>
          <w:szCs w:val="16"/>
          <w:color w:val="auto"/>
        </w:rPr>
        <w:t>, age 70—Mr. Tanous has served as a director of the Company since May 2014. He is currently the Executive Director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Prentice Family Foundation, a not-for-profit foundation whose primary mission is to promote the economic development of the Western New York area, a</w:t>
      </w:r>
    </w:p>
    <w:p>
      <w:pPr>
        <w:sectPr>
          <w:pgSz w:w="11900" w:h="16908" w:orient="portrait"/>
          <w:cols w:equalWidth="0" w:num="1">
            <w:col w:w="11420"/>
          </w:cols>
          <w:pgMar w:left="240" w:top="121" w:right="239" w:bottom="0" w:gutter="0" w:footer="0" w:header="0"/>
        </w:sectPr>
      </w:pPr>
    </w:p>
    <w:bookmarkStart w:id="5" w:name="page6"/>
    <w:bookmarkEnd w:id="5"/>
    <w:p>
      <w:pPr>
        <w:ind w:right="40"/>
        <w:spacing w:after="0" w:line="276" w:lineRule="auto"/>
        <w:rPr>
          <w:sz w:val="20"/>
          <w:szCs w:val="20"/>
          <w:color w:val="auto"/>
        </w:rPr>
      </w:pPr>
      <w:r>
        <w:rPr>
          <w:rFonts w:ascii="Arial" w:cs="Arial" w:eastAsia="Arial" w:hAnsi="Arial"/>
          <w:sz w:val="17"/>
          <w:szCs w:val="17"/>
          <w:color w:val="auto"/>
        </w:rPr>
        <w:t>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17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i w:val="1"/>
          <w:iCs w:val="1"/>
          <w:color w:val="auto"/>
        </w:rPr>
        <w:t>Timothy T. Tevens</w:t>
      </w:r>
      <w:r>
        <w:rPr>
          <w:rFonts w:ascii="Arial" w:cs="Arial" w:eastAsia="Arial" w:hAnsi="Arial"/>
          <w:sz w:val="17"/>
          <w:szCs w:val="17"/>
          <w:color w:val="auto"/>
        </w:rPr>
        <w:t>, age 61—Mr. Tevens has served as a director of the Company since June 2017. Mr. Tevens recently retired after serving nineteen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as director and chief executive officer of Columbus McKinnon Corporation (NASDAQ: CMCO), a global leader in material handling products, technologies, and services. He had initially joined Columbus McKinnon in 1991 as Vice President, Information Services, and was appointed chief operating officer in 1996. Prior to joining Columbus McKinnon, Mr. Tevens spent more than ten years in various management consulting capacities with Ernst &amp; Young LLP. Mr. Tevens served on the Board of Directors of Zep, Inc. (NYSE: ZEP) from December 2007 through its sale in June 2015. His extensive experience in areas such as industrial distribution, information technology, mergers and acquisitions, business integration, international operations, manufacturing processes and sourcing led the Board to conclude that he should serve as a director.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64—Mr. Warzala has a strong management and technical background in the motion control industry and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the 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32 years of motion experience, provide valuable insight to the Board of Directors in formulating and executing the Company’s strategy. Mr. Warzala has also served on the Board of Directors of Astronova, Inc. since December 2017.</w:t>
      </w:r>
    </w:p>
    <w:p>
      <w:pPr>
        <w:spacing w:after="0" w:line="1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i w:val="1"/>
          <w:iCs w:val="1"/>
          <w:color w:val="auto"/>
        </w:rPr>
        <w:t>Michael R. Winter</w:t>
      </w:r>
      <w:r>
        <w:rPr>
          <w:rFonts w:ascii="Arial" w:cs="Arial" w:eastAsia="Arial" w:hAnsi="Arial"/>
          <w:sz w:val="18"/>
          <w:szCs w:val="18"/>
          <w:color w:val="auto"/>
        </w:rPr>
        <w:t>, age 64—Mr. Winter was appointed a director of the Company in July 2014. Mr. Winter is a former partner in the Buffalo,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office 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 His accounting and business expertise, including an in-depth understanding of the preparation and analysis of financial statements, makes him highly qualified to serve as a director.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and Mr. Smith, satisfies the bright-line criteria and that no other director or nominee has a relationship with the Company that would interfere with such person’s ability to exercise independent judgment as a member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To provide for an additional independent leadership role, the Board of Directors has designated Richard D. Federico, as Lead Director. The Lead Director’s responsibilities include: presiding at meetings of the Board of Directors at which the Chairman is not present, including executive sessions of the independent directors; serving as liaison between the Chairman and the independent directors; convening meetings of the independent directors; and consulting with the Chairman on matters relating to Board of Director performance and corporate governance.</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Another component of our leadership structure is the active role played by our independent directors in overseeing the Company’s business, both at the Board and Committee level. Five of the seven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believes its leadership structure is the most effective leadership structure for the Board of Directors at this time. However, the Board of Directors recognizes that no single leadership model is appropriate for a board at all times.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6" w:name="page7"/>
    <w:bookmarkEnd w:id="6"/>
    <w:p>
      <w:pPr>
        <w:ind w:right="240"/>
        <w:spacing w:after="0" w:line="277" w:lineRule="auto"/>
        <w:rPr>
          <w:sz w:val="20"/>
          <w:szCs w:val="20"/>
          <w:color w:val="auto"/>
        </w:rPr>
      </w:pPr>
      <w:r>
        <w:rPr>
          <w:rFonts w:ascii="Arial" w:cs="Arial" w:eastAsia="Arial" w:hAnsi="Arial"/>
          <w:sz w:val="18"/>
          <w:szCs w:val="18"/>
          <w:color w:val="auto"/>
        </w:rPr>
        <w:t>Accordingly, the Board of Directors may in the future consider a different leadership structure, including a structure providing for a Chairman of the Board who is not an executive officer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7"/>
          <w:szCs w:val="17"/>
          <w:b w:val="1"/>
          <w:bCs w:val="1"/>
          <w:color w:val="auto"/>
        </w:rPr>
        <w:t>and Meeting Data</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nine meetings during 2017 and consisted of Messrs. Winter (Chairman), Laber, Tanous and Tevens (since August 1, 2017). Each member of the Audit Committee meets the current independence and experience requirements of Nasdaq and the SEC. Messrs. Laber and Winter have each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Compensation Committee of our Board of Directors has the principal responsibility to make decisions concerning the compensation of the Company’s management employees including its executive officers, and to make recommendations to the Board concerning the compensation of the Board of Directors. The Compensation Committee also reviews and approves to the Board for their approval all awards granted under the Company’s stock incentive plan and performs other functions regarding compensation as the Board may delegate. The Compensation Committee met six times during 2017 and consisted of Messrs. Federico (Chairman since August 22, 2017), Laber and Tevens (since August 1, 2017). Alexis P. Michas was the chairman of the Compensation Committee until his resignation from the Board on August 22, 2017.</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ten times during 2017 and consisted of Messrs. Tanous (Chairman), Federico and Winter.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 Management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Board of Directors oversees our risk management process. This oversight is primarily accomplished through the Board’s committees and management’s reporting processes. We do not have a formal risk committee; however, our Audit Committee is responsible for overseeing risks arising out of accounting, financial reporting and related activities and is primarily responsible for ensuring that the Board exercises adequate oversight of the Company’s enterprise risk management process. Our Compensation Committee reviews compensation agreements to confirm that compensation, especially incentive pay arrangements, do not encourage or create opportunities for unnecessary risk-taking and our Governance and Nominating Committee assists the Board in its oversight of the Company’s process for management and communication of key risks facing the Company, as well as the guidelines, policies and processes for monitoring and mitigating such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shareholders in identifying and evaluating a new nominee.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2019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ectPr>
          <w:pgSz w:w="11900" w:h="16838" w:orient="portrait"/>
          <w:cols w:equalWidth="0" w:num="1">
            <w:col w:w="11420"/>
          </w:cols>
          <w:pgMar w:left="240" w:top="125" w:right="239" w:bottom="0" w:gutter="0" w:footer="0" w:header="0"/>
        </w:sectPr>
      </w:pPr>
    </w:p>
    <w:bookmarkStart w:id="7" w:name="page8"/>
    <w:bookmarkEnd w:id="7"/>
    <w:p>
      <w:pPr>
        <w:spacing w:after="0" w:line="4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Board of Directors held five meetings in 2017. Our Independent Directors meet in executive session without management directors or management present. These sessions generally take place prior to or following regularly scheduled board meetings. The directors met in such sessions four times during 2017. Our Corporate Governance Principles provide that all directors are expected to regularly attend all meetings of the Board and the Board committees on which he serves. In 2017, each director attended 100% of the total number of meetings of the Board of Directors and meetings held by all committees of the Board of Directors on which he served. In addition, each director is expected to attend the Annual Meeting of Shareholders. In 2017, the Annual Meeting of Shareholders was attended by all of the directors then in office.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noted above, the Compensation Committee is comprised of three independent Directors: Messrs. Federico, Laber and Tevens.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2017</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Company’s director compensation program, each non-employee director receives an annual cash retainer of $45,000, paid quarterly. The chairperson of the Audit Committee receives an additional $12,500 annual cash retainer and other members of the Audit Committee receive an additional annual cash retainer in the amount of $7,500. The chairperson of the Compensation Committee and the Corporate Governance and Nominating Committee each receive an additional $8,000 annual cash retainer and other members of those committees will receive an additional annual cash retainer in the amount of $5,000. The Lead Director receives an additional $10,000 annual cash retainer. All cash retainers are payable ratably on a quarterly basis. Additionally, each non-employee director is reimbursed for his or her expenses in connection with attendance at each meeting.</w:t>
      </w:r>
    </w:p>
    <w:p>
      <w:pPr>
        <w:spacing w:after="0" w:line="1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Non-employee directors also receive an annual award of restricted stock under the 2017 Omnibus Incentive Plan. The annual award consists of shares of the Company’s common stock with a value of $50,000 as of the date of grant. The Lead Director receives an additional award of restricted stock with a value of $20,000 as of the date of grant. Directors who are appointed to the Board outside of the annual meeting of shareholders receive a pro rata amount of the annual award. These restricted shares will vest over a three-year period upon the performance of future service as a director, subject to certain exceptions.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compensation paid by the Company to each non-employee director for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Fees Earned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5"/>
              </w:rPr>
              <w:t>All other</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or Paid</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 Cash</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57,500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50,006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Alexis P. Michas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39,750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89,756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45,000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50,006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225"/>
              <w:spacing w:after="0"/>
              <w:rPr>
                <w:sz w:val="20"/>
                <w:szCs w:val="20"/>
                <w:color w:val="auto"/>
              </w:rPr>
            </w:pPr>
            <w:r>
              <w:rPr>
                <w:rFonts w:ascii="Arial" w:cs="Arial" w:eastAsia="Arial" w:hAnsi="Arial"/>
                <w:sz w:val="18"/>
                <w:szCs w:val="18"/>
                <w:color w:val="auto"/>
              </w:rPr>
              <w:t>110,500(3) $</w:t>
            </w:r>
          </w:p>
        </w:tc>
        <w:tc>
          <w:tcPr>
            <w:tcW w:w="1280" w:type="dxa"/>
            <w:vAlign w:val="bottom"/>
          </w:tcPr>
          <w:p>
            <w:pPr>
              <w:jc w:val="right"/>
              <w:spacing w:after="0"/>
              <w:rPr>
                <w:sz w:val="20"/>
                <w:szCs w:val="20"/>
                <w:color w:val="auto"/>
              </w:rPr>
            </w:pPr>
            <w:r>
              <w:rPr>
                <w:rFonts w:ascii="Arial" w:cs="Arial" w:eastAsia="Arial" w:hAnsi="Arial"/>
                <w:sz w:val="18"/>
                <w:szCs w:val="18"/>
                <w:color w:val="auto"/>
              </w:rPr>
              <w:t>205,506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60,500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110,506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Timothy T. Tevens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25,625</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46,182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71,807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62,500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grant date fair value of stock awards on the date of the award as reported on the Nasdaq Global Market on the date of grant.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Michas resigned from the Board on August 22, 2017.</w:t>
      </w:r>
    </w:p>
    <w:p>
      <w:pPr>
        <w:spacing w:after="0" w:line="225" w:lineRule="exact"/>
        <w:rPr>
          <w:rFonts w:ascii="Arial" w:cs="Arial" w:eastAsia="Arial" w:hAnsi="Arial"/>
          <w:sz w:val="18"/>
          <w:szCs w:val="18"/>
          <w:color w:val="auto"/>
        </w:rPr>
      </w:pPr>
    </w:p>
    <w:p>
      <w:pPr>
        <w:ind w:left="980" w:right="280" w:hanging="324"/>
        <w:spacing w:after="0" w:line="259" w:lineRule="auto"/>
        <w:tabs>
          <w:tab w:leader="none" w:pos="987"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Smith served as Executive Chairman of the Board and Chief Financial Officer until his retirement in March 2013. The Company entered into a five-year consulting agreement with Mr. Smith effective upon his retirement pursuant to which Mr. Smith will receive an annual consulting fee, paid monthly, and will be available to work part time as an independent contractor on assignments as requested by the Chief Executive Officer and agreed upon by Mr. Smith.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2017 is shown below:</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71"/>
        </w:trPr>
        <w:tc>
          <w:tcPr>
            <w:tcW w:w="766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James J. Tanous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T. Tevens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Michael R. Winter</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7"/>
          <w:szCs w:val="17"/>
          <w:b w:val="1"/>
          <w:bCs w:val="1"/>
          <w:color w:val="auto"/>
        </w:rPr>
        <w:t>Stock Ownership Policy</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and revised in 2014, non-employee directors are required to make a</w:t>
      </w:r>
    </w:p>
    <w:p>
      <w:pPr>
        <w:sectPr>
          <w:pgSz w:w="11900" w:h="16885" w:orient="portrait"/>
          <w:cols w:equalWidth="0" w:num="1">
            <w:col w:w="11400"/>
          </w:cols>
          <w:pgMar w:left="240" w:top="341" w:right="259" w:bottom="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18"/>
          <w:szCs w:val="18"/>
          <w:color w:val="auto"/>
        </w:rPr>
        <w:t>minimum investment in Company stock equal to three times the annual cash and stock retainer (the “Guideline Investment”). Each non-employee director is allowed a grace period to meet the Guideline Investment in full, from the date of initial election or appointment to the Board through the fifth anniversary of such election or appointment. The Company has a Non-Employee Director Stock in Lieu of Cash Retainer Plan. Pursuant to the Plan, each non-employee director may elect to forego receipt of all or a portion of the cash retainer in exchange for newly issued common stock. Until the Guideline Investment is achieved, directors must utilize 50% of the cash retainer to purchase Company stock and such stock, along with stock grants received from the Company, will be used to reach the Guideline Investment.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Board of Directors currently consists of Richard D. Federico, Gerald J. (Bud) Laber, Richard D. Smith, James J. Tanous, Timothy T. Tevens, Richard S. Warzala and Michael R. Winter. In accordance with the Bylaws of the Company, the Board of Directors has fixed the number of directors to be elected at the Annual Meeting to seven directors. The affirmative vote of a majority of the votes cast is required for the election of directors. Unless instructed otherwise, it is intended that the shares represented by proxy at the Annual Meeting will be voted in favor of the seven nominees named below, each of whom was nominated by the Board based on the recommendation of our Governance and Nominating Committee. Each nominee is an incumbent director standing for re-election and all nominees have agreed to serve if elected.</w:t>
      </w:r>
    </w:p>
    <w:p>
      <w:pPr>
        <w:spacing w:after="0" w:line="19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2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Information regarding the director nominees can be found under “Corporate Governance and Board Matters — Director Qualifications and Biographical Information.”</w:t>
      </w:r>
    </w:p>
    <w:p>
      <w:pPr>
        <w:spacing w:after="0" w:line="16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shorter-term and longer-term financial and strategic goals and for driving corporate performance. The programs contain elements of cash and equity-based compensation and are designed to align the interests of our executives with those of our shareholders.</w:t>
      </w:r>
    </w:p>
    <w:p>
      <w:pPr>
        <w:spacing w:after="0" w:line="17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 item of compensation, but rather the overall compensation of our Named Executive Officers and the philosophy, policies and procedures described in this Proxy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asking shareholders to vote on the following resolution at the Meeting:</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43"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FOREGOING RESOLUTION. UNLESS OTHERWISE INSTRUCTED, PROXIES WILL BE VOTED “FOR” THE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the Ratification of Independent Registered Public Accounting Firm</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EKS&amp;H has served as the independent registered public accounting firm for the Company since 2006. Representatives of EKS&amp;H are expected to be present at the Annual Meeting.</w:t>
      </w:r>
    </w:p>
    <w:p>
      <w:pPr>
        <w:spacing w:after="0" w:line="170"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ectPr>
          <w:pgSz w:w="11900" w:h="16838" w:orient="portrait"/>
          <w:cols w:equalWidth="0" w:num="1">
            <w:col w:w="11400"/>
          </w:cols>
          <w:pgMar w:left="240" w:top="125" w:right="259" w:bottom="111"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EKS&amp;H LLP as the Company’s independent public accounting firm for 2018.</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64—Mr. Warzala has served as director of the Company since August 2006 and as Chairman of the Board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17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b w:val="1"/>
          <w:bCs w:val="1"/>
          <w:i w:val="1"/>
          <w:iCs w:val="1"/>
          <w:color w:val="auto"/>
        </w:rPr>
        <w:t>Michael R. Leach</w:t>
      </w:r>
      <w:r>
        <w:rPr>
          <w:rFonts w:ascii="Arial" w:cs="Arial" w:eastAsia="Arial" w:hAnsi="Arial"/>
          <w:sz w:val="17"/>
          <w:szCs w:val="17"/>
          <w:color w:val="auto"/>
        </w:rPr>
        <w:t>, age 49—Mr. Leach was named Chief Financial Officer of the Company in August 2015. Prior to joining Allied Motion,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b w:val="1"/>
          <w:bCs w:val="1"/>
          <w:i w:val="1"/>
          <w:iCs w:val="1"/>
          <w:color w:val="auto"/>
        </w:rPr>
        <w:t xml:space="preserve">Robert P. Maida, </w:t>
      </w:r>
      <w:r>
        <w:rPr>
          <w:rFonts w:ascii="Arial" w:cs="Arial" w:eastAsia="Arial" w:hAnsi="Arial"/>
          <w:sz w:val="16"/>
          <w:szCs w:val="16"/>
          <w:color w:val="auto"/>
        </w:rPr>
        <w:t>age 53—Mr. Maida was named Vice President of Operational Excellence of the Company in August 2015. Mr. Maida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from December 2012 until August 2015.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15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75—Mr. Wyman was named Vice President of Marketing of the Company in February 2003. He was designated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7"/>
          <w:szCs w:val="17"/>
          <w:b w:val="1"/>
          <w:bCs w:val="1"/>
          <w:color w:val="auto"/>
        </w:rPr>
        <w:t>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Compensation Program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Compensation Committee of the Board, which is comprised of independent directors, establishes the Company’s compensation philosophy. The Committee operates under a written charter adopted by the Board, a copy of which is available on the Company’s website at www.alliedmotion.com. The Committee ensures that the total compensation of the Company’s executive officers and other key management is fair, reasonable and competitive. The Committee annually evaluates the performance of the Company’s Chief Executive Officer based upon a mix of the achievement of corporate goals and individual performance and makes decisions concerning compensation and benefits for executive officers and other key management. All compensation for these individuals is approved by the Board.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Committee meets with Mr. Warzala, the Company’s Chief Executive Officer and President, to obtain his recommendations with respect to key management compensation programs and practices, base salaries, incentive plan targets and equity awards. The Committee considers, but is not bound to accept management’s recommendations. The Committee discusses Mr. Warzala’s compensation with him, but makes decisions without him present.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has authorized Mr. Warzala to make salary adjustments for all employees other than executive officers and other key management.</w:t>
      </w:r>
    </w:p>
    <w:p>
      <w:pPr>
        <w:spacing w:after="0" w:line="24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Committee makes equity based awards. However, the Committee has from time to time delegated to Mr. Warzala the authority to make restricted stock awards to employees other than executive officers or key management in limited annual amounts. Such awards made by Mr. Warzala are generally intended to be used for recruiting and employee promotion purposes.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Committee has the authority to engage its own independent advisors to assist in carrying out its responsibilities. During 2017, the Company did not engage any outside advisors.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goals of the Company’s compensation policies for the executive officers and other key management are as follows:</w:t>
      </w:r>
    </w:p>
    <w:p>
      <w:pPr>
        <w:sectPr>
          <w:pgSz w:w="11900" w:h="16838" w:orient="portrait"/>
          <w:cols w:equalWidth="0" w:num="1">
            <w:col w:w="11380"/>
          </w:cols>
          <w:pgMar w:left="240" w:top="125" w:right="279" w:bottom="100" w:gutter="0" w:footer="0" w:header="0"/>
        </w:sectPr>
      </w:pPr>
    </w:p>
    <w:bookmarkStart w:id="10" w:name="page11"/>
    <w:bookmarkEnd w:id="10"/>
    <w:p>
      <w:pPr>
        <w:ind w:right="420" w:firstLine="656"/>
        <w:spacing w:after="0" w:line="277" w:lineRule="auto"/>
        <w:tabs>
          <w:tab w:leader="none" w:pos="1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provide total compensation opportunities for executive officers and other key management which are sufficient to attract and retain individuals whose talents and abilities allow the Company to accomplish its strategies.</w:t>
      </w:r>
    </w:p>
    <w:p>
      <w:pPr>
        <w:spacing w:after="0" w:line="170" w:lineRule="exact"/>
        <w:rPr>
          <w:rFonts w:ascii="Arial" w:cs="Arial" w:eastAsia="Arial" w:hAnsi="Arial"/>
          <w:sz w:val="18"/>
          <w:szCs w:val="18"/>
          <w:color w:val="auto"/>
        </w:rPr>
      </w:pPr>
    </w:p>
    <w:p>
      <w:pPr>
        <w:ind w:right="20" w:firstLine="656"/>
        <w:spacing w:after="0" w:line="277" w:lineRule="auto"/>
        <w:tabs>
          <w:tab w:leader="none" w:pos="1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align the interests of management with shareholders through the use of incentive compensation directly related to corporate performance and through the use of stock-based incentives that result in increased Common Stock ownership by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Most Recent Say on Pay Vote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the annual meeting of shareholders on May 3, 2017, 96.6% of the shares voted were voted in support of the compensation of our Named Officers, as discussed and disclosed in the 2017 proxy statement. In considering the results of this most recent advisory vote on executive compensation, the Committee concluded that the compensation paid to our executive officers and the Company’s overall pay practices have strong shareholder support and no significant changes were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executive compensation are</w:t>
      </w:r>
    </w:p>
    <w:p>
      <w:pPr>
        <w:spacing w:after="0" w:line="225" w:lineRule="exact"/>
        <w:rPr>
          <w:sz w:val="20"/>
          <w:szCs w:val="20"/>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Incentive Compensation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Compensation Plan benefits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Base compensation is comprised of the annual salary and is set at levels sufficient to attract and retain executives. In determining Mr. Warzala’s base compensation, the Committee considers market data and performance during the previous year as well as goals and objectives for the current year. In determining other base compensation levels, the Committee reviews and considers the evaluation and recommendation by Mr. Warzala of each key manager’s performance during the prior year and responsibilities for the current year. During the review of base compensation, the Committee also considers the executive’s or manager’s qualifications and experience, scope of responsibilities and future potential, the goals and objective established for the individual, his or her past performance and competitive compensation practices both internally and externally.</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Annual Cash Incentive Plan</w:t>
      </w:r>
      <w:r>
        <w:rPr>
          <w:rFonts w:ascii="Arial" w:cs="Arial" w:eastAsia="Arial" w:hAnsi="Arial"/>
          <w:sz w:val="18"/>
          <w:szCs w:val="18"/>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and reducing costs. Awards under the plan are based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the actual Economic Value Added (EVA) achieved as compared against a threshold and target EVA performance goals established for each year by the Board of Directors. EVA is net operating profit after taxes, as defined,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certain prorata percent of the incremental EVA achieved above the target EVA.</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 The equity incentive compensation program is comprised of restricted stock awards that are (i) time-based and will vest, assuming continued employment, over a three-year period from the date of grant, (ii) earned upon achievement of certain short-term, annually determined performance criteria (STIP) and (iii) earned upon achievement of longer-term performance goals (LTIP).</w:t>
      </w:r>
    </w:p>
    <w:p>
      <w:pPr>
        <w:spacing w:after="0" w:line="181" w:lineRule="exact"/>
        <w:rPr>
          <w:sz w:val="20"/>
          <w:szCs w:val="20"/>
          <w:color w:val="auto"/>
        </w:rPr>
      </w:pPr>
    </w:p>
    <w:p>
      <w:pPr>
        <w:ind w:left="660" w:right="20" w:firstLine="645"/>
        <w:spacing w:after="0" w:line="293" w:lineRule="auto"/>
        <w:tabs>
          <w:tab w:leader="none" w:pos="20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Time-Based Awards. The annual time-based restricted stock awards for the Chief Executive Officer, Chief Financial Officer and Vice President of Operational Excellence are equal to a percentage of the officer’s then annual salary divided by the fair market value share price on the day of the first meeting of the Board of Directors that year (“First BOD meeting”). In March 2017, the Compensation Committee recommended and the Board granted Mr. Warzala 6,824 shares of time-based restricted stock (33.3% of annual salary), Mr. Leach 1,704 shares (15% of annual salary) and Mr. Maida 1,401 shares (15% of annual salary). The Compensation Committee recommended and the Board also made an award of time-based restricted stock to Mr. Wyman (270 shares). The time-based shares will vest 1/3 on each of March 31, 2018, 2019, and 2020.</w:t>
      </w:r>
    </w:p>
    <w:p>
      <w:pPr>
        <w:spacing w:after="0" w:line="164" w:lineRule="exact"/>
        <w:rPr>
          <w:rFonts w:ascii="Arial" w:cs="Arial" w:eastAsia="Arial" w:hAnsi="Arial"/>
          <w:sz w:val="16"/>
          <w:szCs w:val="16"/>
          <w:color w:val="auto"/>
        </w:rPr>
      </w:pPr>
    </w:p>
    <w:p>
      <w:pPr>
        <w:ind w:left="660" w:right="20" w:firstLine="645"/>
        <w:spacing w:after="0" w:line="286" w:lineRule="auto"/>
        <w:tabs>
          <w:tab w:leader="none" w:pos="2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Short-Term Equity Incentive Program (STIP). The STIP is a pay-for-performance incentive program under which restricted stock is awarded annually and earned upon the achievement of certain annually determined performance criteria. The Compensation Committee uses adjusted EBITDA (50%) and sales (50%) as the performance criteria under the STIP and measures the Company’s results for each criterion against threshold, target and high performance measures. The EBITDA target is equal to the weighted average of the EBITDA of the Company, adjusted to account for business development costs relating to acquisitions, for the immediately preceding three year period. The EBITDA threshold is 95% of target and the high performance measure is 105% of target. If the high performance measure is achieved or exceeded, then all of the STIP EBITDA shares will be earned. If the Company’s actual results are less than the high performance measure but greater than the threshold, then the STIP EBITDA shares will be earned on a prorata basis. If the Company’s actual results are less than the threshold, then no STIP EBITDA shares will be earned. The Sales Target is equal to 105% of the previous year’s Sales and the threshold is 100% of the previous year’s Sales. If the Sales threshold is achieved or exceeded, then 50% of the STIP Sales shares will be earned. If the actual Sales are less than the target, but greater than the threshold, the STIP Sales shares will be earned on a prorated basis. If the actual results are less than the threshold, then no STIP Sales shares will be earned. Any unearned STIP shares will be forfeited and returned to the Stock Incentive Plan and be available for future awards. Once earned, the STIP shares will vest 1/3 on the date of the first BOD meeting following the year the shares are earned, and the remainder will vest annually over the following two years. The Board of Directors may change the terms of the STIP at any time taking into consideration the relationship of the incentive pay earned to the increase in profitability achieved for any period.</w:t>
      </w:r>
    </w:p>
    <w:p>
      <w:pPr>
        <w:sectPr>
          <w:pgSz w:w="11900" w:h="16838" w:orient="portrait"/>
          <w:cols w:equalWidth="0" w:num="1">
            <w:col w:w="11420"/>
          </w:cols>
          <w:pgMar w:left="240" w:top="125" w:right="239" w:bottom="0" w:gutter="0" w:footer="0" w:header="0"/>
        </w:sectPr>
      </w:pPr>
    </w:p>
    <w:bookmarkStart w:id="11" w:name="page12"/>
    <w:bookmarkEnd w:id="11"/>
    <w:p>
      <w:pPr>
        <w:ind w:left="660" w:right="20" w:firstLine="648"/>
        <w:spacing w:after="0" w:line="273" w:lineRule="auto"/>
        <w:rPr>
          <w:sz w:val="20"/>
          <w:szCs w:val="20"/>
          <w:color w:val="auto"/>
        </w:rPr>
      </w:pPr>
      <w:r>
        <w:rPr>
          <w:rFonts w:ascii="Arial" w:cs="Arial" w:eastAsia="Arial" w:hAnsi="Arial"/>
          <w:sz w:val="17"/>
          <w:szCs w:val="17"/>
          <w:color w:val="auto"/>
        </w:rPr>
        <w:t>The annual STIP awards for the Chief Executive Officer, Chief Financial Officer and Vice President of Operational Excellence are equal to a percentage of the officer’s then annual salary divided by the share price (average of bid and ask) on the day of the First BOD meeting. In March 2017, the Compensation Committee approved the award of 13,650 STIP shares for Mr. Warzala (100% of annual salary), 2,840 shares for Mr. Leach (25% of annual salary) and 2,335 shares for Mr. Maida (25% of annual salary). The Compensation Committee also made an award of 410 shares for Mr. Wyman. The STIP awards are each in the form of restricted stock. For 2017, the Company exceeded the threshold performance and earned 21% of the STIP EBITDA award and 35% of the STIP Sales award was earned.</w:t>
      </w:r>
    </w:p>
    <w:p>
      <w:pPr>
        <w:spacing w:after="0" w:line="178" w:lineRule="exact"/>
        <w:rPr>
          <w:sz w:val="20"/>
          <w:szCs w:val="20"/>
          <w:color w:val="auto"/>
        </w:rPr>
      </w:pPr>
    </w:p>
    <w:p>
      <w:pPr>
        <w:ind w:left="660" w:right="140" w:firstLine="645"/>
        <w:spacing w:after="0" w:line="293" w:lineRule="auto"/>
        <w:tabs>
          <w:tab w:leader="none" w:pos="20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Long-Term Equity Incentive Program (LTIP). The LTIP is a multi-year pay-for-performance incentive program under which the Chief Executive Officer, Chief Financial Officer and Vice President of Operational Excellence will earn shares based upon the achievement of an increase in sales over a specified period. The LTIP was first implemented in 2013 and has been revised and extended as performance goals were achieved. The LTIP extends through December 31, 2020 and the sales target to be achieved is an aggregate increase to $500 million (the “Sales Target”). The Sales Target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firstLine="648"/>
        <w:spacing w:after="0" w:line="269" w:lineRule="auto"/>
        <w:rPr>
          <w:sz w:val="20"/>
          <w:szCs w:val="20"/>
          <w:color w:val="auto"/>
        </w:rPr>
      </w:pPr>
      <w:r>
        <w:rPr>
          <w:rFonts w:ascii="Arial" w:cs="Arial" w:eastAsia="Arial" w:hAnsi="Arial"/>
          <w:sz w:val="17"/>
          <w:szCs w:val="17"/>
          <w:color w:val="auto"/>
        </w:rPr>
        <w:t>Under the current terms of the LTIP, for each $30 million increase in sales up to the Sales Target, each executive earns LTIP shares equal to a percentage of his annual salary as follows: 100% for Mr. Warzala, 25% for Mr. Leach and 25% for Mr. Maida. The LTIP performance criteria for organic sales growth is measured after the end of each year of the performance period at the First BOD Meeting and the number of shares earned will be calculated based on the stock price (average of bid and ask) as measured at the beginning of the previous year. The LTIP shares that are earned based on actual organic sales growth will vest 1/3 on the date of the first BOD meeting following the year the shares are earned and the remainder will vest annually over the following two years. The LTIP performance criteria for acquired sales is measured as of the closing date for an acquisition during the performance period and the number of shares earned will be calculated based on the stock price (average of bid and ask) as measured at the beginning of the year. The LTIP shares that are earned based on acquired sales will vest annually (1/5 each year) over the following five years. When calculating the increase in sales, the Company will make appropriate adjustments to account for any acquired sales for which a LTIP payment has been paid. If the recipient’s employment with the Company is terminated due to cause or voluntary resignation, any unvested LTIP shares will be forfeited.</w:t>
      </w:r>
    </w:p>
    <w:p>
      <w:pPr>
        <w:spacing w:after="0" w:line="183" w:lineRule="exact"/>
        <w:rPr>
          <w:sz w:val="20"/>
          <w:szCs w:val="20"/>
          <w:color w:val="auto"/>
        </w:rPr>
      </w:pPr>
    </w:p>
    <w:p>
      <w:pPr>
        <w:ind w:left="660" w:right="140" w:firstLine="648"/>
        <w:spacing w:after="0" w:line="339" w:lineRule="auto"/>
        <w:rPr>
          <w:sz w:val="20"/>
          <w:szCs w:val="20"/>
          <w:color w:val="auto"/>
        </w:rPr>
      </w:pPr>
      <w:r>
        <w:rPr>
          <w:rFonts w:ascii="Arial" w:cs="Arial" w:eastAsia="Arial" w:hAnsi="Arial"/>
          <w:sz w:val="16"/>
          <w:szCs w:val="16"/>
          <w:color w:val="auto"/>
        </w:rPr>
        <w:t xml:space="preserve">For 2017, no shares were earned under the organic growth or acquired sales portions of the LTIP. </w:t>
      </w:r>
      <w:r>
        <w:rPr>
          <w:rFonts w:ascii="Arial" w:cs="Arial" w:eastAsia="Arial" w:hAnsi="Arial"/>
          <w:sz w:val="15"/>
          <w:szCs w:val="15"/>
          <w:color w:val="auto"/>
        </w:rPr>
        <w:t>As of December 31, 2017, approximately</w:t>
      </w:r>
      <w:r>
        <w:rPr>
          <w:rFonts w:ascii="Arial" w:cs="Arial" w:eastAsia="Arial" w:hAnsi="Arial"/>
          <w:sz w:val="16"/>
          <w:szCs w:val="16"/>
          <w:color w:val="auto"/>
        </w:rPr>
        <w:t xml:space="preserve"> </w:t>
      </w:r>
      <w:r>
        <w:rPr>
          <w:rFonts w:ascii="Arial" w:cs="Arial" w:eastAsia="Arial" w:hAnsi="Arial"/>
          <w:sz w:val="15"/>
          <w:szCs w:val="15"/>
          <w:color w:val="auto"/>
        </w:rPr>
        <w:t>$265 million of the cumulative Sales Target has been achieved. The following table shows the status of the LTIP awards as of December 31, 2017:</w:t>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Number of LTIP Share</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66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Awarded</w:t>
            </w:r>
          </w:p>
        </w:tc>
        <w:tc>
          <w:tcPr>
            <w:tcW w:w="16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Earned</w:t>
            </w:r>
          </w:p>
        </w:tc>
        <w:tc>
          <w:tcPr>
            <w:tcW w:w="164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Forfeited</w:t>
            </w:r>
          </w:p>
        </w:tc>
        <w:tc>
          <w:tcPr>
            <w:tcW w:w="134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Richard S. Warzala</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310,387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275,624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30,504</w:t>
            </w: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Michael R. Leach</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5,372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1,346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P. Maida</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Operational Excellence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33,261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28,246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u w:val="single" w:color="auto"/>
          <w:color w:val="auto"/>
        </w:rPr>
        <w:t>Deferred Compensation (DCP)</w:t>
      </w:r>
      <w:r>
        <w:rPr>
          <w:rFonts w:ascii="Arial" w:cs="Arial" w:eastAsia="Arial" w:hAnsi="Arial"/>
          <w:sz w:val="18"/>
          <w:szCs w:val="18"/>
          <w:color w:val="auto"/>
        </w:rPr>
        <w:t>. The Company maintains a Deferred Compensation Plan which provides eligible key employees with the opportunity to defer the receipt of base compensation, bonuses, or a combination thereof, receive an allocation of any discretionary amount contributed to the Plan by the Company and receive an allocation of any performance based contributions by the Company. During 2017, no participants elected to defer any compensation under the Plan.</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accordance with Mr. Warzala’s employment agreement, the Company made a supplemental retirement contribution, under the discretionary contribution provisions of the DCP, of $153,856 each May beginning in 2011 and ending in 2017. The terms of the contribution are further discussed below under the heading Chief Executive Officer Employment Agreement—Nonqualified Deferred Compensation.</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DCP, Mr. Warzala will also receive an annual performance based contribution to his deferred compensation account based on the achievement of a minimum return on equity (the “DCP Performance Target”) determined each year by the Board of Directors within 90 days of the beginning of the performance period. If the DCP Performance Target is achieved, an amount equal to 12.5% of the excess over the DCP Performance Target is contributed to Mr. Warzala’s deferred compensation account, provided that performance contribution will be capped at an amount that is equal to one times Mr. Warzala’s base compensation in any given year. The DCP performance target was set at 12.0% return on equity for 2017 and such performance target was partially achieved. Accordingly, a performance contribution of $349,000 was contributed to the Plan for Mr. Warzala.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provides executive officers with perquisites and other benefits that the Company and the Committee believe are reasonable and consistent with its overall compensation program. The Committee periodically reviews the levels of perquisites and other benefits provided to executive officers. Mr. Warzala is provided with exclusive use of a company automobile, reimbursement for personal financial planning up to $5,000 annually and with $500,000 of life insurance plus a $10,000 annual payment to be used to purchase additional life insurance for which the executive may designate the beneficiaries.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generally provides employees with medical, life and disability insurance benefits. All employees in the United States are eligible to participate in the Company’s 401(k) Plan to which employees are able to contribute the lesser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140" w:gutter="0" w:footer="0" w:header="0"/>
        </w:sectPr>
      </w:pPr>
    </w:p>
    <w:bookmarkStart w:id="12" w:name="page13"/>
    <w:bookmarkEnd w:id="12"/>
    <w:p>
      <w:pPr>
        <w:ind w:right="140"/>
        <w:spacing w:after="0" w:line="297" w:lineRule="auto"/>
        <w:rPr>
          <w:sz w:val="20"/>
          <w:szCs w:val="20"/>
          <w:color w:val="auto"/>
        </w:rPr>
      </w:pPr>
      <w:r>
        <w:rPr>
          <w:rFonts w:ascii="Arial" w:cs="Arial" w:eastAsia="Arial" w:hAnsi="Arial"/>
          <w:sz w:val="16"/>
          <w:szCs w:val="16"/>
          <w:color w:val="auto"/>
        </w:rPr>
        <w:t>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Section 162(m) of the Internal Revenue Code limits the deductibility of compensation in excess of $1 million paid to certain Named Executive Officers, unless the compensation is performance based and satisfies other conditions. The Company’s policy is to maximize the deductibility of compensation but does not preclude awards or payments that are not fully deductible if, in our judgment, such awards and payments are necessary to achieve our compensation objectives and to protect shareholder interests. All compensation paid to our Named Executive Officers for 2017 was deductible. Under the Tax Cuts and Jobs Act of 2017 (“TCIA”), effective for our taxable year beginning January 1, 2018, the exception under Section 162(m) for performance-based compensation will no longer be available, subject to transition relief for certain grandfathered arrangements in effect as of November 2, 2017. Given the lack of regulatory guidance to date, the Compensation Committee is not yet able to determine the full impact of the TCIA’s changes to Section 162(m) on the Company and its compensation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Employment Agreement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has an employment agreement with Richard S. Warzala, President, Chief Executive Officer and Chairman of the Board. In 2017, the Company entered into an Amendment to the Employment Agreement and Change of Control Agreement (the “Amendment”) with Mr. Warzala, which amends Mr. Warzala’s Employment Agreement (the “Employment Agreement”) and the letter agreement between Mr. Warzala and the Company dated December 22, 2008 (the “CIC Agreement”).</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Compensation Committee determined that it was appropriate and in the best interests of the Company and its shareholders to enter into the Amendment to encourage further implementation and execution of the strategic plan developed by Mr. Warzala and his management team. The Employment Agreement had a year to year term prior to the Amendment, and the Compensation Committee believes the Company’s entry into the Amendment will enhance the stability of its leadership team and reasonably incentivize Mr. Warzala to achieve the goals of the Company’s strategic plan and work effectively with the Board on CEO succession, both of which are designed to create long-term value for our shareholders.</w:t>
      </w:r>
    </w:p>
    <w:p>
      <w:pPr>
        <w:spacing w:after="0" w:line="173"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Unless terminated earlier in accordance with its terms, the Employment Agreement as modified by the Amendment will remain effective until January 2, 2021. The Employment Agreement can be extended for one-year terms by mutual agreement. The Amendment made the following material changes to the Employment agreement and the CIC Agreement:</w:t>
      </w:r>
    </w:p>
    <w:p>
      <w:pPr>
        <w:spacing w:after="0" w:line="181" w:lineRule="exact"/>
        <w:rPr>
          <w:sz w:val="20"/>
          <w:szCs w:val="20"/>
          <w:color w:val="auto"/>
        </w:rPr>
      </w:pPr>
    </w:p>
    <w:p>
      <w:pPr>
        <w:ind w:left="1300" w:right="300" w:hanging="644"/>
        <w:spacing w:after="0" w:line="258"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it clear that in the event Mr. Warzala’s employment is terminated with cause, the Company has no obligation to pay him unearned compensation or further benefits.</w:t>
      </w:r>
    </w:p>
    <w:p>
      <w:pPr>
        <w:spacing w:after="0" w:line="1" w:lineRule="exact"/>
        <w:rPr>
          <w:rFonts w:ascii="Arial" w:cs="Arial" w:eastAsia="Arial" w:hAnsi="Arial"/>
          <w:sz w:val="18"/>
          <w:szCs w:val="18"/>
          <w:color w:val="auto"/>
        </w:rPr>
      </w:pPr>
    </w:p>
    <w:p>
      <w:pPr>
        <w:ind w:left="1300" w:right="140" w:hanging="644"/>
        <w:spacing w:after="0" w:line="250"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Mr. Warzala with certain benefits in the event that he retires on or after January 2, 2021 by giving the Company at least 120 days’ prior notice.</w:t>
      </w:r>
    </w:p>
    <w:p>
      <w:pPr>
        <w:ind w:left="1300" w:right="160" w:hanging="644"/>
        <w:spacing w:after="0" w:line="250"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Mr. Warzala with the right to terminate his employment with “Good Reason” other than after a change in control of the Company (as defined in the CIC Agreement).</w:t>
      </w:r>
    </w:p>
    <w:p>
      <w:pPr>
        <w:ind w:left="1260" w:hanging="604"/>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Removes the tax “gross-up” from the CIC Agreement and replaces it with a “best net” provision.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amended, the relevant provisions of the Employment Agreement are as follows: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an annual base salary that may be reviewed annually for increase on a merit basis. Mr. Warzala’s salary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to $517,500 effective March 1, 2018.</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Annual Incentive Bonus. </w:t>
      </w:r>
      <w:r>
        <w:rPr>
          <w:rFonts w:ascii="Arial" w:cs="Arial" w:eastAsia="Arial" w:hAnsi="Arial"/>
          <w:sz w:val="18"/>
          <w:szCs w:val="18"/>
          <w:color w:val="auto"/>
        </w:rPr>
        <w:t>Annual incentive bonuses are paid based on achieving performance criteria set annually by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performance criteria will recognize the overall financial performance of the Company and the improvements made in financial results. Mr. Warzala participates in the Company’s annual incentive plan which is described above under the heading </w:t>
      </w:r>
      <w:r>
        <w:rPr>
          <w:rFonts w:ascii="Arial" w:cs="Arial" w:eastAsia="Arial" w:hAnsi="Arial"/>
          <w:sz w:val="18"/>
          <w:szCs w:val="18"/>
          <w:i w:val="1"/>
          <w:iCs w:val="1"/>
          <w:color w:val="auto"/>
        </w:rPr>
        <w:t>Compensation Discussion and Analysis—Elements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Compensation—Annual Cash Incentive Plan</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Equity Incentive Compensation. </w:t>
      </w:r>
      <w:r>
        <w:rPr>
          <w:rFonts w:ascii="Arial" w:cs="Arial" w:eastAsia="Arial" w:hAnsi="Arial"/>
          <w:sz w:val="17"/>
          <w:szCs w:val="17"/>
          <w:color w:val="auto"/>
        </w:rPr>
        <w:t>The Company utilizes stock based awards for short- and long-term incentives. In making its determination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regarding the grant of stock based awards, the Board considers, among other things, the Employee’s responsibilities and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 A discussion of Mr. Warzala’s short-term and long-term equity incentive awards is set forth above under the heading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Analysis—Elements of Compensation—Equity Incentive Compensation</w:t>
      </w:r>
      <w:r>
        <w:rPr>
          <w:rFonts w:ascii="Arial" w:cs="Arial" w:eastAsia="Arial" w:hAnsi="Arial"/>
          <w:sz w:val="17"/>
          <w:szCs w:val="17"/>
          <w:color w:val="auto"/>
        </w:rPr>
        <w:t>.</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Nonqualified Deferred Compensation. </w:t>
      </w:r>
      <w:r>
        <w:rPr>
          <w:rFonts w:ascii="Arial" w:cs="Arial" w:eastAsia="Arial" w:hAnsi="Arial"/>
          <w:sz w:val="18"/>
          <w:szCs w:val="18"/>
          <w:color w:val="auto"/>
        </w:rPr>
        <w:t>Effective May 31, 2011, Mr. Warzala’s employment agreement was amended to add supplemental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Under this amendment, the Company made an annual contribution of $153,856 each May beginning in 2011 and ending in 2017. The final contribution was made in 2017.</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Mr. Warzala participates in other benefits and perquisites as are generally provided by the Company to its employees.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Mr. Warzala with an automobile, personal financial planning, an annual physical examination and with life insurance for which the executive may designate the beneficiaries.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If Mr. Warzala’s employment terminates as a result of his retirement on or after January 2, 2021, the Amendment would entitle him to:</w:t>
      </w:r>
    </w:p>
    <w:p>
      <w:pPr>
        <w:sectPr>
          <w:pgSz w:w="11900" w:h="16838" w:orient="portrait"/>
          <w:cols w:equalWidth="0" w:num="1">
            <w:col w:w="11420"/>
          </w:cols>
          <w:pgMar w:left="240" w:top="125" w:right="239" w:bottom="123" w:gutter="0" w:footer="0" w:header="0"/>
        </w:sectPr>
      </w:pPr>
    </w:p>
    <w:bookmarkStart w:id="13" w:name="page14"/>
    <w:bookmarkEnd w:id="13"/>
    <w:p>
      <w:pPr>
        <w:ind w:left="1300" w:right="620" w:hanging="644"/>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cash payment equal to a prorated portion of the target bonus that he would have earned for the fiscal year in which the termination occurred had such termination not occurred; and</w:t>
      </w:r>
    </w:p>
    <w:p>
      <w:pPr>
        <w:spacing w:after="0" w:line="170" w:lineRule="exact"/>
        <w:rPr>
          <w:rFonts w:ascii="Arial" w:cs="Arial" w:eastAsia="Arial" w:hAnsi="Arial"/>
          <w:sz w:val="18"/>
          <w:szCs w:val="18"/>
          <w:color w:val="auto"/>
        </w:rPr>
      </w:pPr>
    </w:p>
    <w:p>
      <w:pPr>
        <w:ind w:left="1300" w:hanging="644"/>
        <w:spacing w:after="0" w:line="264"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 vesting of all of his outstanding equity grants and awards that vest on the basis of the passage of time only (“Time Based Awards”) or that vest on the basis of performance criteria (“Performance-Based Awards”) that have been earned but are still subject to time-based vesting outstanding on the date of retirement.</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Under the Employment Agreement as modified by the Amendment, if Mr. Warzala is terminated for cause or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resignation (other than a termination for Good Reason), the Company would have no further obligation to pay any unearned compensation or to provide any future benefits to him.</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Upon death, salary continues to the end of the month containing the date of death and for three months following. In addition, he will</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 cash payment equal to a prorated portion of the target bonus that he would have earned for the fiscal year in which the termination occurred had such termination not occurred; and immediate vesting of all of his outstanding Time Based Awards or Performance-Based Awards that have been earned but are still subject to time-based vesting, and prorated vesting of his unvested Performance-Based Awards.</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In the case of disability, salary is continued until the end of the term of the Employment Agreement, as adjusted for any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under any Company paid disability plan, or until long term disability insurance becomes effective. Benefits are continued as generally provided by the Company to its employees in accordance with the Company’s disability plan. In addition, he will receive a cash payment equal to a prorated portion of the target bonus that he would have earned for the fiscal year in which the termination occurred had such termination not occurred; and immediate vesting of all of his outstanding Time Based Awards or Performance-Based Awards that have been earned but are still subject to time-based vesting, and prorated vesting of his unvested Performance-Based Awards.</w:t>
      </w:r>
    </w:p>
    <w:p>
      <w:pPr>
        <w:spacing w:after="0" w:line="19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Involuntary Termination Without Cause or for Good Reason. </w:t>
      </w:r>
      <w:r>
        <w:rPr>
          <w:rFonts w:ascii="Arial" w:cs="Arial" w:eastAsia="Arial" w:hAnsi="Arial"/>
          <w:sz w:val="18"/>
          <w:szCs w:val="18"/>
          <w:color w:val="auto"/>
        </w:rPr>
        <w:t>If Mr. Warzala is involuntarily terminated without cause or he terminates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Good Reason, the Employment Agreement entitles him to:</w:t>
      </w:r>
    </w:p>
    <w:p>
      <w:pPr>
        <w:spacing w:after="0" w:line="170" w:lineRule="exact"/>
        <w:rPr>
          <w:sz w:val="20"/>
          <w:szCs w:val="20"/>
          <w:color w:val="auto"/>
        </w:rPr>
      </w:pPr>
    </w:p>
    <w:p>
      <w:pPr>
        <w:ind w:left="1260" w:hanging="60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amount equal to his then-current base salary payable in cash over a 12-month period;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cash payment equal to 90% of Base Salary in lieu of a bonus for the year in which termination occurs;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coverage under the Company’s benefit plans for one year following termination;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 vesting of his Time-Based Awards and or Performance-Based Awards that have been earned but are still subject to time-based and, prorated vesting of his unvested Performance-Based Awards.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D. Federico,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Gerald J. Laber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Timothy T. Tevens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Allied Motion and its subsidiaries have approximately 1,250 employees worldwide, with approximately 48% in North America and 52% in the rest of the world, including Europe and Asia. Our philosophy is to pay our employees competitively with similar positions in the applicable labor market. By doing so, we believe we maintain a high-quality, stable workforce.</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Dodd-Frank Wall Street Reform and Consumer Protection Act and Securities and Exchange Commission (“SEC”) rules require us to provide the ratio of the annual total compensation of our Chief Executive Officer, to that of an employee whose annual compensation is at the median of all our employees.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identify the employee with compensation at the median of all employees, we used taxable income for 2017 and applied this method consistently across our global employee population. We did not make any cost-of-living adjustments despite the large variety of labor markets in which our employees work nor did we use any statistical sampling to determine the median employee.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Under this methodology we determined our median employee was located in Europe with total compensation for 2017 of $33,519. Our Chief Executive Officers’ total 2017 compensation was $1,807,209 as reported in the summary compensation table. Based on this information, the ratio of the annual total compensation was 54:1.</w:t>
      </w:r>
    </w:p>
    <w:p>
      <w:pPr>
        <w:sectPr>
          <w:pgSz w:w="11900" w:h="16838" w:orient="portrait"/>
          <w:cols w:equalWidth="0" w:num="1">
            <w:col w:w="11400"/>
          </w:cols>
          <w:pgMar w:left="240" w:top="125" w:right="259" w:bottom="56" w:gutter="0" w:footer="0" w:header="0"/>
        </w:sectPr>
      </w:pPr>
    </w:p>
    <w:bookmarkStart w:id="14" w:name="page15"/>
    <w:bookmarkEnd w:id="14"/>
    <w:p>
      <w:pPr>
        <w:ind w:right="40"/>
        <w:spacing w:after="0" w:line="264" w:lineRule="auto"/>
        <w:rPr>
          <w:sz w:val="20"/>
          <w:szCs w:val="20"/>
          <w:color w:val="auto"/>
        </w:rPr>
      </w:pPr>
      <w:r>
        <w:rPr>
          <w:rFonts w:ascii="Arial" w:cs="Arial" w:eastAsia="Arial" w:hAnsi="Arial"/>
          <w:sz w:val="18"/>
          <w:szCs w:val="18"/>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Executive Officers”) for the fiscal years ended December 31, 2017, 2016 and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12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Awards(1)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Compensation(2)</w:t>
            </w:r>
          </w:p>
        </w:tc>
        <w:tc>
          <w:tcPr>
            <w:tcW w:w="1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4"/>
              </w:rPr>
              <w:t>2017</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496,083</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497,518</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606,342(3)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207,266(4)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1,807,209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President and Chief Executive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486,667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877,610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416,088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206,931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468,333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1,046,184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1,010,084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210,194</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14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2017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274,667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4"/>
            <w:shd w:val="clear" w:color="auto" w:fill="CCEEFF"/>
          </w:tcPr>
          <w:p>
            <w:pPr>
              <w:jc w:val="right"/>
              <w:ind w:right="85"/>
              <w:spacing w:after="0"/>
              <w:rPr>
                <w:sz w:val="20"/>
                <w:szCs w:val="20"/>
                <w:color w:val="auto"/>
              </w:rPr>
            </w:pPr>
            <w:r>
              <w:rPr>
                <w:rFonts w:ascii="Arial" w:cs="Arial" w:eastAsia="Arial" w:hAnsi="Arial"/>
                <w:sz w:val="18"/>
                <w:szCs w:val="18"/>
                <w:color w:val="auto"/>
              </w:rPr>
              <w:t>18,668(5)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266,667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16,477</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113,333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51,589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4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2017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224,383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4"/>
            <w:shd w:val="clear" w:color="auto" w:fill="CCEEFF"/>
          </w:tcPr>
          <w:p>
            <w:pPr>
              <w:jc w:val="right"/>
              <w:ind w:right="85"/>
              <w:spacing w:after="0"/>
              <w:rPr>
                <w:sz w:val="20"/>
                <w:szCs w:val="20"/>
                <w:color w:val="auto"/>
              </w:rPr>
            </w:pPr>
            <w:r>
              <w:rPr>
                <w:rFonts w:ascii="Arial" w:cs="Arial" w:eastAsia="Arial" w:hAnsi="Arial"/>
                <w:sz w:val="18"/>
                <w:szCs w:val="18"/>
                <w:color w:val="auto"/>
              </w:rPr>
              <w:t>18,668(6)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Vice President of Operational</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210,250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16,653</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Excellence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17,940</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4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2017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165,500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4"/>
            <w:shd w:val="clear" w:color="auto" w:fill="CCEEFF"/>
          </w:tcPr>
          <w:p>
            <w:pPr>
              <w:jc w:val="right"/>
              <w:ind w:right="85"/>
              <w:spacing w:after="0"/>
              <w:rPr>
                <w:sz w:val="20"/>
                <w:szCs w:val="20"/>
                <w:color w:val="auto"/>
              </w:rPr>
            </w:pPr>
            <w:r>
              <w:rPr>
                <w:rFonts w:ascii="Arial" w:cs="Arial" w:eastAsia="Arial" w:hAnsi="Arial"/>
                <w:sz w:val="18"/>
                <w:szCs w:val="18"/>
                <w:color w:val="auto"/>
              </w:rPr>
              <w:t>15,238(7)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of Marketing</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162,500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14,692</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2015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159,333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as reported on the Nasdaq Global Market on the date of grant. The awards consist of restricted shares with performance and/or service based vesting conditions.</w:t>
      </w:r>
    </w:p>
    <w:p>
      <w:pPr>
        <w:spacing w:after="0" w:line="170" w:lineRule="exact"/>
        <w:rPr>
          <w:rFonts w:ascii="Arial" w:cs="Arial" w:eastAsia="Arial" w:hAnsi="Arial"/>
          <w:sz w:val="18"/>
          <w:szCs w:val="18"/>
          <w:color w:val="auto"/>
        </w:rPr>
      </w:pPr>
    </w:p>
    <w:p>
      <w:pPr>
        <w:ind w:left="660" w:right="200" w:hanging="652"/>
        <w:spacing w:after="0" w:line="264"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Non-Equity Incentive Plan Compensation for 2017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81" w:lineRule="exact"/>
        <w:rPr>
          <w:rFonts w:ascii="Arial" w:cs="Arial" w:eastAsia="Arial" w:hAnsi="Arial"/>
          <w:sz w:val="18"/>
          <w:szCs w:val="18"/>
          <w:color w:val="auto"/>
        </w:rPr>
      </w:pPr>
    </w:p>
    <w:p>
      <w:pPr>
        <w:ind w:left="660" w:right="32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Non-Equity Incentive Plan Compensation for Mr. Warzala for 2017 includes a performance incentive contribution to the Deferred Compensation Plan of $349,000.</w:t>
      </w:r>
    </w:p>
    <w:p>
      <w:pPr>
        <w:spacing w:after="0" w:line="170" w:lineRule="exact"/>
        <w:rPr>
          <w:rFonts w:ascii="Arial" w:cs="Arial" w:eastAsia="Arial" w:hAnsi="Arial"/>
          <w:sz w:val="18"/>
          <w:szCs w:val="18"/>
          <w:color w:val="auto"/>
        </w:rPr>
      </w:pPr>
    </w:p>
    <w:p>
      <w:pPr>
        <w:ind w:left="660" w:right="100" w:hanging="652"/>
        <w:spacing w:after="0" w:line="279" w:lineRule="auto"/>
        <w:tabs>
          <w:tab w:leader="none" w:pos="6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Other Compensation for Mr. Warzala for 2017 includes (a) the Company’s contribution of $18,668 to the Company’s 401(k) Plan and Employee Stock Ownership Plan, (b) Company paid life insurance premiums of $24,500, (c) contribution under the Deferred Compensation Plan of $153,856 to provide Mr. Warzala a supplemental retirement benefit, (d) financial planning and physical examination services of $5,000 and (e) fair value of personal use of Company provided automobile of $5,242, as determined with reference to IRS regulations.</w:t>
      </w:r>
    </w:p>
    <w:p>
      <w:pPr>
        <w:spacing w:after="0" w:line="171" w:lineRule="exact"/>
        <w:rPr>
          <w:rFonts w:ascii="Arial" w:cs="Arial" w:eastAsia="Arial" w:hAnsi="Arial"/>
          <w:sz w:val="17"/>
          <w:szCs w:val="17"/>
          <w:color w:val="auto"/>
        </w:rPr>
      </w:pPr>
    </w:p>
    <w:p>
      <w:pPr>
        <w:ind w:left="660" w:right="2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Compensation for Mr. Leach for 2017 includes the Company’s contribution of $18,668 to the Company’s 401(k) Plan and Employee Stock Ownership Plan.</w:t>
      </w:r>
    </w:p>
    <w:p>
      <w:pPr>
        <w:spacing w:after="0" w:line="170" w:lineRule="exact"/>
        <w:rPr>
          <w:rFonts w:ascii="Arial" w:cs="Arial" w:eastAsia="Arial" w:hAnsi="Arial"/>
          <w:sz w:val="18"/>
          <w:szCs w:val="18"/>
          <w:color w:val="auto"/>
        </w:rPr>
      </w:pPr>
    </w:p>
    <w:p>
      <w:pPr>
        <w:ind w:left="66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Compensation for Mr. Maida for 2017 includes the Company’s contribution of $18,668 to the Company’s 401(k) Plan and Employee Stock Ownership Plan.</w:t>
      </w:r>
    </w:p>
    <w:p>
      <w:pPr>
        <w:spacing w:after="0" w:line="170" w:lineRule="exact"/>
        <w:rPr>
          <w:rFonts w:ascii="Arial" w:cs="Arial" w:eastAsia="Arial" w:hAnsi="Arial"/>
          <w:sz w:val="18"/>
          <w:szCs w:val="18"/>
          <w:color w:val="auto"/>
        </w:rPr>
      </w:pPr>
    </w:p>
    <w:p>
      <w:pPr>
        <w:ind w:left="660" w:right="36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Compensation for Mr. Wyman for 2017 includes the Company’s contribution of $15,238 to the Company’s 401(k) Plan and Employee Stock Ownership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grants of plan-based awards to each of the Named Executive Officers during fiscal year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Possible Payouts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Under Non-</w:t>
            </w:r>
          </w:p>
        </w:tc>
        <w:tc>
          <w:tcPr>
            <w:tcW w:w="28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Estimated Possible Payouts Under</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2840" w:type="dxa"/>
            <w:vAlign w:val="bottom"/>
            <w:gridSpan w:val="4"/>
            <w:vMerge w:val="continue"/>
          </w:tcPr>
          <w:p>
            <w:pPr>
              <w:spacing w:after="0"/>
              <w:rPr>
                <w:sz w:val="12"/>
                <w:szCs w:val="12"/>
                <w:color w:val="auto"/>
              </w:rPr>
            </w:pP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All Other Stock</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Plan Awards (1)</w:t>
            </w:r>
          </w:p>
        </w:tc>
        <w:tc>
          <w:tcPr>
            <w:tcW w:w="2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Equity Incentive Plan Awards</w:t>
            </w: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85"/>
              <w:spacing w:after="0" w:line="142" w:lineRule="exact"/>
              <w:rPr>
                <w:sz w:val="20"/>
                <w:szCs w:val="20"/>
                <w:color w:val="auto"/>
              </w:rPr>
            </w:pPr>
            <w:r>
              <w:rPr>
                <w:rFonts w:ascii="Arial" w:cs="Arial" w:eastAsia="Arial" w:hAnsi="Arial"/>
                <w:sz w:val="14"/>
                <w:szCs w:val="14"/>
                <w:b w:val="1"/>
                <w:bCs w:val="1"/>
                <w:color w:val="auto"/>
                <w:w w:val="96"/>
              </w:rPr>
              <w:t>Target($)</w:t>
            </w:r>
          </w:p>
        </w:tc>
        <w:tc>
          <w:tcPr>
            <w:tcW w:w="140" w:type="dxa"/>
            <w:vAlign w:val="bottom"/>
          </w:tcPr>
          <w:p>
            <w:pPr>
              <w:spacing w:after="0"/>
              <w:rPr>
                <w:sz w:val="12"/>
                <w:szCs w:val="12"/>
                <w:color w:val="auto"/>
              </w:rPr>
            </w:pPr>
          </w:p>
        </w:tc>
        <w:tc>
          <w:tcPr>
            <w:tcW w:w="146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Target(#)</w:t>
            </w:r>
          </w:p>
        </w:tc>
        <w:tc>
          <w:tcPr>
            <w:tcW w:w="12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2"/>
                <w:szCs w:val="12"/>
                <w:color w:val="auto"/>
              </w:rPr>
            </w:pPr>
          </w:p>
        </w:tc>
        <w:tc>
          <w:tcPr>
            <w:tcW w:w="14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Awards (#)</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Awards (4)</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Incentive Plan</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03/01/17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346,763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STIP (2)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03/01/17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331,695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Based Awards (3)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03/01/17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165,823</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Michael R. Leach</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Cash Incentive Plan</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109,867</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STIP (2)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1,420</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2,840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69,012</w:t>
            </w: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Time Based Awards (3)</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41,407</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Incentive Plan</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90,240</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STIP (2)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1,168</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2,335</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56,741</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Based Awards (3)</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34,044</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Kenneth R. Wyman</w:t>
            </w: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Cash Incentive Plan</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33,253</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STIP (2)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205</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410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9,963</w:t>
            </w: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Time Based Awards (3)</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03/01/17</w:t>
            </w: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73" w:lineRule="auto"/>
        <w:tabs>
          <w:tab w:leader="none" w:pos="6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further explained in Compensation Discussion and Analysis—Elements of Compensation—Annual Cash Incentive Plan, the executive officers were eligible for a possible cash incentive award for 2017 pursuant to the Annual Cash Incentive Plan based on corporate performance. The table reflects the possible target incentive awards based on corporate performance. The target incentive is a percentage of the actual salary earned for the year and was set as follows: Mr. Warzala (70%), Mr. Leach (40%), Mr. Maida (40%) and Mr. Wyman (20%). There is no threshold or maximum amount under the Plan. The actual amount earned by each Named Executive Officer in 2017 is reported under the Non-Equity Incentive Plan Compensation column in the Summary Compensation Table.</w:t>
      </w:r>
    </w:p>
    <w:p>
      <w:pPr>
        <w:spacing w:after="0" w:line="178" w:lineRule="exact"/>
        <w:rPr>
          <w:rFonts w:ascii="Arial" w:cs="Arial" w:eastAsia="Arial" w:hAnsi="Arial"/>
          <w:sz w:val="17"/>
          <w:szCs w:val="17"/>
          <w:color w:val="auto"/>
        </w:rPr>
      </w:pPr>
    </w:p>
    <w:p>
      <w:pPr>
        <w:ind w:left="660" w:right="40" w:hanging="652"/>
        <w:spacing w:after="0" w:line="273" w:lineRule="auto"/>
        <w:tabs>
          <w:tab w:leader="none" w:pos="667"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further explained in Compensation Discussion and Analysis—Elements of Compensation—Equity Incentive Compensation—Short-Term Equity Incentive Program above, the executive officers were eligible for restricted stock incentive performance based equity awards based on achievement of annual performance goals for 2017. If the threshold performance goals are not met, then 0% of the shares will be earned. If the target performance goals are met, approximately 50% of the STIP shares will be earned. If the maximum performance goals are met, 100% of the shares will be earned. For 2017, the performance goal was partially met and 28% of the share award was earned, which vested 1/3 on March 13, 2018 and the remainder will vest 1/3 in each of 2019 and 2020, subject to continued employment.</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Time Based stock awards that will vest in three equal annual installments beginning in March 2018.</w:t>
      </w:r>
    </w:p>
    <w:p>
      <w:pPr>
        <w:spacing w:after="0" w:line="225" w:lineRule="exact"/>
        <w:rPr>
          <w:rFonts w:ascii="Arial" w:cs="Arial" w:eastAsia="Arial" w:hAnsi="Arial"/>
          <w:sz w:val="18"/>
          <w:szCs w:val="18"/>
          <w:color w:val="auto"/>
        </w:rPr>
      </w:pPr>
    </w:p>
    <w:p>
      <w:pPr>
        <w:ind w:left="660" w:right="180" w:hanging="652"/>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are based on the average closing bid and ask price of the Company’s common stock as reported on the Nasdaq Global Market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0"/>
              </w:rPr>
              <w:t>Stock Awards</w:t>
            </w:r>
          </w:p>
        </w:tc>
        <w:tc>
          <w:tcPr>
            <w:tcW w:w="1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Equity Incentive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rPr>
              <w:t>Incentive Plan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Awards: Market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3"/>
            <w:vMerge w:val="restart"/>
          </w:tcPr>
          <w:p>
            <w:pPr>
              <w:jc w:val="center"/>
              <w:ind w:right="390"/>
              <w:spacing w:after="0"/>
              <w:rPr>
                <w:sz w:val="20"/>
                <w:szCs w:val="20"/>
                <w:color w:val="auto"/>
              </w:rPr>
            </w:pPr>
            <w:r>
              <w:rPr>
                <w:rFonts w:ascii="Arial" w:cs="Arial" w:eastAsia="Arial" w:hAnsi="Arial"/>
                <w:sz w:val="14"/>
                <w:szCs w:val="14"/>
                <w:b w:val="1"/>
                <w:bCs w:val="1"/>
                <w:color w:val="auto"/>
                <w:w w:val="91"/>
              </w:rPr>
              <w:t>Number of Shares</w:t>
            </w:r>
          </w:p>
        </w:tc>
        <w:tc>
          <w:tcPr>
            <w:tcW w:w="208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6"/>
              </w:rPr>
              <w:t>Market Value of</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Value or Payout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3"/>
          </w:tcPr>
          <w:p>
            <w:pPr>
              <w:jc w:val="center"/>
              <w:ind w:right="390"/>
              <w:spacing w:after="0" w:line="149" w:lineRule="exact"/>
              <w:rPr>
                <w:sz w:val="20"/>
                <w:szCs w:val="20"/>
                <w:color w:val="auto"/>
              </w:rPr>
            </w:pPr>
            <w:r>
              <w:rPr>
                <w:rFonts w:ascii="Arial" w:cs="Arial" w:eastAsia="Arial" w:hAnsi="Arial"/>
                <w:sz w:val="14"/>
                <w:szCs w:val="14"/>
                <w:b w:val="1"/>
                <w:bCs w:val="1"/>
                <w:color w:val="auto"/>
                <w:w w:val="91"/>
              </w:rPr>
              <w:t>or Units of Stock</w:t>
            </w:r>
          </w:p>
        </w:tc>
        <w:tc>
          <w:tcPr>
            <w:tcW w:w="20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3"/>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20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Stock That Have</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vMerge w:val="restart"/>
          </w:tcPr>
          <w:p>
            <w:pPr>
              <w:spacing w:after="0"/>
              <w:rPr>
                <w:sz w:val="12"/>
                <w:szCs w:val="12"/>
                <w:color w:val="auto"/>
              </w:rPr>
            </w:pPr>
          </w:p>
        </w:tc>
        <w:tc>
          <w:tcPr>
            <w:tcW w:w="2100" w:type="dxa"/>
            <w:vAlign w:val="bottom"/>
            <w:gridSpan w:val="3"/>
          </w:tcPr>
          <w:p>
            <w:pPr>
              <w:jc w:val="center"/>
              <w:ind w:right="410"/>
              <w:spacing w:after="0" w:line="149" w:lineRule="exact"/>
              <w:rPr>
                <w:sz w:val="20"/>
                <w:szCs w:val="20"/>
                <w:color w:val="auto"/>
              </w:rPr>
            </w:pPr>
            <w:r>
              <w:rPr>
                <w:rFonts w:ascii="Arial" w:cs="Arial" w:eastAsia="Arial" w:hAnsi="Arial"/>
                <w:sz w:val="14"/>
                <w:szCs w:val="14"/>
                <w:b w:val="1"/>
                <w:bCs w:val="1"/>
                <w:color w:val="auto"/>
                <w:w w:val="87"/>
              </w:rPr>
              <w:t>Vested</w:t>
            </w:r>
          </w:p>
        </w:tc>
        <w:tc>
          <w:tcPr>
            <w:tcW w:w="20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3"/>
              </w:rPr>
              <w:t>Not Vested (#)(2)</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3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80,679(3)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2,669,668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44,154(4)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2100" w:type="dxa"/>
            <w:vAlign w:val="bottom"/>
            <w:gridSpan w:val="3"/>
          </w:tcPr>
          <w:p>
            <w:pPr>
              <w:jc w:val="right"/>
              <w:ind w:right="10"/>
              <w:spacing w:after="0"/>
              <w:rPr>
                <w:sz w:val="20"/>
                <w:szCs w:val="20"/>
                <w:color w:val="auto"/>
              </w:rPr>
            </w:pPr>
            <w:r>
              <w:rPr>
                <w:rFonts w:ascii="Arial" w:cs="Arial" w:eastAsia="Arial" w:hAnsi="Arial"/>
                <w:sz w:val="18"/>
                <w:szCs w:val="18"/>
                <w:color w:val="auto"/>
              </w:rPr>
              <w:t>7,241(5) $</w:t>
            </w:r>
          </w:p>
        </w:tc>
        <w:tc>
          <w:tcPr>
            <w:tcW w:w="1500" w:type="dxa"/>
            <w:vAlign w:val="bottom"/>
          </w:tcPr>
          <w:p>
            <w:pPr>
              <w:jc w:val="right"/>
              <w:spacing w:after="0"/>
              <w:rPr>
                <w:sz w:val="20"/>
                <w:szCs w:val="20"/>
                <w:color w:val="auto"/>
              </w:rPr>
            </w:pPr>
            <w:r>
              <w:rPr>
                <w:rFonts w:ascii="Arial" w:cs="Arial" w:eastAsia="Arial" w:hAnsi="Arial"/>
                <w:sz w:val="18"/>
                <w:szCs w:val="18"/>
                <w:color w:val="auto"/>
              </w:rPr>
              <w:t>239,605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6,866(6)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227,196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21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9,072(7)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181,896</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2100" w:type="dxa"/>
            <w:vAlign w:val="bottom"/>
            <w:gridSpan w:val="3"/>
          </w:tcPr>
          <w:p>
            <w:pPr>
              <w:jc w:val="right"/>
              <w:ind w:right="10"/>
              <w:spacing w:after="0"/>
              <w:rPr>
                <w:sz w:val="20"/>
                <w:szCs w:val="20"/>
                <w:color w:val="auto"/>
              </w:rPr>
            </w:pPr>
            <w:r>
              <w:rPr>
                <w:rFonts w:ascii="Arial" w:cs="Arial" w:eastAsia="Arial" w:hAnsi="Arial"/>
                <w:sz w:val="18"/>
                <w:szCs w:val="18"/>
                <w:color w:val="auto"/>
              </w:rPr>
              <w:t>980(9) $</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32,428</w:t>
            </w:r>
          </w:p>
        </w:tc>
        <w:tc>
          <w:tcPr>
            <w:tcW w:w="28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410(10) $</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center"/>
        <w:ind w:left="5620" w:right="320" w:hanging="5612"/>
        <w:spacing w:after="0" w:line="52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 is based on the closing price of the Company’s common stock of $33.09 on December 31, 2017, as reported on the Nasdaq Global Market.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Comprised of shares of restricted stock that are subject to future performance goals under the Company’s Long-Term Incentive Plan.</w:t>
      </w:r>
    </w:p>
    <w:p>
      <w:pPr>
        <w:spacing w:after="0" w:line="225" w:lineRule="exact"/>
        <w:rPr>
          <w:rFonts w:ascii="Arial" w:cs="Arial" w:eastAsia="Arial" w:hAnsi="Arial"/>
          <w:sz w:val="18"/>
          <w:szCs w:val="18"/>
          <w:color w:val="auto"/>
        </w:rPr>
      </w:pPr>
    </w:p>
    <w:p>
      <w:pPr>
        <w:ind w:left="660" w:right="280" w:hanging="652"/>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time based awards, including performance based awards that were previously earned but remain subject to time based vesting, 62,597 shares vest in 2018; 11,804 shares vest in 2019; 4,277 shares vest in 2020; and 2,001 shares vest in 2021, in each case subject to continued employment.</w:t>
      </w:r>
    </w:p>
    <w:p>
      <w:pPr>
        <w:spacing w:after="0" w:line="181" w:lineRule="exact"/>
        <w:rPr>
          <w:rFonts w:ascii="Arial" w:cs="Arial" w:eastAsia="Arial" w:hAnsi="Arial"/>
          <w:sz w:val="18"/>
          <w:szCs w:val="18"/>
          <w:color w:val="auto"/>
        </w:rPr>
      </w:pPr>
    </w:p>
    <w:p>
      <w:pPr>
        <w:ind w:left="660" w:right="20" w:hanging="652"/>
        <w:spacing w:after="0" w:line="312" w:lineRule="auto"/>
        <w:tabs>
          <w:tab w:leader="none" w:pos="6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13,650 shares of restricted stock that were granted in 2017 but were not vested as of December 31, 2017. Of these shares 3,763 shares were earned based on achievement of performance goals for 2017, of which 1,255 shares vested on March 13, 2018. The remaining 9,887 shares were cancelled. Includes 30,504 shares that were granted in previous years and have not been earned as of December 31, 2017.</w:t>
      </w:r>
    </w:p>
    <w:p>
      <w:pPr>
        <w:spacing w:after="0" w:line="146" w:lineRule="exact"/>
        <w:rPr>
          <w:rFonts w:ascii="Arial" w:cs="Arial" w:eastAsia="Arial" w:hAnsi="Arial"/>
          <w:sz w:val="16"/>
          <w:szCs w:val="16"/>
          <w:color w:val="auto"/>
        </w:rPr>
      </w:pPr>
    </w:p>
    <w:p>
      <w:pPr>
        <w:ind w:left="660" w:right="160" w:hanging="652"/>
        <w:spacing w:after="0" w:line="381" w:lineRule="auto"/>
        <w:tabs>
          <w:tab w:leader="none" w:pos="6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Consists of time based awards, including performance based awards that were previously earned but remain subject to time based vesting, 3,639 shares vest in 2018; 2,496 shares vest in 2019; 837 shares vest in 2020; and 269 shares vest in 2021, in each case subject to continued employment.</w:t>
      </w:r>
    </w:p>
    <w:p>
      <w:pPr>
        <w:spacing w:after="0" w:line="100" w:lineRule="exact"/>
        <w:rPr>
          <w:rFonts w:ascii="Arial" w:cs="Arial" w:eastAsia="Arial" w:hAnsi="Arial"/>
          <w:sz w:val="15"/>
          <w:szCs w:val="15"/>
          <w:color w:val="auto"/>
        </w:rPr>
      </w:pPr>
    </w:p>
    <w:p>
      <w:pPr>
        <w:ind w:left="660" w:right="240" w:hanging="652"/>
        <w:spacing w:after="0" w:line="312" w:lineRule="auto"/>
        <w:tabs>
          <w:tab w:leader="none" w:pos="6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2,840 shares of restricted stock that were granted in 2017 but were not vested as of December 31, 2017. Of these shares 783 shares were earned based on achievement of performance goals for 2017, of which 261 shares vested on March 13, 2018. The remaining 2,057 shares were cancelled. Includes 4,026 shares that were granted in previous years and have not been earned as of December 31, 2017.</w:t>
      </w:r>
    </w:p>
    <w:p>
      <w:pPr>
        <w:spacing w:after="0" w:line="146" w:lineRule="exact"/>
        <w:rPr>
          <w:rFonts w:ascii="Arial" w:cs="Arial" w:eastAsia="Arial" w:hAnsi="Arial"/>
          <w:sz w:val="16"/>
          <w:szCs w:val="16"/>
          <w:color w:val="auto"/>
        </w:rPr>
      </w:pPr>
    </w:p>
    <w:p>
      <w:pPr>
        <w:ind w:left="660" w:right="160" w:hanging="652"/>
        <w:spacing w:after="0" w:line="381" w:lineRule="auto"/>
        <w:tabs>
          <w:tab w:leader="none" w:pos="6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Consists of time based awards, including performance based awards that were previously earned but remain subject to time based vesting, 6,701 shares vest in 2018; 1,492 shares vest in 2019; 674 shares vest in 2020; and 205 shares vest in 2021, in each case subject to continued employment.</w:t>
      </w:r>
    </w:p>
    <w:p>
      <w:pPr>
        <w:sectPr>
          <w:pgSz w:w="11900" w:h="16838" w:orient="portrait"/>
          <w:cols w:equalWidth="0" w:num="1">
            <w:col w:w="11420"/>
          </w:cols>
          <w:pgMar w:left="240" w:top="125" w:right="239" w:bottom="0" w:gutter="0" w:footer="0" w:header="0"/>
        </w:sectPr>
      </w:pPr>
    </w:p>
    <w:bookmarkStart w:id="16" w:name="page17"/>
    <w:bookmarkEnd w:id="16"/>
    <w:p>
      <w:pPr>
        <w:ind w:left="660" w:right="280" w:hanging="652"/>
        <w:spacing w:after="0" w:line="312" w:lineRule="auto"/>
        <w:tabs>
          <w:tab w:leader="none" w:pos="6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2,335 shares of restricted stock that were granted in 2017 but were not vested as of December 31, 2017. Of these shares 644 shares were earned based on achievement of performance goals for 2017, of which 215 shares vested on March 13, 2018. The remaining 1,691 shares were cancelled. Includes 3,162 shares that were granted in previous years and have not been earned as of December 31, 2017.</w:t>
      </w:r>
    </w:p>
    <w:p>
      <w:pPr>
        <w:spacing w:after="0" w:line="146" w:lineRule="exact"/>
        <w:rPr>
          <w:rFonts w:ascii="Arial" w:cs="Arial" w:eastAsia="Arial" w:hAnsi="Arial"/>
          <w:sz w:val="16"/>
          <w:szCs w:val="16"/>
          <w:color w:val="auto"/>
        </w:rPr>
      </w:pPr>
    </w:p>
    <w:p>
      <w:pPr>
        <w:ind w:left="660" w:right="40" w:hanging="652"/>
        <w:spacing w:after="0" w:line="277"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time based awards, including performance based awards that were previously earned but remain subject to time based vesting, 545 shares vest in 2018; 345 shares vest in 2019; and 90 shares vest in 2020, in each case subject to continued employment.</w:t>
      </w:r>
    </w:p>
    <w:p>
      <w:pPr>
        <w:spacing w:after="0" w:line="170" w:lineRule="exact"/>
        <w:rPr>
          <w:rFonts w:ascii="Arial" w:cs="Arial" w:eastAsia="Arial" w:hAnsi="Arial"/>
          <w:sz w:val="18"/>
          <w:szCs w:val="18"/>
          <w:color w:val="auto"/>
        </w:rPr>
      </w:pPr>
    </w:p>
    <w:p>
      <w:pPr>
        <w:ind w:left="660" w:right="440" w:hanging="652"/>
        <w:spacing w:after="0" w:line="264" w:lineRule="auto"/>
        <w:tabs>
          <w:tab w:leader="none" w:pos="6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410 shares of restricted stock that were granted in 2017 but were not vested as of December 31, 2017. Of these shares 113 shares were earned based on achievement of performance goals for 2017, of which 75 shares vested on March 13, 2018. The remaining 297 shares were cancelled.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2017</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regarding restricted stock awards that vested during 2017 for each of the Named Officers. No options were owned or exercised by the Named Officers in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Stock Awards</w:t>
            </w:r>
          </w:p>
        </w:tc>
        <w:tc>
          <w:tcPr>
            <w:tcW w:w="1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4"/>
          </w:tcPr>
          <w:p>
            <w:pPr>
              <w:jc w:val="center"/>
              <w:ind w:right="385"/>
              <w:spacing w:after="0" w:line="119" w:lineRule="exact"/>
              <w:rPr>
                <w:sz w:val="20"/>
                <w:szCs w:val="20"/>
                <w:color w:val="auto"/>
              </w:rPr>
            </w:pPr>
            <w:r>
              <w:rPr>
                <w:rFonts w:ascii="Arial" w:cs="Arial" w:eastAsia="Arial" w:hAnsi="Arial"/>
                <w:sz w:val="13"/>
                <w:szCs w:val="13"/>
                <w:b w:val="1"/>
                <w:bCs w:val="1"/>
                <w:color w:val="auto"/>
                <w:w w:val="99"/>
              </w:rPr>
              <w:t>Number of Shares Acquired on</w:t>
            </w:r>
          </w:p>
        </w:tc>
        <w:tc>
          <w:tcPr>
            <w:tcW w:w="1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Value Realized on Vesting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center"/>
              <w:ind w:left="684"/>
              <w:spacing w:after="0" w:line="149" w:lineRule="exact"/>
              <w:rPr>
                <w:sz w:val="20"/>
                <w:szCs w:val="20"/>
                <w:color w:val="auto"/>
              </w:rPr>
            </w:pPr>
            <w:r>
              <w:rPr>
                <w:rFonts w:ascii="Arial" w:cs="Arial" w:eastAsia="Arial" w:hAnsi="Arial"/>
                <w:sz w:val="14"/>
                <w:szCs w:val="14"/>
                <w:b w:val="1"/>
                <w:bCs w:val="1"/>
                <w:color w:val="auto"/>
                <w:w w:val="90"/>
              </w:rPr>
              <w:t>Vesting</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4700" w:type="dxa"/>
            <w:vAlign w:val="bottom"/>
            <w:gridSpan w:val="3"/>
          </w:tcPr>
          <w:p>
            <w:pPr>
              <w:jc w:val="center"/>
              <w:ind w:left="3634"/>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right"/>
              <w:ind w:right="8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left="684"/>
              <w:spacing w:after="0"/>
              <w:rPr>
                <w:sz w:val="20"/>
                <w:szCs w:val="20"/>
                <w:color w:val="auto"/>
              </w:rPr>
            </w:pPr>
            <w:r>
              <w:rPr>
                <w:rFonts w:ascii="Arial" w:cs="Arial" w:eastAsia="Arial" w:hAnsi="Arial"/>
                <w:sz w:val="18"/>
                <w:szCs w:val="18"/>
                <w:color w:val="auto"/>
                <w:w w:val="90"/>
              </w:rPr>
              <w:t>84,100</w:t>
            </w: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Michael R. Leach</w:t>
            </w:r>
          </w:p>
        </w:tc>
        <w:tc>
          <w:tcPr>
            <w:tcW w:w="4700" w:type="dxa"/>
            <w:vAlign w:val="bottom"/>
            <w:gridSpan w:val="3"/>
          </w:tcPr>
          <w:p>
            <w:pPr>
              <w:jc w:val="center"/>
              <w:ind w:left="3654"/>
              <w:spacing w:after="0"/>
              <w:rPr>
                <w:sz w:val="20"/>
                <w:szCs w:val="20"/>
                <w:color w:val="auto"/>
              </w:rPr>
            </w:pPr>
            <w:r>
              <w:rPr>
                <w:rFonts w:ascii="Arial" w:cs="Arial" w:eastAsia="Arial" w:hAnsi="Arial"/>
                <w:sz w:val="18"/>
                <w:szCs w:val="18"/>
                <w:color w:val="auto"/>
                <w:w w:val="88"/>
              </w:rPr>
              <w:t>3,074</w:t>
            </w:r>
          </w:p>
        </w:tc>
        <w:tc>
          <w:tcPr>
            <w:tcW w:w="12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69,751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4700" w:type="dxa"/>
            <w:vAlign w:val="bottom"/>
            <w:gridSpan w:val="3"/>
            <w:shd w:val="clear" w:color="auto" w:fill="CCEEFF"/>
          </w:tcPr>
          <w:p>
            <w:pPr>
              <w:jc w:val="center"/>
              <w:ind w:left="3654"/>
              <w:spacing w:after="0"/>
              <w:rPr>
                <w:sz w:val="20"/>
                <w:szCs w:val="20"/>
                <w:color w:val="auto"/>
              </w:rPr>
            </w:pPr>
            <w:r>
              <w:rPr>
                <w:rFonts w:ascii="Arial" w:cs="Arial" w:eastAsia="Arial" w:hAnsi="Arial"/>
                <w:sz w:val="18"/>
                <w:szCs w:val="18"/>
                <w:color w:val="auto"/>
                <w:w w:val="88"/>
              </w:rPr>
              <w:t>8,700</w:t>
            </w:r>
          </w:p>
        </w:tc>
        <w:tc>
          <w:tcPr>
            <w:tcW w:w="12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Kenneth R. Wyman</w:t>
            </w:r>
          </w:p>
        </w:tc>
        <w:tc>
          <w:tcPr>
            <w:tcW w:w="4700" w:type="dxa"/>
            <w:vAlign w:val="bottom"/>
            <w:gridSpan w:val="3"/>
          </w:tcPr>
          <w:p>
            <w:pPr>
              <w:jc w:val="center"/>
              <w:ind w:left="3634"/>
              <w:spacing w:after="0"/>
              <w:rPr>
                <w:sz w:val="20"/>
                <w:szCs w:val="20"/>
                <w:color w:val="auto"/>
              </w:rPr>
            </w:pPr>
            <w:r>
              <w:rPr>
                <w:rFonts w:ascii="Arial" w:cs="Arial" w:eastAsia="Arial" w:hAnsi="Arial"/>
                <w:sz w:val="18"/>
                <w:szCs w:val="18"/>
                <w:color w:val="auto"/>
                <w:w w:val="86"/>
              </w:rPr>
              <w:t>956</w:t>
            </w:r>
          </w:p>
        </w:tc>
        <w:tc>
          <w:tcPr>
            <w:tcW w:w="12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19,829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20" w:type="dxa"/>
            <w:vAlign w:val="bottom"/>
          </w:tcPr>
          <w:p>
            <w:pPr>
              <w:spacing w:after="0"/>
              <w:rPr>
                <w:sz w:val="24"/>
                <w:szCs w:val="24"/>
                <w:color w:val="auto"/>
              </w:rPr>
            </w:pPr>
          </w:p>
        </w:tc>
        <w:tc>
          <w:tcPr>
            <w:tcW w:w="2660" w:type="dxa"/>
            <w:vAlign w:val="bottom"/>
          </w:tcPr>
          <w:p>
            <w:pPr>
              <w:jc w:val="right"/>
              <w:ind w:right="294"/>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has an employment agreement with Richard S. Warzala, President, Chief Executive Officer and Chairman of the Board. The terms of this agreement (as amended) are described in detail under the caption “Compensation of Executive Officers — Chief Executive Officer Employment Agreement”.</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following table shows potential payouts under the Mr. Warzala’s Employment Agreement assuming that employment was terminated in each situation listed in the table and that termination occurred on the last business day of 2017. Upon a change in control of the Company, the executive would be entitled to payments and benefits under the change in control agreement discussed below and such payments are not to be duplicated by any requirements of the Employment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left="164"/>
              <w:spacing w:after="0"/>
              <w:rPr>
                <w:sz w:val="20"/>
                <w:szCs w:val="20"/>
                <w:color w:val="auto"/>
              </w:rPr>
            </w:pPr>
            <w:r>
              <w:rPr>
                <w:rFonts w:ascii="Arial" w:cs="Arial" w:eastAsia="Arial" w:hAnsi="Arial"/>
                <w:sz w:val="14"/>
                <w:szCs w:val="14"/>
                <w:b w:val="1"/>
                <w:bCs w:val="1"/>
                <w:color w:val="auto"/>
                <w:w w:val="95"/>
              </w:rPr>
              <w:t>Voluntary</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Voluntary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Resignation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Resignation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3"/>
              </w:rPr>
              <w:t>without Good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with Good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164"/>
              <w:spacing w:after="0" w:line="149" w:lineRule="exact"/>
              <w:rPr>
                <w:sz w:val="20"/>
                <w:szCs w:val="20"/>
                <w:color w:val="auto"/>
              </w:rPr>
            </w:pPr>
            <w:r>
              <w:rPr>
                <w:rFonts w:ascii="Arial" w:cs="Arial" w:eastAsia="Arial" w:hAnsi="Arial"/>
                <w:sz w:val="14"/>
                <w:szCs w:val="14"/>
                <w:b w:val="1"/>
                <w:bCs w:val="1"/>
                <w:color w:val="auto"/>
                <w:w w:val="90"/>
              </w:rPr>
              <w:t>Reason or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Reason or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5"/>
              </w:rPr>
              <w:t>Involuntary</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Death or</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1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140" w:type="dxa"/>
            <w:vAlign w:val="bottom"/>
          </w:tcPr>
          <w:p>
            <w:pPr>
              <w:jc w:val="center"/>
              <w:ind w:left="144"/>
              <w:spacing w:after="0"/>
              <w:rPr>
                <w:sz w:val="20"/>
                <w:szCs w:val="20"/>
                <w:color w:val="auto"/>
              </w:rPr>
            </w:pPr>
            <w:r>
              <w:rPr>
                <w:rFonts w:ascii="Arial" w:cs="Arial" w:eastAsia="Arial" w:hAnsi="Arial"/>
                <w:sz w:val="14"/>
                <w:szCs w:val="14"/>
                <w:b w:val="1"/>
                <w:bCs w:val="1"/>
                <w:color w:val="auto"/>
                <w:w w:val="92"/>
              </w:rPr>
              <w:t>with Cause(1)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Without Cause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Disability</w:t>
            </w: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Severance Pay</w:t>
            </w:r>
          </w:p>
        </w:tc>
        <w:tc>
          <w:tcPr>
            <w:tcW w:w="1140" w:type="dxa"/>
            <w:vAlign w:val="bottom"/>
          </w:tcPr>
          <w:p>
            <w:pPr>
              <w:jc w:val="right"/>
              <w:ind w:right="964"/>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497,500(2)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Annual Bonus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447,750(4)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348,250(5)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348,250(5)</w:t>
            </w:r>
          </w:p>
        </w:tc>
        <w:tc>
          <w:tcPr>
            <w:tcW w:w="0" w:type="dxa"/>
            <w:vAlign w:val="bottom"/>
          </w:tcPr>
          <w:p>
            <w:pPr>
              <w:spacing w:after="0"/>
              <w:rPr>
                <w:sz w:val="1"/>
                <w:szCs w:val="1"/>
                <w:color w:val="auto"/>
              </w:rPr>
            </w:pPr>
          </w:p>
        </w:tc>
      </w:tr>
      <w:tr>
        <w:trPr>
          <w:trHeight w:val="202"/>
        </w:trPr>
        <w:tc>
          <w:tcPr>
            <w:tcW w:w="45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Deferred Compensation Plan Performance Contribution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349,000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349,000</w:t>
            </w: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349,000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Performance Based Awards (7)</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420,873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420,873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Accelerated Vesting of Time-Based Equity Awards (8)</w:t>
            </w:r>
          </w:p>
        </w:tc>
        <w:tc>
          <w:tcPr>
            <w:tcW w:w="11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2,821,540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2,821,540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2,821,540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Healthcare and other Insurance Benefits</w:t>
            </w:r>
          </w:p>
        </w:tc>
        <w:tc>
          <w:tcPr>
            <w:tcW w:w="11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45,000(9)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w w:val="95"/>
              </w:rPr>
              <w:t>—(10)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ind w:right="96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4,581,664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3,939,664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3,518,790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due to resignation or involuntary termination with cause does not affect the Company’s obligation to make all payments to the executive which were fixed and determined prior to the effective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12 months Base Salary payable in cash over a 12-month period.</w:t>
      </w:r>
    </w:p>
    <w:p>
      <w:pPr>
        <w:spacing w:after="0" w:line="225" w:lineRule="exact"/>
        <w:rPr>
          <w:rFonts w:ascii="Arial" w:cs="Arial" w:eastAsia="Arial" w:hAnsi="Arial"/>
          <w:sz w:val="18"/>
          <w:szCs w:val="18"/>
          <w:color w:val="auto"/>
        </w:rPr>
      </w:pPr>
    </w:p>
    <w:p>
      <w:pPr>
        <w:ind w:left="660" w:right="100" w:hanging="652"/>
        <w:spacing w:after="0" w:line="286" w:lineRule="auto"/>
        <w:tabs>
          <w:tab w:leader="none" w:pos="6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Upon Death, salary continues to the end of the month containing the date of death and for three months following. For Disability, the Company shall continue the executive’s salary (adjusted for any compensation payable to him under any Company paid disability plan during such period) for the greater of (x) the remaining term of the Agreement or (y) until long term disability insurance coverage becomes effective.</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90% of Base Salary for the year in which the termination date occurs.</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target bonus for the year.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lump-sum payment of the current year Deferred Compensation Plan performance based award.</w:t>
      </w:r>
    </w:p>
    <w:p>
      <w:pPr>
        <w:sectPr>
          <w:pgSz w:w="11900" w:h="16838" w:orient="portrait"/>
          <w:cols w:equalWidth="0" w:num="1">
            <w:col w:w="11460"/>
          </w:cols>
          <w:pgMar w:left="240" w:top="125" w:right="199" w:bottom="86" w:gutter="0" w:footer="0" w:header="0"/>
        </w:sectPr>
      </w:pPr>
    </w:p>
    <w:bookmarkStart w:id="17" w:name="page18"/>
    <w:bookmarkEnd w:id="17"/>
    <w:p>
      <w:pPr>
        <w:spacing w:after="0" w:line="29" w:lineRule="exact"/>
        <w:rPr>
          <w:sz w:val="20"/>
          <w:szCs w:val="20"/>
          <w:color w:val="auto"/>
        </w:rPr>
      </w:pPr>
    </w:p>
    <w:p>
      <w:pPr>
        <w:ind w:left="660" w:right="460" w:hanging="652"/>
        <w:spacing w:after="0" w:line="277" w:lineRule="auto"/>
        <w:tabs>
          <w:tab w:leader="none" w:pos="6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applicable performance period during which employment is terminated) of the cash or securities under any Performance Based Awards.</w:t>
      </w:r>
    </w:p>
    <w:p>
      <w:pPr>
        <w:spacing w:after="0" w:line="170" w:lineRule="exact"/>
        <w:rPr>
          <w:rFonts w:ascii="Arial" w:cs="Arial" w:eastAsia="Arial" w:hAnsi="Arial"/>
          <w:sz w:val="18"/>
          <w:szCs w:val="18"/>
          <w:color w:val="auto"/>
        </w:rPr>
      </w:pPr>
    </w:p>
    <w:p>
      <w:pPr>
        <w:ind w:left="660" w:right="60" w:hanging="652"/>
        <w:spacing w:after="0" w:line="342" w:lineRule="auto"/>
        <w:tabs>
          <w:tab w:leader="none" w:pos="6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acceleration of all time-based stock awards, including performance-based awards that were previously earned but remain subject to time-based vesting at the date of termination, based on our closing stock price of $33.09 per share as of December 29, 2017, plus accrued dividends.</w:t>
      </w:r>
    </w:p>
    <w:p>
      <w:pPr>
        <w:spacing w:after="0" w:line="123" w:lineRule="exact"/>
        <w:rPr>
          <w:rFonts w:ascii="Arial" w:cs="Arial" w:eastAsia="Arial" w:hAnsi="Arial"/>
          <w:sz w:val="16"/>
          <w:szCs w:val="16"/>
          <w:color w:val="auto"/>
        </w:rPr>
      </w:pPr>
    </w:p>
    <w:p>
      <w:pPr>
        <w:ind w:left="660" w:right="120" w:hanging="652"/>
        <w:spacing w:after="0" w:line="277" w:lineRule="auto"/>
        <w:tabs>
          <w:tab w:leader="none" w:pos="6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estimated incremental cost to the Company for one year of health, dental, long-term disability and life insurance coverages based on the coverage that existed at the date of termination.</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Disability, the Company shall continue the same coverage under medical, dental, long-term disability and life insurance for the greater of (x) the remaining term of the Agreement or (y) until long term disability insurance coverage becomes effective.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has also entered into separate agreements with Messrs. Warzala, Leach and Maida that provide for certain payments upon termination of employment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in a lump sum in cash. The most significant components of those benefits are as follows:</w:t>
      </w:r>
    </w:p>
    <w:p>
      <w:pPr>
        <w:spacing w:after="0" w:line="167" w:lineRule="exact"/>
        <w:rPr>
          <w:sz w:val="20"/>
          <w:szCs w:val="20"/>
          <w:color w:val="auto"/>
        </w:rPr>
      </w:pPr>
    </w:p>
    <w:p>
      <w:pPr>
        <w:ind w:left="660" w:hanging="328"/>
        <w:spacing w:after="0" w:line="342" w:lineRule="auto"/>
        <w:tabs>
          <w:tab w:leader="none" w:pos="6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severance payment equal to a multiple (2.5 times for Mr. Warzala and 1.0 times for Messrs. Leach and Maida) of the executive’s annual base salary plus the highest amount paid or payable pursuant to the annual incentive plan applicable to the executive for any of the 3 prior fiscal years;</w:t>
      </w:r>
    </w:p>
    <w:p>
      <w:pPr>
        <w:spacing w:after="0" w:line="123" w:lineRule="exact"/>
        <w:rPr>
          <w:rFonts w:ascii="Arial" w:cs="Arial" w:eastAsia="Arial" w:hAnsi="Arial"/>
          <w:sz w:val="16"/>
          <w:szCs w:val="16"/>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benefit payment equal to 25% of annual salary for 24 months to purchase healthcare and other insurance benefits;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all legal fees and expenses incurred as a result of termination.</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Warzala’s agreement provides a prorata payment for the current year benefit pursuant to any annual or long-term incentive plan applicable to the executive for the year that includes the Date of Termination.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show potential payouts under the change of control agreements assuming that the employment of the executive was terminated in each situation listed in the table and that termination occurred on the last business day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Richard S. Warzala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center"/>
              <w:ind w:left="287"/>
              <w:spacing w:after="0"/>
              <w:rPr>
                <w:sz w:val="20"/>
                <w:szCs w:val="20"/>
                <w:color w:val="auto"/>
              </w:rPr>
            </w:pPr>
            <w:r>
              <w:rPr>
                <w:rFonts w:ascii="Arial" w:cs="Arial" w:eastAsia="Arial" w:hAnsi="Arial"/>
                <w:sz w:val="14"/>
                <w:szCs w:val="14"/>
                <w:b w:val="1"/>
                <w:bCs w:val="1"/>
                <w:color w:val="auto"/>
                <w:w w:val="95"/>
              </w:rPr>
              <w:t>Voluntary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1"/>
              </w:rPr>
              <w:t>Resignation without</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98"/>
              </w:rPr>
              <w:t>Involuntary</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90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94"/>
              </w:rPr>
              <w:t>Termination with</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1900" w:type="dxa"/>
            <w:vAlign w:val="bottom"/>
          </w:tcPr>
          <w:p>
            <w:pPr>
              <w:jc w:val="center"/>
              <w:ind w:left="287"/>
              <w:spacing w:after="0"/>
              <w:rPr>
                <w:sz w:val="20"/>
                <w:szCs w:val="20"/>
                <w:color w:val="auto"/>
              </w:rPr>
            </w:pPr>
            <w:r>
              <w:rPr>
                <w:rFonts w:ascii="Arial" w:cs="Arial" w:eastAsia="Arial" w:hAnsi="Arial"/>
                <w:sz w:val="14"/>
                <w:szCs w:val="14"/>
                <w:b w:val="1"/>
                <w:bCs w:val="1"/>
                <w:color w:val="auto"/>
                <w:w w:val="90"/>
              </w:rPr>
              <w:t>Cause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Cause</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3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Severance Pay (1)</w:t>
            </w:r>
          </w:p>
        </w:tc>
        <w:tc>
          <w:tcPr>
            <w:tcW w:w="1900" w:type="dxa"/>
            <w:vAlign w:val="bottom"/>
          </w:tcPr>
          <w:p>
            <w:pPr>
              <w:jc w:val="right"/>
              <w:ind w:right="1747"/>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1,896,487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Annual Bonus (2)</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Deferred Compensation Plan Performance Contribution (3)</w:t>
            </w:r>
          </w:p>
        </w:tc>
        <w:tc>
          <w:tcPr>
            <w:tcW w:w="19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1,379,833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Performance-Based Awards (4)</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Accelerated Vesting of Time-Based Equity Awards (5)</w:t>
            </w:r>
          </w:p>
        </w:tc>
        <w:tc>
          <w:tcPr>
            <w:tcW w:w="19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2,821,540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Healthcare and other Insurance Benefits (6)</w:t>
            </w:r>
          </w:p>
        </w:tc>
        <w:tc>
          <w:tcPr>
            <w:tcW w:w="1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shd w:val="clear" w:color="auto" w:fill="CCEEFF"/>
          </w:tcPr>
          <w:p>
            <w:pPr>
              <w:jc w:val="right"/>
              <w:ind w:right="17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7,024,826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80" w:hanging="652"/>
        <w:spacing w:after="0" w:line="308" w:lineRule="auto"/>
        <w:tabs>
          <w:tab w:leader="none" w:pos="667"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lump sum severance payment equal to 2.5 times the sum of the Base Salary and the highest amount paid or payable pursuant to the Management Incentive Compensation Plan for any of the 3 fiscal years ending prior to the Date of Termination.</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80" w:hanging="652"/>
        <w:spacing w:after="0" w:line="277" w:lineRule="auto"/>
        <w:tabs>
          <w:tab w:leader="none" w:pos="6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lump-sum payment of the current year Deferred Compensation Plan performance based award plus a severance payment equal to the total of the previous three years performance awards under the Deferred Compensation Plan.</w:t>
      </w:r>
    </w:p>
    <w:p>
      <w:pPr>
        <w:spacing w:after="0" w:line="170" w:lineRule="exact"/>
        <w:rPr>
          <w:rFonts w:ascii="Arial" w:cs="Arial" w:eastAsia="Arial" w:hAnsi="Arial"/>
          <w:sz w:val="18"/>
          <w:szCs w:val="18"/>
          <w:color w:val="auto"/>
        </w:rPr>
      </w:pPr>
    </w:p>
    <w:p>
      <w:pPr>
        <w:ind w:left="660" w:right="720" w:hanging="652"/>
        <w:spacing w:after="0" w:line="277" w:lineRule="auto"/>
        <w:tabs>
          <w:tab w:leader="none" w:pos="6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calendar months employed during the applicable performance period during which employment is terminated) of the cash or securities under any Performance Based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hanging="652"/>
        <w:spacing w:after="0" w:line="342" w:lineRule="auto"/>
        <w:tabs>
          <w:tab w:leader="none" w:pos="6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acceleration of all time-based stock awards, including performance-based awards that were previously earned but remain subject to time-based vesting at the date of termination, based on our closing stock price of $33.09 per share as of December 29, 2017, plus accrued dividends.</w:t>
      </w:r>
    </w:p>
    <w:p>
      <w:pPr>
        <w:sectPr>
          <w:pgSz w:w="11900" w:h="16867" w:orient="portrait"/>
          <w:cols w:equalWidth="0" w:num="1">
            <w:col w:w="11400"/>
          </w:cols>
          <w:pgMar w:left="240" w:top="125" w:right="259" w:bottom="0" w:gutter="0" w:footer="0" w:header="0"/>
        </w:sectPr>
      </w:pPr>
    </w:p>
    <w:bookmarkStart w:id="18" w:name="page19"/>
    <w:bookmarkEnd w:id="18"/>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Michael R. Leach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center"/>
              <w:ind w:left="267"/>
              <w:spacing w:after="0"/>
              <w:rPr>
                <w:sz w:val="20"/>
                <w:szCs w:val="20"/>
                <w:color w:val="auto"/>
              </w:rPr>
            </w:pPr>
            <w:r>
              <w:rPr>
                <w:rFonts w:ascii="Arial" w:cs="Arial" w:eastAsia="Arial" w:hAnsi="Arial"/>
                <w:sz w:val="14"/>
                <w:szCs w:val="14"/>
                <w:b w:val="1"/>
                <w:bCs w:val="1"/>
                <w:color w:val="auto"/>
                <w:w w:val="95"/>
              </w:rPr>
              <w:t>Voluntary</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1"/>
              </w:rPr>
              <w:t>Resignation without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8"/>
              </w:rPr>
              <w:t>Involuntary</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4"/>
              </w:rPr>
              <w:t>Termination with</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0" w:type="dxa"/>
            <w:vAlign w:val="bottom"/>
          </w:tcPr>
          <w:p>
            <w:pPr>
              <w:spacing w:after="0"/>
              <w:rPr>
                <w:sz w:val="1"/>
                <w:szCs w:val="1"/>
                <w:color w:val="auto"/>
              </w:rPr>
            </w:pPr>
          </w:p>
        </w:tc>
      </w:tr>
      <w:tr>
        <w:trPr>
          <w:trHeight w:val="171"/>
        </w:trPr>
        <w:tc>
          <w:tcPr>
            <w:tcW w:w="5700" w:type="dxa"/>
            <w:vAlign w:val="bottom"/>
            <w:gridSpan w:val="3"/>
            <w:vMerge w:val="continue"/>
          </w:tcPr>
          <w:p>
            <w:pPr>
              <w:spacing w:after="0"/>
              <w:rPr>
                <w:sz w:val="14"/>
                <w:szCs w:val="14"/>
                <w:color w:val="auto"/>
              </w:rPr>
            </w:pPr>
          </w:p>
        </w:tc>
        <w:tc>
          <w:tcPr>
            <w:tcW w:w="1920" w:type="dxa"/>
            <w:vAlign w:val="bottom"/>
          </w:tcPr>
          <w:p>
            <w:pPr>
              <w:jc w:val="center"/>
              <w:ind w:left="267"/>
              <w:spacing w:after="0"/>
              <w:rPr>
                <w:sz w:val="20"/>
                <w:szCs w:val="20"/>
                <w:color w:val="auto"/>
              </w:rPr>
            </w:pPr>
            <w:r>
              <w:rPr>
                <w:rFonts w:ascii="Arial" w:cs="Arial" w:eastAsia="Arial" w:hAnsi="Arial"/>
                <w:sz w:val="14"/>
                <w:szCs w:val="14"/>
                <w:b w:val="1"/>
                <w:bCs w:val="1"/>
                <w:color w:val="auto"/>
                <w:w w:val="90"/>
              </w:rPr>
              <w:t>Cause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Cause</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3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Severance Pay (1)</w:t>
            </w:r>
          </w:p>
        </w:tc>
        <w:tc>
          <w:tcPr>
            <w:tcW w:w="1920" w:type="dxa"/>
            <w:vAlign w:val="bottom"/>
          </w:tcPr>
          <w:p>
            <w:pPr>
              <w:jc w:val="right"/>
              <w:ind w:right="1767"/>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348,877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Annual Bonus (2)</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16"/>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Accelerated Vesting of Time-Based Equity Awards (3)</w:t>
            </w:r>
          </w:p>
        </w:tc>
        <w:tc>
          <w:tcPr>
            <w:tcW w:w="19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266,904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Benefits:</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Healthcare and other Insurance Benefits (4)</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CEEFF"/>
          </w:tcPr>
          <w:p>
            <w:pPr>
              <w:jc w:val="right"/>
              <w:ind w:right="17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Robert P. Maida</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jc w:val="center"/>
              <w:ind w:left="267"/>
              <w:spacing w:after="0"/>
              <w:rPr>
                <w:sz w:val="20"/>
                <w:szCs w:val="20"/>
                <w:color w:val="auto"/>
              </w:rPr>
            </w:pPr>
            <w:r>
              <w:rPr>
                <w:rFonts w:ascii="Arial" w:cs="Arial" w:eastAsia="Arial" w:hAnsi="Arial"/>
                <w:sz w:val="14"/>
                <w:szCs w:val="14"/>
                <w:b w:val="1"/>
                <w:bCs w:val="1"/>
                <w:color w:val="auto"/>
                <w:w w:val="95"/>
              </w:rPr>
              <w:t>Voluntary</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1"/>
              </w:rPr>
              <w:t>Resignation without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8"/>
              </w:rPr>
              <w:t>Involuntary</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9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4"/>
              </w:rPr>
              <w:t>Termination with</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0" w:type="dxa"/>
            <w:vAlign w:val="bottom"/>
          </w:tcPr>
          <w:p>
            <w:pPr>
              <w:spacing w:after="0"/>
              <w:rPr>
                <w:sz w:val="1"/>
                <w:szCs w:val="1"/>
                <w:color w:val="auto"/>
              </w:rPr>
            </w:pPr>
          </w:p>
        </w:tc>
      </w:tr>
      <w:tr>
        <w:trPr>
          <w:trHeight w:val="171"/>
        </w:trPr>
        <w:tc>
          <w:tcPr>
            <w:tcW w:w="5700" w:type="dxa"/>
            <w:vAlign w:val="bottom"/>
            <w:gridSpan w:val="3"/>
            <w:vMerge w:val="continue"/>
          </w:tcPr>
          <w:p>
            <w:pPr>
              <w:spacing w:after="0"/>
              <w:rPr>
                <w:sz w:val="14"/>
                <w:szCs w:val="14"/>
                <w:color w:val="auto"/>
              </w:rPr>
            </w:pPr>
          </w:p>
        </w:tc>
        <w:tc>
          <w:tcPr>
            <w:tcW w:w="1920" w:type="dxa"/>
            <w:vAlign w:val="bottom"/>
          </w:tcPr>
          <w:p>
            <w:pPr>
              <w:jc w:val="center"/>
              <w:ind w:left="267"/>
              <w:spacing w:after="0"/>
              <w:rPr>
                <w:sz w:val="20"/>
                <w:szCs w:val="20"/>
                <w:color w:val="auto"/>
              </w:rPr>
            </w:pPr>
            <w:r>
              <w:rPr>
                <w:rFonts w:ascii="Arial" w:cs="Arial" w:eastAsia="Arial" w:hAnsi="Arial"/>
                <w:sz w:val="14"/>
                <w:szCs w:val="14"/>
                <w:b w:val="1"/>
                <w:bCs w:val="1"/>
                <w:color w:val="auto"/>
                <w:w w:val="90"/>
              </w:rPr>
              <w:t>Cause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Cause</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3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Severance Pay (1)</w:t>
            </w:r>
          </w:p>
        </w:tc>
        <w:tc>
          <w:tcPr>
            <w:tcW w:w="1920" w:type="dxa"/>
            <w:vAlign w:val="bottom"/>
          </w:tcPr>
          <w:p>
            <w:pPr>
              <w:jc w:val="right"/>
              <w:ind w:right="1767"/>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389,328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Incentive Compensation (2)</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66,970</w:t>
            </w:r>
          </w:p>
        </w:tc>
        <w:tc>
          <w:tcPr>
            <w:tcW w:w="0" w:type="dxa"/>
            <w:vAlign w:val="bottom"/>
          </w:tcPr>
          <w:p>
            <w:pPr>
              <w:spacing w:after="0"/>
              <w:rPr>
                <w:sz w:val="1"/>
                <w:szCs w:val="1"/>
                <w:color w:val="auto"/>
              </w:rPr>
            </w:pPr>
          </w:p>
        </w:tc>
      </w:tr>
      <w:tr>
        <w:trPr>
          <w:trHeight w:val="216"/>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Accelerated Vesting of Time-Based Equity Awards (3)</w:t>
            </w:r>
          </w:p>
        </w:tc>
        <w:tc>
          <w:tcPr>
            <w:tcW w:w="19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324,365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Benefits:</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Healthcare and other Insurance Benefits (4)</w:t>
            </w:r>
          </w:p>
        </w:tc>
        <w:tc>
          <w:tcPr>
            <w:tcW w:w="19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113,500</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shd w:val="clear" w:color="auto" w:fill="CCEEFF"/>
          </w:tcPr>
          <w:p>
            <w:pPr>
              <w:jc w:val="right"/>
              <w:ind w:right="17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60" w:hanging="652"/>
        <w:spacing w:after="0" w:line="308" w:lineRule="auto"/>
        <w:tabs>
          <w:tab w:leader="none" w:pos="6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lump sum severance payment equal to 1.0 times the sum of the Base Salary and the highest amount paid or payable pursuant to the Employee Incentive Compensation Plan for any of the 3 fiscal years ending prior to the Date of Termination.</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40" w:hanging="652"/>
        <w:spacing w:after="0" w:line="342" w:lineRule="auto"/>
        <w:tabs>
          <w:tab w:leader="none" w:pos="667"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acceleration of all time-based stock awards, including performance-based awards that were previously earned but remain subject to time-based vesting at the date of termination, based on our closing stock price of $33.09 per share as of December 29, 2017, plus accrued dividends.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description of the definitions and assumptions that were used in creating the change in control tables above.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 means an amount equal to the annual base salary in effect immediately prior to the Notice of Termination.</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 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19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w:t>
      </w:r>
    </w:p>
    <w:p>
      <w:pPr>
        <w:sectPr>
          <w:pgSz w:w="11900" w:h="16838" w:orient="portrait"/>
          <w:cols w:equalWidth="0" w:num="1">
            <w:col w:w="11380"/>
          </w:cols>
          <w:pgMar w:left="240" w:top="341" w:right="279" w:bottom="0" w:gutter="0" w:footer="0" w:header="0"/>
        </w:sectPr>
      </w:pPr>
    </w:p>
    <w:bookmarkStart w:id="19" w:name="page20"/>
    <w:bookmarkEnd w:id="19"/>
    <w:p>
      <w:pPr>
        <w:spacing w:after="0" w:line="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is a resolution adopted by at least three-fourths of the full Board of Directors finding that in their good faith opinion the executive was guilty of conduct set forth above and specifying the particulars in detail.</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entered into a change in control agreement with certain of the Company’s executive officers. See “Potential Payments Upon Change in Control”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 Policies and Procedures.</w:t>
      </w:r>
    </w:p>
    <w:p>
      <w:pPr>
        <w:spacing w:after="0" w:line="229"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foregoing. The Audit Committee assists the Board in exercising this authority by reviewing each such transaction and then reporting the results of its review to the Board with, if appropriate, a recommendation to approve, ratify or disallow such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260" w:type="dxa"/>
            <w:vAlign w:val="bottom"/>
            <w:tcBorders>
              <w:bottom w:val="single" w:sz="8" w:color="CCEEFF"/>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1,041,579(2)</w:t>
            </w: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495 Commerce Drive, Suite 3</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Amherst, NY 14228</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Richard D. Smith</w:t>
            </w:r>
          </w:p>
        </w:tc>
        <w:tc>
          <w:tcPr>
            <w:tcW w:w="280" w:type="dxa"/>
            <w:vAlign w:val="bottom"/>
          </w:tcPr>
          <w:p>
            <w:pPr>
              <w:spacing w:after="0"/>
              <w:rPr>
                <w:sz w:val="17"/>
                <w:szCs w:val="17"/>
                <w:color w:val="auto"/>
              </w:rPr>
            </w:pPr>
          </w:p>
        </w:tc>
        <w:tc>
          <w:tcPr>
            <w:tcW w:w="22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515,512(3)</w:t>
            </w:r>
          </w:p>
        </w:tc>
        <w:tc>
          <w:tcPr>
            <w:tcW w:w="2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8422 Newland Drive</w:t>
            </w: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Arvada, CO 80003</w:t>
            </w: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percentages are based upon 9,426,012 shares of Common Stock outstanding as of the Record Date.</w:t>
      </w:r>
    </w:p>
    <w:p>
      <w:pPr>
        <w:spacing w:after="0" w:line="225" w:lineRule="exact"/>
        <w:rPr>
          <w:rFonts w:ascii="Arial" w:cs="Arial" w:eastAsia="Arial" w:hAnsi="Arial"/>
          <w:sz w:val="18"/>
          <w:szCs w:val="18"/>
          <w:color w:val="auto"/>
        </w:rPr>
      </w:pPr>
    </w:p>
    <w:p>
      <w:pPr>
        <w:ind w:left="660" w:right="60" w:hanging="652"/>
        <w:spacing w:after="0" w:line="312" w:lineRule="auto"/>
        <w:tabs>
          <w:tab w:leader="none" w:pos="6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127,446 shares of Common Stock granted as incentive restricted shares under the Company’s stock incentive plans that have not yet vested and 15,410 shares of Common Stock credited to the Company’s Employee Stock Ownership Plan (“ESOP”) account of Mr. Warzala. Except as set forth in this note (2), does not include shares held by the ESOP as to which Mr. Warzala serves as one of four trustees.</w:t>
      </w:r>
    </w:p>
    <w:p>
      <w:pPr>
        <w:spacing w:after="0" w:line="146" w:lineRule="exact"/>
        <w:rPr>
          <w:rFonts w:ascii="Arial" w:cs="Arial" w:eastAsia="Arial" w:hAnsi="Arial"/>
          <w:sz w:val="16"/>
          <w:szCs w:val="16"/>
          <w:color w:val="auto"/>
        </w:rPr>
      </w:pPr>
    </w:p>
    <w:p>
      <w:pPr>
        <w:ind w:left="660" w:right="200" w:hanging="652"/>
        <w:spacing w:after="0" w:line="277"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4,865 shares of Common Stock granted as incentive restricted shares under the Company’s stock incentive plans that have not yet vested. Includes 468,083 shares of Common Stock held by Smith Family Trust, of which Mr. Smith is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49" w:orient="portrait"/>
          <w:cols w:equalWidth="0" w:num="1">
            <w:col w:w="11400"/>
          </w:cols>
          <w:pgMar w:left="240" w:top="125" w:right="259" w:bottom="0" w:gutter="0" w:footer="0" w:header="0"/>
        </w:sectPr>
      </w:pPr>
    </w:p>
    <w:p>
      <w:pPr>
        <w:spacing w:after="0" w:line="217"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Amount and Nature of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13970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49" w:orient="portrait"/>
          <w:cols w:equalWidth="0" w:num="1">
            <w:col w:w="11400"/>
          </w:cols>
          <w:pgMar w:left="240" w:top="125" w:right="25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Unvested Restricted</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Percentage of</w:t>
            </w:r>
          </w:p>
        </w:tc>
      </w:tr>
      <w:tr>
        <w:trPr>
          <w:trHeight w:val="149"/>
        </w:trPr>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Common Stock(1)</w:t>
            </w:r>
          </w:p>
        </w:tc>
      </w:tr>
      <w:tr>
        <w:trPr>
          <w:trHeight w:val="171"/>
        </w:trPr>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Ownership</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31,058</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31,308</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4,865</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36,173(2)</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5,146</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15,014</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20,160</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Robert P. Maida</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36,680</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15,728</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52,408(3)</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510,647</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4,865</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515,512(4)</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James J. Tanous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8,539</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4,865</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13,404</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T. Tevens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1,729</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1,729</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914,133</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127,446</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1,041,579(5)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7,112</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4,865</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11,977</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43,024</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1,685</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44,709(6)</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413,434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413,434(7)</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nominees and executive</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officers as a group</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1,970,959</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187,675</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2,158,634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percentages are based upon 9,426,012 shares of Common Stock outstanding as of the Record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12,000 shares of Common Stock held by Mr. Laber’s 401k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1,920 shares of Common Stock credited to the ESOP account of Mr. Maida.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12,520 shares of Common Stock credited to the ESOP account of Mr. Wyman.</w:t>
      </w:r>
    </w:p>
    <w:p>
      <w:pPr>
        <w:spacing w:after="0" w:line="225" w:lineRule="exact"/>
        <w:rPr>
          <w:rFonts w:ascii="Arial" w:cs="Arial" w:eastAsia="Arial" w:hAnsi="Arial"/>
          <w:sz w:val="18"/>
          <w:szCs w:val="18"/>
          <w:color w:val="auto"/>
        </w:rPr>
      </w:pPr>
    </w:p>
    <w:p>
      <w:pPr>
        <w:ind w:left="660" w:right="100" w:hanging="652"/>
        <w:spacing w:after="0" w:line="259" w:lineRule="auto"/>
        <w:tabs>
          <w:tab w:leader="none" w:pos="6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Messrs. Warzala and Leach are trustees of the ESOP and could be deemed to have shared investment power over those shares. The ESOP holds an aggregate of 413,434 shares of Common Stock, including 272 shares credited to the ESOP account of Mr. Leach, 1,920 shares credited to the ESOP account of Mr. Maida, 15,410 shares credited to the ESOP account of Mr. Warzala, and 12,520 shares credited to the ESOP account of Mr. Wyman, previously reported in this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2017. All reports are current as of the date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AUDIT </w:t>
      </w:r>
      <w:r>
        <w:rPr>
          <w:rFonts w:ascii="Arial" w:cs="Arial" w:eastAsia="Arial" w:hAnsi="Arial"/>
          <w:sz w:val="17"/>
          <w:szCs w:val="17"/>
          <w:b w:val="1"/>
          <w:bCs w:val="1"/>
          <w:color w:val="auto"/>
        </w:rPr>
        <w:t>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Management is responsible for the Company’s financial statements and reporting process. The Company’s independent registered public accounting firm, EKS&amp;H LLP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2017 prior to year-end and all Charter tasks scheduled to be performed in 2018 prior to the filing of this proxy statement. Our work included, among other procedures:</w:t>
      </w:r>
    </w:p>
    <w:p>
      <w:pPr>
        <w:spacing w:after="0" w:line="166" w:lineRule="exact"/>
        <w:rPr>
          <w:sz w:val="20"/>
          <w:szCs w:val="20"/>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70" w:lineRule="exact"/>
        <w:rPr>
          <w:rFonts w:ascii="Arial" w:cs="Arial" w:eastAsia="Arial" w:hAnsi="Arial"/>
          <w:sz w:val="18"/>
          <w:szCs w:val="18"/>
          <w:color w:val="auto"/>
        </w:rPr>
      </w:pPr>
    </w:p>
    <w:p>
      <w:pPr>
        <w:ind w:right="200" w:firstLine="656"/>
        <w:spacing w:after="0" w:line="264"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181"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2017, audited financial statements, the related audit report, and the applicable management’s discussion and analysis.</w:t>
      </w:r>
    </w:p>
    <w:p>
      <w:pPr>
        <w:sectPr>
          <w:pgSz w:w="11900" w:h="16838" w:orient="portrait"/>
          <w:cols w:equalWidth="0" w:num="1">
            <w:col w:w="11420"/>
          </w:cols>
          <w:pgMar w:left="240" w:top="104" w:right="239" w:bottom="0" w:gutter="0" w:footer="0" w:header="0"/>
        </w:sectPr>
      </w:pPr>
    </w:p>
    <w:bookmarkStart w:id="21" w:name="page22"/>
    <w:bookmarkEnd w:id="21"/>
    <w:p>
      <w:pPr>
        <w:spacing w:after="0" w:line="83"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2017,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Winter,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J. (Bud) Laber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J. Tanous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T. Tevens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Permitted Non-Audit Services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fees for the audit and other services provided by EKS&amp;H for 2016 and 2015.</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Audit-Related Fees(2)</w:t>
            </w:r>
          </w:p>
        </w:tc>
        <w:tc>
          <w:tcPr>
            <w:tcW w:w="2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29,000</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15,400</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756,388</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20" w:hanging="640"/>
        <w:spacing w:after="0" w:line="259" w:lineRule="auto"/>
        <w:tabs>
          <w:tab w:leader="none" w:pos="16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 Also included are fees incurred by component auditors in foreign countries for audit services that were directed by EKS&amp;H.</w:t>
      </w:r>
    </w:p>
    <w:p>
      <w:pPr>
        <w:spacing w:after="0" w:line="186" w:lineRule="exact"/>
        <w:rPr>
          <w:rFonts w:ascii="Arial" w:cs="Arial" w:eastAsia="Arial" w:hAnsi="Arial"/>
          <w:sz w:val="18"/>
          <w:szCs w:val="18"/>
          <w:color w:val="auto"/>
        </w:rPr>
      </w:pPr>
    </w:p>
    <w:p>
      <w:pPr>
        <w:ind w:left="1640" w:hanging="660"/>
        <w:spacing w:after="0"/>
        <w:tabs>
          <w:tab w:leader="none" w:pos="1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Audit-related fees are for benefit plan audits.</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fees consists of fees for tax compliance and tax consulting including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Our management does not know of any other matters to come before the 2018 Annual Meeting. However, if any other matters come before the Annual Meeting, it is the intention of the persons designated as proxies to vote in accordance with their judgment on such matters.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2019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2019 Annual Meeting of Shareholders must submit such proposal to the Company at its office at 495 Commerce Drive, Suite 3, Amherst, New York 14228, Attention: Secretary, no later than December 3, 2018, in order to be considered for inclusion, if appropriate, in the Company’s proxy statement and form of proxy relating to its 2019 Annual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any shareholder proposal to be presented in connection with the 2019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7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Based upon a meeting date of May 2, 2018 for the 2018 Annual Meeting of Shareholders, a qualified shareholder intending to introduce a proposal or nominate a director at the 2019 Annual Meeting of Shareholders should give written notice to the Company’s Secretary not later than March 2, 2019 and</w:t>
      </w:r>
    </w:p>
    <w:p>
      <w:pPr>
        <w:sectPr>
          <w:pgSz w:w="11900" w:h="16921" w:orient="portrait"/>
          <w:cols w:equalWidth="0" w:num="1">
            <w:col w:w="11420"/>
          </w:cols>
          <w:pgMar w:left="240" w:top="125" w:right="239" w:bottom="0" w:gutter="0" w:footer="0" w:header="0"/>
        </w:sectPr>
      </w:pPr>
    </w:p>
    <w:bookmarkStart w:id="22" w:name="page23"/>
    <w:bookmarkEnd w:id="22"/>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not earlier than January 31, 2019.</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Such requests and any shareholder proposals should be sent to the Secretary of the Company at Allied Motion Technologies Inc., 495 Commerce Drive, Suite 3, Amherst, New York 14228.</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1397635" cy="574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6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2, 2018, and at all adjournments thereof, and directs that the shares represented by this proxy should be voted as indicated on the reverse: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MAY </w:t>
      </w:r>
      <w:r>
        <w:rPr>
          <w:rFonts w:ascii="Arial" w:cs="Arial" w:eastAsia="Arial" w:hAnsi="Arial"/>
          <w:sz w:val="18"/>
          <w:szCs w:val="18"/>
          <w:color w:val="auto"/>
        </w:rPr>
        <w:t>2</w:t>
      </w:r>
      <w:r>
        <w:rPr>
          <w:rFonts w:ascii="Arial" w:cs="Arial" w:eastAsia="Arial" w:hAnsi="Arial"/>
          <w:sz w:val="18"/>
          <w:szCs w:val="18"/>
          <w:b w:val="1"/>
          <w:bCs w:val="1"/>
          <w:color w:val="auto"/>
        </w:rPr>
        <w:t>, 2018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www.proxyvote.com</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TO ELECT SEVEN DIRECTORS TO HOLD OFFICE UNTIL THE NEXT ANNUAL MEETING OF SHAREHOLDERS.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NOMINEE:</w:t>
            </w:r>
          </w:p>
        </w:tc>
        <w:tc>
          <w:tcPr>
            <w:tcW w:w="1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R.D. Federico</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G.J. Laber</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R.D. Smith</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J.J. Tanous</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T.T. Tevens</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216"/>
        </w:trPr>
        <w:tc>
          <w:tcPr>
            <w:tcW w:w="74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R.S. Warzala</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230"/>
        </w:trPr>
        <w:tc>
          <w:tcPr>
            <w:tcW w:w="740" w:type="dxa"/>
            <w:vAlign w:val="bottom"/>
          </w:tcPr>
          <w:p>
            <w:pPr>
              <w:spacing w:after="0"/>
              <w:rPr>
                <w:sz w:val="20"/>
                <w:szCs w:val="20"/>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M.R. Winter</w:t>
            </w:r>
          </w:p>
        </w:tc>
        <w:tc>
          <w:tcPr>
            <w:tcW w:w="1760" w:type="dxa"/>
            <w:vAlign w:val="bottom"/>
          </w:tcPr>
          <w:p>
            <w:pPr>
              <w:ind w:left="560"/>
              <w:spacing w:after="0"/>
              <w:rPr>
                <w:sz w:val="20"/>
                <w:szCs w:val="20"/>
                <w:color w:val="auto"/>
              </w:rPr>
            </w:pPr>
            <w:r>
              <w:rPr>
                <w:rFonts w:ascii="Arial" w:cs="Arial" w:eastAsia="Arial" w:hAnsi="Arial"/>
                <w:sz w:val="18"/>
                <w:szCs w:val="18"/>
                <w:color w:val="auto"/>
              </w:rPr>
              <w:t>o FOR</w:t>
            </w:r>
          </w:p>
        </w:tc>
        <w:tc>
          <w:tcPr>
            <w:tcW w:w="2220" w:type="dxa"/>
            <w:vAlign w:val="bottom"/>
          </w:tcPr>
          <w:p>
            <w:pPr>
              <w:ind w:left="70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4"/>
          </w:tcPr>
          <w:p>
            <w:pPr>
              <w:ind w:left="220"/>
              <w:spacing w:after="0"/>
              <w:rPr>
                <w:sz w:val="20"/>
                <w:szCs w:val="20"/>
                <w:color w:val="auto"/>
              </w:rPr>
            </w:pPr>
            <w:r>
              <w:rPr>
                <w:rFonts w:ascii="Arial" w:cs="Arial" w:eastAsia="Arial" w:hAnsi="Arial"/>
                <w:sz w:val="18"/>
                <w:szCs w:val="18"/>
                <w:color w:val="auto"/>
              </w:rPr>
              <w:t>ADVISORY VOTE TO APPROVE THE COMPENSATION OF OUR NAMED EXECUTIVE OFFICERS.</w:t>
            </w:r>
          </w:p>
        </w:tc>
      </w:tr>
      <w:tr>
        <w:trPr>
          <w:trHeight w:val="230"/>
        </w:trPr>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60" w:type="dxa"/>
            <w:vAlign w:val="bottom"/>
          </w:tcPr>
          <w:p>
            <w:pPr>
              <w:ind w:left="540"/>
              <w:spacing w:after="0"/>
              <w:rPr>
                <w:sz w:val="20"/>
                <w:szCs w:val="20"/>
                <w:color w:val="auto"/>
              </w:rPr>
            </w:pPr>
            <w:r>
              <w:rPr>
                <w:rFonts w:ascii="Arial" w:cs="Arial" w:eastAsia="Arial" w:hAnsi="Arial"/>
                <w:sz w:val="18"/>
                <w:szCs w:val="18"/>
                <w:color w:val="auto"/>
              </w:rPr>
              <w:t>o FOR</w:t>
            </w:r>
          </w:p>
        </w:tc>
        <w:tc>
          <w:tcPr>
            <w:tcW w:w="222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700" w:type="dxa"/>
            <w:vAlign w:val="bottom"/>
            <w:gridSpan w:val="4"/>
          </w:tcPr>
          <w:p>
            <w:pPr>
              <w:ind w:left="220"/>
              <w:spacing w:after="0"/>
              <w:rPr>
                <w:sz w:val="20"/>
                <w:szCs w:val="20"/>
                <w:color w:val="auto"/>
              </w:rPr>
            </w:pPr>
            <w:r>
              <w:rPr>
                <w:rFonts w:ascii="Arial" w:cs="Arial" w:eastAsia="Arial" w:hAnsi="Arial"/>
                <w:sz w:val="18"/>
                <w:szCs w:val="18"/>
                <w:color w:val="auto"/>
                <w:w w:val="96"/>
              </w:rPr>
              <w:t>RATIFICATION OF THE APPOINTMENT OF THE COMPANY’S INDEPENDENT PUBLIC ACCOUNTING FIRM FOR 2018</w:t>
            </w:r>
          </w:p>
        </w:tc>
      </w:tr>
      <w:tr>
        <w:trPr>
          <w:trHeight w:val="230"/>
        </w:trPr>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60" w:type="dxa"/>
            <w:vAlign w:val="bottom"/>
          </w:tcPr>
          <w:p>
            <w:pPr>
              <w:ind w:left="540"/>
              <w:spacing w:after="0"/>
              <w:rPr>
                <w:sz w:val="20"/>
                <w:szCs w:val="20"/>
                <w:color w:val="auto"/>
              </w:rPr>
            </w:pPr>
            <w:r>
              <w:rPr>
                <w:rFonts w:ascii="Arial" w:cs="Arial" w:eastAsia="Arial" w:hAnsi="Arial"/>
                <w:sz w:val="18"/>
                <w:szCs w:val="18"/>
                <w:color w:val="auto"/>
              </w:rPr>
              <w:t>o FOR</w:t>
            </w:r>
          </w:p>
        </w:tc>
        <w:tc>
          <w:tcPr>
            <w:tcW w:w="2220" w:type="dxa"/>
            <w:vAlign w:val="bottom"/>
          </w:tcPr>
          <w:p>
            <w:pPr>
              <w:ind w:left="680"/>
              <w:spacing w:after="0"/>
              <w:rPr>
                <w:sz w:val="20"/>
                <w:szCs w:val="20"/>
                <w:color w:val="auto"/>
              </w:rPr>
            </w:pPr>
            <w:r>
              <w:rPr>
                <w:rFonts w:ascii="Arial" w:cs="Arial" w:eastAsia="Arial" w:hAnsi="Arial"/>
                <w:sz w:val="18"/>
                <w:szCs w:val="18"/>
                <w:color w:val="auto"/>
              </w:rPr>
              <w:t>o AGAINST</w:t>
            </w:r>
          </w:p>
        </w:tc>
        <w:tc>
          <w:tcPr>
            <w:tcW w:w="3940" w:type="dxa"/>
            <w:vAlign w:val="bottom"/>
          </w:tcPr>
          <w:p>
            <w:pPr>
              <w:ind w:left="560"/>
              <w:spacing w:after="0"/>
              <w:rPr>
                <w:sz w:val="20"/>
                <w:szCs w:val="20"/>
                <w:color w:val="auto"/>
              </w:rPr>
            </w:pPr>
            <w:r>
              <w:rPr>
                <w:rFonts w:ascii="Arial" w:cs="Arial" w:eastAsia="Arial" w:hAnsi="Arial"/>
                <w:sz w:val="18"/>
                <w:szCs w:val="18"/>
                <w:color w:val="auto"/>
              </w:rPr>
              <w:t>o ABSTAIN</w:t>
            </w:r>
          </w:p>
        </w:tc>
      </w:tr>
    </w:tbl>
    <w:p>
      <w:pPr>
        <w:spacing w:after="0" w:line="198"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and 3. In their discretion, the proxies are authorized to vote upon such other business as may properly come before the Annual Meeting.</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60"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tabs>
          <w:tab w:leader="none" w:pos="3900" w:val="left"/>
          <w:tab w:leader="none" w:pos="6060" w:val="left"/>
          <w:tab w:leader="none" w:pos="922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60" w:orient="portrait"/>
          <w:cols w:equalWidth="0" w:num="1">
            <w:col w:w="11400"/>
          </w:cols>
          <w:pgMar w:left="240" w:top="125" w:right="259" w:bottom="0" w:gutter="0" w:footer="0" w:header="0"/>
          <w:type w:val="continuous"/>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x"/>
      <w:numFmt w:val="bullet"/>
      <w:start w:val="1"/>
    </w:lvl>
  </w:abstractNum>
  <w:abstractNum w:abstractNumId="2">
    <w:nsid w:val="25E45D32"/>
    <w:multiLevelType w:val="hybridMultilevel"/>
    <w:lvl w:ilvl="0">
      <w:lvlJc w:val="left"/>
      <w:lvlText w:val="o"/>
      <w:numFmt w:val="bullet"/>
      <w:start w:val="1"/>
    </w:lvl>
    <w:lvl w:ilvl="1">
      <w:lvlJc w:val="left"/>
      <w:lvlText w:val="(%2)"/>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lowerRoman"/>
      <w:start w:val="3"/>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decimal"/>
      <w:start w:val="8"/>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7"/>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6"/>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2019-12-05T06:29:49Z</dcterms:created>
  <dcterms:modified xsi:type="dcterms:W3CDTF">2019-12-05T06:29:49Z</dcterms:modified>
</cp:coreProperties>
</file>