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19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SCHEDULE 14A</w:t>
      </w:r>
    </w:p>
    <w:p>
      <w:pPr>
        <w:spacing w:after="0" w:line="244"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Proxy Statement Pursuant to Section 14(a) of</w:t>
      </w:r>
    </w:p>
    <w:p>
      <w:pPr>
        <w:spacing w:after="0" w:line="15" w:lineRule="exact"/>
        <w:rPr>
          <w:sz w:val="24"/>
          <w:szCs w:val="24"/>
          <w:color w:val="auto"/>
        </w:rPr>
      </w:pPr>
    </w:p>
    <w:p>
      <w:pPr>
        <w:ind w:left="3540"/>
        <w:spacing w:after="0"/>
        <w:tabs>
          <w:tab w:leader="none" w:pos="7800" w:val="left"/>
        </w:tabs>
        <w:rPr>
          <w:sz w:val="20"/>
          <w:szCs w:val="20"/>
          <w:color w:val="auto"/>
        </w:rPr>
      </w:pPr>
      <w:r>
        <w:rPr>
          <w:rFonts w:ascii="Arial" w:cs="Arial" w:eastAsia="Arial" w:hAnsi="Arial"/>
          <w:sz w:val="18"/>
          <w:szCs w:val="18"/>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8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6"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1"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6" w:lineRule="exact"/>
        <w:rPr>
          <w:sz w:val="24"/>
          <w:szCs w:val="24"/>
          <w:color w:val="auto"/>
        </w:rPr>
      </w:pPr>
    </w:p>
    <w:p>
      <w:pPr>
        <w:jc w:val="center"/>
        <w:ind w:right="1439"/>
        <w:spacing w:after="0"/>
        <w:rPr>
          <w:sz w:val="20"/>
          <w:szCs w:val="20"/>
          <w:color w:val="auto"/>
        </w:rPr>
      </w:pPr>
      <w:r>
        <w:rPr>
          <w:rFonts w:ascii="Arial" w:cs="Arial" w:eastAsia="Arial" w:hAnsi="Arial"/>
          <w:sz w:val="18"/>
          <w:szCs w:val="18"/>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55784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38"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5784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18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right="1759" w:hanging="606"/>
        <w:spacing w:after="0" w:line="332" w:lineRule="auto"/>
        <w:tabs>
          <w:tab w:leader="none" w:pos="10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82" w:lineRule="exact"/>
        <w:rPr>
          <w:rFonts w:ascii="Arial" w:cs="Arial" w:eastAsia="Arial" w:hAnsi="Arial"/>
          <w:sz w:val="16"/>
          <w:szCs w:val="16"/>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jc w:val="both"/>
        <w:ind w:left="460" w:right="1859"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4"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671830</wp:posOffset>
            </wp:positionH>
            <wp:positionV relativeFrom="paragraph">
              <wp:posOffset>-3455035</wp:posOffset>
            </wp:positionV>
            <wp:extent cx="49091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-3026410</wp:posOffset>
            </wp:positionV>
            <wp:extent cx="490918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-2459990</wp:posOffset>
            </wp:positionV>
            <wp:extent cx="490918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-2031365</wp:posOffset>
            </wp:positionV>
            <wp:extent cx="490918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-1602740</wp:posOffset>
            </wp:positionV>
            <wp:extent cx="490918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-213360</wp:posOffset>
            </wp:positionV>
            <wp:extent cx="490918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214630</wp:posOffset>
            </wp:positionV>
            <wp:extent cx="490918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185" cy="21590"/>
                    </a:xfrm>
                    <a:prstGeom prst="rect">
                      <a:avLst/>
                    </a:prstGeom>
                    <a:noFill/>
                  </pic:spPr>
                </pic:pic>
              </a:graphicData>
            </a:graphic>
          </wp:anchor>
        </w:drawing>
      </w:r>
    </w:p>
    <w:p>
      <w:pPr>
        <w:sectPr>
          <w:pgSz w:w="11900" w:h="16838" w:orient="portrait"/>
          <w:cols w:equalWidth="0" w:num="1">
            <w:col w:w="10219"/>
          </w:cols>
          <w:pgMar w:left="240" w:top="685" w:right="1440" w:bottom="0" w:gutter="0" w:footer="0" w:header="0"/>
        </w:sectPr>
      </w:pPr>
    </w:p>
    <w:p>
      <w:pPr>
        <w:spacing w:after="0" w:line="200" w:lineRule="exact"/>
        <w:rPr>
          <w:sz w:val="24"/>
          <w:szCs w:val="24"/>
          <w:color w:val="auto"/>
        </w:rPr>
      </w:pPr>
    </w:p>
    <w:p>
      <w:pPr>
        <w:spacing w:after="0" w:line="268" w:lineRule="exact"/>
        <w:rPr>
          <w:sz w:val="24"/>
          <w:szCs w:val="24"/>
          <w:color w:val="auto"/>
        </w:rPr>
      </w:pPr>
    </w:p>
    <w:p>
      <w:pPr>
        <w:ind w:left="1060" w:hanging="606"/>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ectPr>
          <w:pgSz w:w="11900" w:h="16838" w:orient="portrait"/>
          <w:cols w:equalWidth="0" w:num="1">
            <w:col w:w="10219"/>
          </w:cols>
          <w:pgMar w:left="240" w:top="685" w:right="1440" w:bottom="0" w:gutter="0" w:footer="0" w:header="0"/>
          <w:type w:val="continuous"/>
        </w:sectPr>
      </w:pPr>
    </w:p>
    <w:bookmarkStart w:id="1" w:name="page2"/>
    <w:bookmarkEnd w:id="1"/>
    <w:p>
      <w:pPr>
        <w:ind w:left="606" w:hanging="606"/>
        <w:spacing w:after="0"/>
        <w:tabs>
          <w:tab w:leader="none" w:pos="606"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824230</wp:posOffset>
            </wp:positionH>
            <wp:positionV relativeFrom="page">
              <wp:posOffset>292735</wp:posOffset>
            </wp:positionV>
            <wp:extent cx="490918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185" cy="21590"/>
                    </a:xfrm>
                    <a:prstGeom prst="rect">
                      <a:avLst/>
                    </a:prstGeom>
                    <a:noFill/>
                  </pic:spPr>
                </pic:pic>
              </a:graphicData>
            </a:graphic>
          </wp:anchor>
        </w:drawing>
        <w:t>Date Filed: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606" w:right="1599"/>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-533400</wp:posOffset>
            </wp:positionV>
            <wp:extent cx="490918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48895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65"/>
          </w:cols>
          <w:pgMar w:left="694" w:top="59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2430145</wp:posOffset>
            </wp:positionH>
            <wp:positionV relativeFrom="page">
              <wp:posOffset>88900</wp:posOffset>
            </wp:positionV>
            <wp:extent cx="2701290"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701290" cy="368935"/>
                    </a:xfrm>
                    <a:prstGeom prst="rect">
                      <a:avLst/>
                    </a:prstGeom>
                    <a:noFill/>
                  </pic:spPr>
                </pic:pic>
              </a:graphicData>
            </a:graphic>
          </wp:anchor>
        </w:drawing>
        <w:t>ALLIED MOTION TECHNOLOGIES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23 Inverness Way East, Suite 150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Englewood, Colorado 80112</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BE HELD ON MAY 1,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Allied Motion Technologies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are hereby notified that the 2008 Annual Meeting of Shareholders of Allied Motion Technologies Inc. (the "Company") will be held on Thursday,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May 1, 2008 at 2:00 p.m. (Mountain Time) at the Inverness Hotel and Conference Center, 200 Inverness Drive West, Englewood, CO 80112. At this meeting,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shareholders will be asked to act on the following matters:</w:t>
      </w:r>
    </w:p>
    <w:p>
      <w:pPr>
        <w:spacing w:after="0" w:line="232"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seven directors of the Company;</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consider and ratify the appointment of Ehrhardt Keefe Steiner &amp; Hottman PC ("EKS&amp;H") as the Company's independent registered public accounting firm for the 2008 fiscal year;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2008 Annual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Only shareholders of record at the close of business on March 13, 2008 are entitled to notice of and to vote at the 2008 Annual Meeting and any adjournment thereof.</w:t>
      </w:r>
    </w:p>
    <w:p>
      <w:pPr>
        <w:spacing w:after="0" w:line="186"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Board of Directors of the Company extends a cordial invitation to all shareholders to attend the 2008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94" w:lineRule="exact"/>
        <w:rPr>
          <w:sz w:val="20"/>
          <w:szCs w:val="20"/>
          <w:color w:val="auto"/>
        </w:rPr>
      </w:pPr>
    </w:p>
    <w:p>
      <w:pPr>
        <w:ind w:right="100" w:firstLine="345"/>
        <w:spacing w:after="0" w:line="268" w:lineRule="auto"/>
        <w:rPr>
          <w:sz w:val="20"/>
          <w:szCs w:val="20"/>
          <w:color w:val="auto"/>
        </w:rPr>
      </w:pPr>
      <w:r>
        <w:rPr>
          <w:rFonts w:ascii="Arial" w:cs="Arial" w:eastAsia="Arial" w:hAnsi="Arial"/>
          <w:sz w:val="18"/>
          <w:szCs w:val="18"/>
          <w:color w:val="auto"/>
        </w:rPr>
        <w:t>You may revoke your proxy by following the procedures set forth in the accompanying proxy statement. If you are unable to attend, your written proxy will assure that your vote is counted.</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165735</wp:posOffset>
            </wp:positionV>
            <wp:extent cx="2418080"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March 17, 2008</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IS AN IMPORTANT MEETING. SHAREHOLDERS ARE URGED TO VOTE BY SIGNING, DATING AND RETURNING THE ENCLOSED PROXY IN THE ENCLOSED ENVELOPE TO WHICH NO POSTAGE NEED BE AFFIXED IF MAILED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00" w:type="dxa"/>
            <w:vAlign w:val="bottom"/>
            <w:gridSpan w:val="8"/>
          </w:tcPr>
          <w:p>
            <w:pPr>
              <w:ind w:left="18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5540" w:type="dxa"/>
            <w:vAlign w:val="bottom"/>
            <w:gridSpan w:val="45"/>
            <w:vMerge w:val="restart"/>
          </w:tcPr>
          <w:p>
            <w:pPr>
              <w:spacing w:after="0"/>
              <w:rPr>
                <w:rFonts w:ascii="Arial" w:cs="Arial" w:eastAsia="Arial" w:hAnsi="Arial"/>
                <w:sz w:val="18"/>
                <w:szCs w:val="18"/>
                <w:b w:val="1"/>
                <w:bCs w:val="1"/>
                <w:color w:val="0000EE"/>
                <w:w w:val="96"/>
              </w:rPr>
            </w:pPr>
            <w:hyperlink w:anchor="page5">
              <w:r>
                <w:rPr>
                  <w:rFonts w:ascii="Arial" w:cs="Arial" w:eastAsia="Arial" w:hAnsi="Arial"/>
                  <w:sz w:val="18"/>
                  <w:szCs w:val="18"/>
                  <w:b w:val="1"/>
                  <w:bCs w:val="1"/>
                  <w:color w:val="0000EE"/>
                  <w:w w:val="96"/>
                </w:rPr>
                <w:t>QUESTIONS AND ANSWERS ABOUT THE 2008 ANNUAL MEETING</w:t>
              </w:r>
            </w:hyperlink>
          </w:p>
        </w:tc>
        <w:tc>
          <w:tcPr>
            <w:tcW w:w="2940" w:type="dxa"/>
            <w:vAlign w:val="bottom"/>
            <w:gridSpan w:val="4"/>
            <w:vMerge w:val="restart"/>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5540" w:type="dxa"/>
            <w:vAlign w:val="bottom"/>
            <w:tcBorders>
              <w:bottom w:val="single" w:sz="8" w:color="0000EE"/>
            </w:tcBorders>
            <w:gridSpan w:val="45"/>
            <w:vMerge w:val="continue"/>
          </w:tcPr>
          <w:p>
            <w:pPr>
              <w:spacing w:after="0"/>
              <w:rPr>
                <w:sz w:val="24"/>
                <w:szCs w:val="24"/>
                <w:color w:val="auto"/>
              </w:rPr>
            </w:pPr>
          </w:p>
        </w:tc>
        <w:tc>
          <w:tcPr>
            <w:tcW w:w="2940" w:type="dxa"/>
            <w:vAlign w:val="bottom"/>
            <w:gridSpan w:val="4"/>
            <w:vMerge w:val="continue"/>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280" w:type="dxa"/>
            <w:vAlign w:val="bottom"/>
            <w:gridSpan w:val="48"/>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Why did I receive this proxy?</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20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Who is entitled to vote?</w:t>
              </w:r>
            </w:hyperlink>
          </w:p>
        </w:tc>
        <w:tc>
          <w:tcPr>
            <w:tcW w:w="6080" w:type="dxa"/>
            <w:vAlign w:val="bottom"/>
            <w:gridSpan w:val="3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400" w:type="dxa"/>
            <w:vAlign w:val="bottom"/>
            <w:tcBorders>
              <w:bottom w:val="single" w:sz="8" w:color="0000EE"/>
            </w:tcBorders>
            <w:gridSpan w:val="29"/>
          </w:tcPr>
          <w:p>
            <w:pPr>
              <w:spacing w:after="0" w:line="196" w:lineRule="exact"/>
              <w:rPr>
                <w:rFonts w:ascii="Arial" w:cs="Arial" w:eastAsia="Arial" w:hAnsi="Arial"/>
                <w:sz w:val="18"/>
                <w:szCs w:val="18"/>
                <w:b w:val="1"/>
                <w:bCs w:val="1"/>
                <w:color w:val="0000EE"/>
                <w:w w:val="89"/>
              </w:rPr>
            </w:pPr>
            <w:hyperlink w:anchor="page5">
              <w:r>
                <w:rPr>
                  <w:rFonts w:ascii="Arial" w:cs="Arial" w:eastAsia="Arial" w:hAnsi="Arial"/>
                  <w:sz w:val="18"/>
                  <w:szCs w:val="18"/>
                  <w:b w:val="1"/>
                  <w:bCs w:val="1"/>
                  <w:color w:val="0000EE"/>
                  <w:w w:val="89"/>
                </w:rPr>
                <w:t>What is the quorum for the Annual Meeting?</w:t>
              </w:r>
            </w:hyperlink>
          </w:p>
        </w:tc>
        <w:tc>
          <w:tcPr>
            <w:tcW w:w="4880" w:type="dxa"/>
            <w:vAlign w:val="bottom"/>
            <w:gridSpan w:val="1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86"/>
              </w:rPr>
            </w:pPr>
            <w:hyperlink w:anchor="page5">
              <w:r>
                <w:rPr>
                  <w:rFonts w:ascii="Arial" w:cs="Arial" w:eastAsia="Arial" w:hAnsi="Arial"/>
                  <w:sz w:val="18"/>
                  <w:szCs w:val="18"/>
                  <w:b w:val="1"/>
                  <w:bCs w:val="1"/>
                  <w:color w:val="0000EE"/>
                  <w:w w:val="86"/>
                </w:rPr>
                <w:t>How many votes do I have?</w:t>
              </w:r>
            </w:hyperlink>
          </w:p>
        </w:tc>
        <w:tc>
          <w:tcPr>
            <w:tcW w:w="6220" w:type="dxa"/>
            <w:vAlign w:val="bottom"/>
            <w:gridSpan w:val="3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7"/>
              </w:rPr>
            </w:pPr>
            <w:hyperlink w:anchor="page5">
              <w:r>
                <w:rPr>
                  <w:rFonts w:ascii="Arial" w:cs="Arial" w:eastAsia="Arial" w:hAnsi="Arial"/>
                  <w:sz w:val="18"/>
                  <w:szCs w:val="18"/>
                  <w:b w:val="1"/>
                  <w:bCs w:val="1"/>
                  <w:color w:val="0000EE"/>
                  <w:w w:val="87"/>
                </w:rPr>
                <w:t>How do I vote?</w:t>
              </w:r>
            </w:hyperlink>
          </w:p>
        </w:tc>
        <w:tc>
          <w:tcPr>
            <w:tcW w:w="7140" w:type="dxa"/>
            <w:vAlign w:val="bottom"/>
            <w:gridSpan w:val="4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00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How do I vote my shares that are held by my broker?</w:t>
              </w:r>
            </w:hyperlink>
          </w:p>
        </w:tc>
        <w:tc>
          <w:tcPr>
            <w:tcW w:w="4280" w:type="dxa"/>
            <w:vAlign w:val="bottom"/>
            <w:gridSpan w:val="1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What am I voting on?</w:t>
              </w:r>
            </w:hyperlink>
          </w:p>
        </w:tc>
        <w:tc>
          <w:tcPr>
            <w:tcW w:w="6640" w:type="dxa"/>
            <w:vAlign w:val="bottom"/>
            <w:gridSpan w:val="4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220" w:type="dxa"/>
            <w:vAlign w:val="bottom"/>
            <w:tcBorders>
              <w:bottom w:val="single" w:sz="8" w:color="0000EE"/>
            </w:tcBorders>
            <w:gridSpan w:val="38"/>
          </w:tcPr>
          <w:p>
            <w:pPr>
              <w:spacing w:after="0" w:line="196" w:lineRule="exact"/>
              <w:rPr>
                <w:rFonts w:ascii="Arial" w:cs="Arial" w:eastAsia="Arial" w:hAnsi="Arial"/>
                <w:sz w:val="18"/>
                <w:szCs w:val="18"/>
                <w:b w:val="1"/>
                <w:bCs w:val="1"/>
                <w:color w:val="0000EE"/>
                <w:w w:val="86"/>
              </w:rPr>
            </w:pPr>
            <w:hyperlink w:anchor="page6">
              <w:r>
                <w:rPr>
                  <w:rFonts w:ascii="Arial" w:cs="Arial" w:eastAsia="Arial" w:hAnsi="Arial"/>
                  <w:sz w:val="18"/>
                  <w:szCs w:val="18"/>
                  <w:b w:val="1"/>
                  <w:bCs w:val="1"/>
                  <w:color w:val="0000EE"/>
                  <w:w w:val="86"/>
                </w:rPr>
                <w:t>Will there be any other items of business on the agenda?</w:t>
              </w:r>
            </w:hyperlink>
          </w:p>
        </w:tc>
        <w:tc>
          <w:tcPr>
            <w:tcW w:w="406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280" w:type="dxa"/>
            <w:vAlign w:val="bottom"/>
            <w:gridSpan w:val="48"/>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How many votes are required to act on the proposals?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020" w:type="dxa"/>
            <w:vAlign w:val="bottom"/>
            <w:tcBorders>
              <w:top w:val="single" w:sz="8" w:color="0000EE"/>
            </w:tcBorders>
            <w:gridSpan w:val="36"/>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How are votes counted?</w:t>
              </w:r>
            </w:hyperlink>
          </w:p>
        </w:tc>
        <w:tc>
          <w:tcPr>
            <w:tcW w:w="4260" w:type="dxa"/>
            <w:vAlign w:val="bottom"/>
            <w:gridSpan w:val="1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460" w:type="dxa"/>
            <w:vAlign w:val="bottom"/>
            <w:tcBorders>
              <w:bottom w:val="single" w:sz="8" w:color="0000EE"/>
            </w:tcBorders>
            <w:gridSpan w:val="45"/>
          </w:tcPr>
          <w:p>
            <w:pPr>
              <w:spacing w:after="0" w:line="196" w:lineRule="exact"/>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What happens if I return my proxy card without voting on all proposals?</w:t>
              </w:r>
            </w:hyperlink>
          </w:p>
        </w:tc>
        <w:tc>
          <w:tcPr>
            <w:tcW w:w="282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280" w:type="dxa"/>
            <w:vAlign w:val="bottom"/>
            <w:gridSpan w:val="48"/>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Can I change my vote after I return my proxy card?</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b w:val="1"/>
                <w:bCs w:val="1"/>
                <w:color w:val="0000EE"/>
                <w:w w:val="86"/>
              </w:rPr>
            </w:pPr>
            <w:hyperlink w:anchor="page6">
              <w:r>
                <w:rPr>
                  <w:rFonts w:ascii="Arial" w:cs="Arial" w:eastAsia="Arial" w:hAnsi="Arial"/>
                  <w:sz w:val="18"/>
                  <w:szCs w:val="18"/>
                  <w:b w:val="1"/>
                  <w:bCs w:val="1"/>
                  <w:color w:val="0000EE"/>
                  <w:w w:val="86"/>
                </w:rPr>
                <w:t>Will anyone contact me regarding this vote?</w:t>
              </w:r>
            </w:hyperlink>
          </w:p>
        </w:tc>
        <w:tc>
          <w:tcPr>
            <w:tcW w:w="600" w:type="dxa"/>
            <w:vAlign w:val="bottom"/>
            <w:tcBorders>
              <w:top w:val="single" w:sz="8" w:color="0000EE"/>
            </w:tcBorders>
            <w:gridSpan w:val="7"/>
          </w:tcPr>
          <w:p>
            <w:pPr>
              <w:spacing w:after="0"/>
              <w:rPr>
                <w:sz w:val="17"/>
                <w:szCs w:val="17"/>
                <w:color w:val="auto"/>
              </w:rPr>
            </w:pPr>
          </w:p>
        </w:tc>
        <w:tc>
          <w:tcPr>
            <w:tcW w:w="4380" w:type="dxa"/>
            <w:vAlign w:val="bottom"/>
            <w:gridSpan w:val="1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06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w w:val="87"/>
              </w:rPr>
            </w:pPr>
            <w:hyperlink w:anchor="page7">
              <w:r>
                <w:rPr>
                  <w:rFonts w:ascii="Arial" w:cs="Arial" w:eastAsia="Arial" w:hAnsi="Arial"/>
                  <w:sz w:val="18"/>
                  <w:szCs w:val="18"/>
                  <w:b w:val="1"/>
                  <w:bCs w:val="1"/>
                  <w:color w:val="0000EE"/>
                  <w:w w:val="87"/>
                </w:rPr>
                <w:t>Who has paid for this proxy solicitation?</w:t>
              </w:r>
            </w:hyperlink>
          </w:p>
        </w:tc>
        <w:tc>
          <w:tcPr>
            <w:tcW w:w="5220" w:type="dxa"/>
            <w:vAlign w:val="bottom"/>
            <w:gridSpan w:val="2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280" w:type="dxa"/>
            <w:vAlign w:val="bottom"/>
            <w:gridSpan w:val="48"/>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May shareholders ask questions at the Annual Meeting?</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280" w:type="dxa"/>
            <w:vAlign w:val="bottom"/>
            <w:gridSpan w:val="48"/>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How can I obtain a copy of this year's Annual Report on Form 10-K?</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180" w:type="dxa"/>
            <w:vAlign w:val="bottom"/>
            <w:tcBorders>
              <w:top w:val="single" w:sz="8" w:color="0000EE"/>
            </w:tcBorders>
            <w:gridSpan w:val="43"/>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What does it mean if I receive more than one proxy card?</w:t>
              </w:r>
            </w:hyperlink>
          </w:p>
        </w:tc>
        <w:tc>
          <w:tcPr>
            <w:tcW w:w="310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300" w:type="dxa"/>
            <w:vAlign w:val="bottom"/>
            <w:tcBorders>
              <w:top w:val="single" w:sz="8" w:color="0000EE"/>
            </w:tcBorders>
            <w:gridSpan w:val="39"/>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When was this proxy statement mailed?</w:t>
              </w:r>
            </w:hyperlink>
          </w:p>
        </w:tc>
        <w:tc>
          <w:tcPr>
            <w:tcW w:w="3980" w:type="dxa"/>
            <w:vAlign w:val="bottom"/>
            <w:gridSpan w:val="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280" w:type="dxa"/>
            <w:vAlign w:val="bottom"/>
            <w:gridSpan w:val="48"/>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Can I find additional information on the Company's website?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gridSpan w:val="49"/>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PROPOSAL ONE: ELECTION OF DIRECTORS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26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b w:val="1"/>
                <w:bCs w:val="1"/>
                <w:color w:val="0000EE"/>
                <w:w w:val="86"/>
              </w:rPr>
            </w:pPr>
            <w:hyperlink w:anchor="page8">
              <w:r>
                <w:rPr>
                  <w:rFonts w:ascii="Arial" w:cs="Arial" w:eastAsia="Arial" w:hAnsi="Arial"/>
                  <w:sz w:val="18"/>
                  <w:szCs w:val="18"/>
                  <w:b w:val="1"/>
                  <w:bCs w:val="1"/>
                  <w:color w:val="0000EE"/>
                  <w:w w:val="86"/>
                </w:rPr>
                <w:t>Nominees for Election as Directors</w:t>
              </w:r>
            </w:hyperlink>
          </w:p>
        </w:tc>
        <w:tc>
          <w:tcPr>
            <w:tcW w:w="980" w:type="dxa"/>
            <w:vAlign w:val="bottom"/>
            <w:tcBorders>
              <w:top w:val="single" w:sz="8" w:color="0000EE"/>
            </w:tcBorders>
            <w:gridSpan w:val="12"/>
          </w:tcPr>
          <w:p>
            <w:pPr>
              <w:spacing w:after="0"/>
              <w:rPr>
                <w:sz w:val="17"/>
                <w:szCs w:val="17"/>
                <w:color w:val="auto"/>
              </w:rPr>
            </w:pPr>
          </w:p>
        </w:tc>
        <w:tc>
          <w:tcPr>
            <w:tcW w:w="4700" w:type="dxa"/>
            <w:vAlign w:val="bottom"/>
            <w:gridSpan w:val="1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280" w:type="dxa"/>
            <w:vAlign w:val="bottom"/>
            <w:gridSpan w:val="48"/>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Independent Directors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gridSpan w:val="49"/>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BOARD COMMITTEES AND MEETINGS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1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Audit Committee</w:t>
              </w:r>
            </w:hyperlink>
          </w:p>
        </w:tc>
        <w:tc>
          <w:tcPr>
            <w:tcW w:w="1820" w:type="dxa"/>
            <w:vAlign w:val="bottom"/>
            <w:tcBorders>
              <w:top w:val="single" w:sz="8" w:color="0000EE"/>
            </w:tcBorders>
            <w:gridSpan w:val="21"/>
          </w:tcPr>
          <w:p>
            <w:pPr>
              <w:spacing w:after="0"/>
              <w:rPr>
                <w:sz w:val="17"/>
                <w:szCs w:val="17"/>
                <w:color w:val="auto"/>
              </w:rPr>
            </w:pPr>
          </w:p>
        </w:tc>
        <w:tc>
          <w:tcPr>
            <w:tcW w:w="5160" w:type="dxa"/>
            <w:vAlign w:val="bottom"/>
            <w:gridSpan w:val="2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96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86"/>
              </w:rPr>
            </w:pPr>
            <w:hyperlink w:anchor="page10">
              <w:r>
                <w:rPr>
                  <w:rFonts w:ascii="Arial" w:cs="Arial" w:eastAsia="Arial" w:hAnsi="Arial"/>
                  <w:sz w:val="18"/>
                  <w:szCs w:val="18"/>
                  <w:b w:val="1"/>
                  <w:bCs w:val="1"/>
                  <w:color w:val="0000EE"/>
                  <w:w w:val="86"/>
                </w:rPr>
                <w:t>Compensation Committee</w:t>
              </w:r>
            </w:hyperlink>
          </w:p>
        </w:tc>
        <w:tc>
          <w:tcPr>
            <w:tcW w:w="6320" w:type="dxa"/>
            <w:vAlign w:val="bottom"/>
            <w:gridSpan w:val="3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04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w w:val="88"/>
              </w:rPr>
            </w:pPr>
            <w:hyperlink w:anchor="page10">
              <w:r>
                <w:rPr>
                  <w:rFonts w:ascii="Arial" w:cs="Arial" w:eastAsia="Arial" w:hAnsi="Arial"/>
                  <w:sz w:val="18"/>
                  <w:szCs w:val="18"/>
                  <w:b w:val="1"/>
                  <w:bCs w:val="1"/>
                  <w:color w:val="0000EE"/>
                  <w:w w:val="88"/>
                </w:rPr>
                <w:t>Governance and Nominating Committee</w:t>
              </w:r>
            </w:hyperlink>
          </w:p>
        </w:tc>
        <w:tc>
          <w:tcPr>
            <w:tcW w:w="5240" w:type="dxa"/>
            <w:vAlign w:val="bottom"/>
            <w:gridSpan w:val="2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280" w:type="dxa"/>
            <w:vAlign w:val="bottom"/>
            <w:gridSpan w:val="48"/>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Board Attendance at Meetings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280" w:type="dxa"/>
            <w:vAlign w:val="bottom"/>
            <w:gridSpan w:val="48"/>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Shareholder Communication With the Board</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380" w:type="dxa"/>
            <w:vAlign w:val="bottom"/>
            <w:tcBorders>
              <w:top w:val="single" w:sz="8" w:color="0000EE"/>
            </w:tcBorders>
            <w:gridSpan w:val="28"/>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Audit Committee Report</w:t>
              </w:r>
            </w:hyperlink>
          </w:p>
        </w:tc>
        <w:tc>
          <w:tcPr>
            <w:tcW w:w="4900" w:type="dxa"/>
            <w:vAlign w:val="bottom"/>
            <w:gridSpan w:val="2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9"/>
              </w:rPr>
            </w:pPr>
            <w:hyperlink w:anchor="page12">
              <w:r>
                <w:rPr>
                  <w:rFonts w:ascii="Arial" w:cs="Arial" w:eastAsia="Arial" w:hAnsi="Arial"/>
                  <w:sz w:val="18"/>
                  <w:szCs w:val="18"/>
                  <w:b w:val="1"/>
                  <w:bCs w:val="1"/>
                  <w:color w:val="0000EE"/>
                  <w:w w:val="99"/>
                </w:rPr>
                <w:t>EXECUTIVE COMPENSATION</w:t>
              </w:r>
            </w:hyperlink>
          </w:p>
        </w:tc>
        <w:tc>
          <w:tcPr>
            <w:tcW w:w="5940" w:type="dxa"/>
            <w:vAlign w:val="bottom"/>
            <w:gridSpan w:val="3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38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6"/>
              </w:rPr>
            </w:pPr>
            <w:hyperlink w:anchor="page12">
              <w:r>
                <w:rPr>
                  <w:rFonts w:ascii="Arial" w:cs="Arial" w:eastAsia="Arial" w:hAnsi="Arial"/>
                  <w:sz w:val="18"/>
                  <w:szCs w:val="18"/>
                  <w:b w:val="1"/>
                  <w:bCs w:val="1"/>
                  <w:color w:val="0000EE"/>
                  <w:w w:val="86"/>
                </w:rPr>
                <w:t>Executive Officers</w:t>
              </w:r>
            </w:hyperlink>
          </w:p>
        </w:tc>
        <w:tc>
          <w:tcPr>
            <w:tcW w:w="6900" w:type="dxa"/>
            <w:vAlign w:val="bottom"/>
            <w:gridSpan w:val="4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70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86"/>
              </w:rPr>
            </w:pPr>
            <w:hyperlink w:anchor="page12">
              <w:r>
                <w:rPr>
                  <w:rFonts w:ascii="Arial" w:cs="Arial" w:eastAsia="Arial" w:hAnsi="Arial"/>
                  <w:sz w:val="18"/>
                  <w:szCs w:val="18"/>
                  <w:b w:val="1"/>
                  <w:bCs w:val="1"/>
                  <w:color w:val="0000EE"/>
                  <w:w w:val="86"/>
                </w:rPr>
                <w:t>Compensation of Executive Officers</w:t>
              </w:r>
            </w:hyperlink>
          </w:p>
        </w:tc>
        <w:tc>
          <w:tcPr>
            <w:tcW w:w="5580" w:type="dxa"/>
            <w:vAlign w:val="bottom"/>
            <w:gridSpan w:val="2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280" w:type="dxa"/>
            <w:vAlign w:val="bottom"/>
            <w:gridSpan w:val="48"/>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Employment Agreements With Certain Named Executive Officers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940" w:type="dxa"/>
            <w:vAlign w:val="bottom"/>
            <w:tcBorders>
              <w:top w:val="single" w:sz="8" w:color="0000EE"/>
            </w:tcBorders>
            <w:gridSpan w:val="42"/>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Change in Control Agreements</w:t>
              </w:r>
            </w:hyperlink>
          </w:p>
        </w:tc>
        <w:tc>
          <w:tcPr>
            <w:tcW w:w="334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980" w:type="dxa"/>
            <w:vAlign w:val="bottom"/>
            <w:gridSpan w:val="11"/>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280" w:type="dxa"/>
            <w:vAlign w:val="bottom"/>
            <w:gridSpan w:val="48"/>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Outstanding Equity Awards at 2007 Fiscal Year End</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b w:val="1"/>
                <w:bCs w:val="1"/>
                <w:color w:val="0000EE"/>
                <w:w w:val="85"/>
              </w:rPr>
            </w:pPr>
            <w:hyperlink w:anchor="page16">
              <w:r>
                <w:rPr>
                  <w:rFonts w:ascii="Arial" w:cs="Arial" w:eastAsia="Arial" w:hAnsi="Arial"/>
                  <w:sz w:val="18"/>
                  <w:szCs w:val="18"/>
                  <w:b w:val="1"/>
                  <w:bCs w:val="1"/>
                  <w:color w:val="0000EE"/>
                  <w:w w:val="85"/>
                </w:rPr>
                <w:t>Option Exercises and Stock Vested in 2007</w:t>
              </w:r>
            </w:hyperlink>
          </w:p>
        </w:tc>
        <w:tc>
          <w:tcPr>
            <w:tcW w:w="740" w:type="dxa"/>
            <w:vAlign w:val="bottom"/>
            <w:tcBorders>
              <w:top w:val="single" w:sz="8" w:color="0000EE"/>
            </w:tcBorders>
            <w:gridSpan w:val="9"/>
          </w:tcPr>
          <w:p>
            <w:pPr>
              <w:spacing w:after="0"/>
              <w:rPr>
                <w:sz w:val="17"/>
                <w:szCs w:val="17"/>
                <w:color w:val="auto"/>
              </w:rPr>
            </w:pPr>
          </w:p>
        </w:tc>
        <w:tc>
          <w:tcPr>
            <w:tcW w:w="4360" w:type="dxa"/>
            <w:vAlign w:val="bottom"/>
            <w:gridSpan w:val="1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42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87"/>
              </w:rPr>
            </w:pPr>
            <w:hyperlink w:anchor="page16">
              <w:r>
                <w:rPr>
                  <w:rFonts w:ascii="Arial" w:cs="Arial" w:eastAsia="Arial" w:hAnsi="Arial"/>
                  <w:sz w:val="18"/>
                  <w:szCs w:val="18"/>
                  <w:b w:val="1"/>
                  <w:bCs w:val="1"/>
                  <w:color w:val="0000EE"/>
                  <w:w w:val="87"/>
                </w:rPr>
                <w:t>Director Compensation for 2007</w:t>
              </w:r>
            </w:hyperlink>
          </w:p>
        </w:tc>
        <w:tc>
          <w:tcPr>
            <w:tcW w:w="5860" w:type="dxa"/>
            <w:vAlign w:val="bottom"/>
            <w:gridSpan w:val="3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7"/>
              </w:rPr>
            </w:pPr>
            <w:hyperlink w:anchor="page17">
              <w:r>
                <w:rPr>
                  <w:rFonts w:ascii="Arial" w:cs="Arial" w:eastAsia="Arial" w:hAnsi="Arial"/>
                  <w:sz w:val="18"/>
                  <w:szCs w:val="18"/>
                  <w:b w:val="1"/>
                  <w:bCs w:val="1"/>
                  <w:color w:val="0000EE"/>
                  <w:w w:val="97"/>
                </w:rPr>
                <w:t>OWNERSHIP OF COMPANY STOCK</w:t>
              </w:r>
            </w:hyperlink>
          </w:p>
        </w:tc>
        <w:tc>
          <w:tcPr>
            <w:tcW w:w="5480" w:type="dxa"/>
            <w:vAlign w:val="bottom"/>
            <w:gridSpan w:val="2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720" w:type="dxa"/>
            <w:vAlign w:val="bottom"/>
            <w:tcBorders>
              <w:bottom w:val="single" w:sz="8" w:color="0000EE"/>
            </w:tcBorders>
            <w:gridSpan w:val="31"/>
          </w:tcPr>
          <w:p>
            <w:pPr>
              <w:spacing w:after="0" w:line="196" w:lineRule="exact"/>
              <w:rPr>
                <w:rFonts w:ascii="Arial" w:cs="Arial" w:eastAsia="Arial" w:hAnsi="Arial"/>
                <w:sz w:val="18"/>
                <w:szCs w:val="18"/>
                <w:b w:val="1"/>
                <w:bCs w:val="1"/>
                <w:color w:val="0000EE"/>
                <w:w w:val="88"/>
              </w:rPr>
            </w:pPr>
            <w:hyperlink w:anchor="page17">
              <w:r>
                <w:rPr>
                  <w:rFonts w:ascii="Arial" w:cs="Arial" w:eastAsia="Arial" w:hAnsi="Arial"/>
                  <w:sz w:val="18"/>
                  <w:szCs w:val="18"/>
                  <w:b w:val="1"/>
                  <w:bCs w:val="1"/>
                  <w:color w:val="0000EE"/>
                  <w:w w:val="88"/>
                </w:rPr>
                <w:t>Security Ownership of Certain Beneficial Owners</w:t>
              </w:r>
            </w:hyperlink>
          </w:p>
        </w:tc>
        <w:tc>
          <w:tcPr>
            <w:tcW w:w="456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280" w:type="dxa"/>
            <w:vAlign w:val="bottom"/>
            <w:gridSpan w:val="48"/>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Security Ownership of Management and Directors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20" w:type="dxa"/>
            <w:vAlign w:val="bottom"/>
            <w:gridSpan w:val="23"/>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380" w:type="dxa"/>
            <w:vAlign w:val="bottom"/>
            <w:tcBorders>
              <w:bottom w:val="single" w:sz="8" w:color="0000EE"/>
            </w:tcBorders>
            <w:gridSpan w:val="40"/>
          </w:tcPr>
          <w:p>
            <w:pPr>
              <w:spacing w:after="0" w:line="196" w:lineRule="exact"/>
              <w:rPr>
                <w:rFonts w:ascii="Arial" w:cs="Arial" w:eastAsia="Arial" w:hAnsi="Arial"/>
                <w:sz w:val="18"/>
                <w:szCs w:val="18"/>
                <w:b w:val="1"/>
                <w:bCs w:val="1"/>
                <w:color w:val="0000EE"/>
                <w:w w:val="87"/>
              </w:rPr>
            </w:pPr>
            <w:hyperlink w:anchor="page19">
              <w:r>
                <w:rPr>
                  <w:rFonts w:ascii="Arial" w:cs="Arial" w:eastAsia="Arial" w:hAnsi="Arial"/>
                  <w:sz w:val="18"/>
                  <w:szCs w:val="18"/>
                  <w:b w:val="1"/>
                  <w:bCs w:val="1"/>
                  <w:color w:val="0000EE"/>
                  <w:w w:val="87"/>
                </w:rPr>
                <w:t>Section 16(a) Beneficial Ownership Reporting Compliance</w:t>
              </w:r>
            </w:hyperlink>
          </w:p>
        </w:tc>
        <w:tc>
          <w:tcPr>
            <w:tcW w:w="390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0000EE"/>
            </w:tcBorders>
            <w:gridSpan w:val="47"/>
          </w:tcPr>
          <w:p>
            <w:pPr>
              <w:spacing w:after="0" w:line="196" w:lineRule="exact"/>
              <w:rPr>
                <w:rFonts w:ascii="Arial" w:cs="Arial" w:eastAsia="Arial" w:hAnsi="Arial"/>
                <w:sz w:val="18"/>
                <w:szCs w:val="18"/>
                <w:b w:val="1"/>
                <w:bCs w:val="1"/>
                <w:color w:val="0000EE"/>
                <w:w w:val="98"/>
              </w:rPr>
            </w:pPr>
            <w:hyperlink w:anchor="page19">
              <w:r>
                <w:rPr>
                  <w:rFonts w:ascii="Arial" w:cs="Arial" w:eastAsia="Arial" w:hAnsi="Arial"/>
                  <w:sz w:val="18"/>
                  <w:szCs w:val="18"/>
                  <w:b w:val="1"/>
                  <w:bCs w:val="1"/>
                  <w:color w:val="0000EE"/>
                  <w:w w:val="98"/>
                </w:rPr>
                <w:t>PROPOSAL TWO: RATIFICATION OF INDEPENDENT REGISTERED PUBLIC ACCOUNTING FIRM</w:t>
              </w:r>
            </w:hyperlink>
          </w:p>
        </w:tc>
        <w:tc>
          <w:tcPr>
            <w:tcW w:w="36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8480" w:type="dxa"/>
            <w:vAlign w:val="bottom"/>
            <w:gridSpan w:val="49"/>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OTHER MATTERS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20" w:type="dxa"/>
            <w:vAlign w:val="bottom"/>
            <w:gridSpan w:val="23"/>
          </w:tcPr>
          <w:p>
            <w:pPr>
              <w:spacing w:after="0" w:line="20" w:lineRule="exact"/>
              <w:rPr>
                <w:sz w:val="1"/>
                <w:szCs w:val="1"/>
                <w:color w:val="auto"/>
              </w:rPr>
            </w:pPr>
          </w:p>
        </w:tc>
        <w:tc>
          <w:tcPr>
            <w:tcW w:w="1820" w:type="dxa"/>
            <w:vAlign w:val="bottom"/>
            <w:gridSpan w:val="16"/>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gridSpan w:val="49"/>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SHAREHOLDER PROPOSALS FOR THE 2009 ANNUAL MEETING</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336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b w:val="1"/>
                <w:bCs w:val="1"/>
                <w:color w:val="0000EE"/>
                <w:w w:val="88"/>
              </w:rPr>
            </w:pPr>
            <w:hyperlink w:anchor="page21">
              <w:r>
                <w:rPr>
                  <w:rFonts w:ascii="Arial" w:cs="Arial" w:eastAsia="Arial" w:hAnsi="Arial"/>
                  <w:sz w:val="18"/>
                  <w:szCs w:val="18"/>
                  <w:b w:val="1"/>
                  <w:bCs w:val="1"/>
                  <w:color w:val="0000EE"/>
                  <w:w w:val="88"/>
                </w:rPr>
                <w:t>Proposals for the Company's Proxy Material</w:t>
              </w:r>
            </w:hyperlink>
          </w:p>
        </w:tc>
        <w:tc>
          <w:tcPr>
            <w:tcW w:w="1820" w:type="dxa"/>
            <w:vAlign w:val="bottom"/>
            <w:tcBorders>
              <w:top w:val="single" w:sz="8" w:color="0000EE"/>
            </w:tcBorders>
            <w:gridSpan w:val="16"/>
          </w:tcPr>
          <w:p>
            <w:pPr>
              <w:spacing w:after="0"/>
              <w:rPr>
                <w:sz w:val="17"/>
                <w:szCs w:val="17"/>
                <w:color w:val="auto"/>
              </w:rPr>
            </w:pPr>
          </w:p>
        </w:tc>
        <w:tc>
          <w:tcPr>
            <w:tcW w:w="310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8020" w:type="dxa"/>
            <w:vAlign w:val="bottom"/>
            <w:tcBorders>
              <w:bottom w:val="single" w:sz="8" w:color="0000EE"/>
            </w:tcBorders>
            <w:gridSpan w:val="47"/>
          </w:tcPr>
          <w:p>
            <w:pPr>
              <w:spacing w:after="0" w:line="196" w:lineRule="exact"/>
              <w:rPr>
                <w:rFonts w:ascii="Arial" w:cs="Arial" w:eastAsia="Arial" w:hAnsi="Arial"/>
                <w:sz w:val="18"/>
                <w:szCs w:val="18"/>
                <w:b w:val="1"/>
                <w:bCs w:val="1"/>
                <w:color w:val="0000EE"/>
                <w:w w:val="88"/>
              </w:rPr>
            </w:pPr>
            <w:hyperlink w:anchor="page21">
              <w:r>
                <w:rPr>
                  <w:rFonts w:ascii="Arial" w:cs="Arial" w:eastAsia="Arial" w:hAnsi="Arial"/>
                  <w:sz w:val="18"/>
                  <w:szCs w:val="18"/>
                  <w:b w:val="1"/>
                  <w:bCs w:val="1"/>
                  <w:color w:val="0000EE"/>
                  <w:w w:val="88"/>
                </w:rPr>
                <w:t>Proposals to be Introduced at the Annual Meeting but not Intended to be Included in the Company's Proxy</w:t>
              </w:r>
            </w:hyperlink>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b w:val="1"/>
                <w:bCs w:val="1"/>
                <w:color w:val="0000EE"/>
                <w:w w:val="94"/>
              </w:rPr>
            </w:pPr>
            <w:hyperlink w:anchor="page21">
              <w:r>
                <w:rPr>
                  <w:rFonts w:ascii="Arial" w:cs="Arial" w:eastAsia="Arial" w:hAnsi="Arial"/>
                  <w:sz w:val="18"/>
                  <w:szCs w:val="18"/>
                  <w:b w:val="1"/>
                  <w:bCs w:val="1"/>
                  <w:color w:val="0000EE"/>
                  <w:w w:val="94"/>
                </w:rPr>
                <w:t>Material</w:t>
              </w:r>
            </w:hyperlink>
          </w:p>
        </w:tc>
        <w:tc>
          <w:tcPr>
            <w:tcW w:w="7620" w:type="dxa"/>
            <w:vAlign w:val="bottom"/>
            <w:gridSpan w:val="4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-6649720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-6649720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2430145</wp:posOffset>
            </wp:positionH>
            <wp:positionV relativeFrom="page">
              <wp:posOffset>88900</wp:posOffset>
            </wp:positionV>
            <wp:extent cx="2701290" cy="36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701290" cy="368935"/>
                    </a:xfrm>
                    <a:prstGeom prst="rect">
                      <a:avLst/>
                    </a:prstGeom>
                    <a:noFill/>
                  </pic:spPr>
                </pic:pic>
              </a:graphicData>
            </a:graphic>
          </wp:anchor>
        </w:drawing>
        <w:t>PROXY STATEMENT</w:t>
      </w:r>
    </w:p>
    <w:p>
      <w:pPr>
        <w:spacing w:after="0" w:line="200" w:lineRule="exact"/>
        <w:rPr>
          <w:sz w:val="20"/>
          <w:szCs w:val="20"/>
          <w:color w:val="auto"/>
        </w:rPr>
      </w:pPr>
    </w:p>
    <w:p>
      <w:pPr>
        <w:spacing w:after="0" w:line="23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QUESTIONS AND ANSWERS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ABOUT THE 2008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this proxy?</w:t>
      </w:r>
    </w:p>
    <w:p>
      <w:pPr>
        <w:spacing w:after="0" w:line="231" w:lineRule="exact"/>
        <w:rPr>
          <w:sz w:val="20"/>
          <w:szCs w:val="20"/>
          <w:color w:val="auto"/>
        </w:rPr>
      </w:pPr>
    </w:p>
    <w:p>
      <w:pPr>
        <w:jc w:val="both"/>
        <w:ind w:right="240" w:firstLine="348"/>
        <w:spacing w:after="0" w:line="256" w:lineRule="auto"/>
        <w:rPr>
          <w:sz w:val="20"/>
          <w:szCs w:val="20"/>
          <w:color w:val="auto"/>
        </w:rPr>
      </w:pPr>
      <w:r>
        <w:rPr>
          <w:rFonts w:ascii="Arial" w:cs="Arial" w:eastAsia="Arial" w:hAnsi="Arial"/>
          <w:sz w:val="18"/>
          <w:szCs w:val="18"/>
          <w:color w:val="auto"/>
        </w:rPr>
        <w:t>The Board of Directors of Allied Motion Technologies Inc. (the "Company") is soliciting proxies to be voted at the Annual Meeting of Shareholders. The Annual Meeting will be held Thursday, May 1, 2008, at 2:00 p.m. (Mountain Time) at the Inverness Hotel and Conference Center, 200 Inverness Drive West, Englewood, CO 80112. This proxy statement summarizes the information you need to know to vote by proxy or in person at the Annual Meeting. You do not need to attend the Annual Meeting in person in order to vote.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shareholders of record as of the close of business on Thursday, March 13, 2008 (the "Record Date") are entitled to vote at the Annual Meeting.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for the Annual Meeting?</w:t>
      </w:r>
    </w:p>
    <w:p>
      <w:pPr>
        <w:spacing w:after="0" w:line="231"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quorum at the Annual Meeting will consist of a majority of the votes entitled to be cast by the holders of all shares of Common Stock outstanding. No business may be conducted at the Annual Meeting if a quorum is not present. Broker non-votes (shares held in street name for which the broker indicates that instructions have not been received from the beneficial owners or other persons entitled to vote, and the broker does not have discretionary voting authority) and abstentions will be counted as shares present in determining whether a quorum is present. As of the Record Date, 7,289,824 shares of Common Stock were issued and outstanding.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share of Common Stock outstanding on the Record Date is entitled to one vote on each item submitted to you for consideration.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45"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Mail: Vote, sign, date your card and mail it in the postage-paid envelope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Person: At the Annual Meeting</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 that are held by my broker?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have shares held by a broker, you may instruct your broker to vote your shares by following the instructions that the broker provides to you.</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will be voting on the following proposals:</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Proposal One: The election of seven Directors of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Proposal Two: The ratification of EKS&amp;H as the Company's independent registered public accounting firm for the 2008 fiscal year</w:t>
      </w:r>
    </w:p>
    <w:p>
      <w:pPr>
        <w:spacing w:after="0" w:line="225" w:lineRule="exact"/>
        <w:rPr>
          <w:rFonts w:ascii="Arial" w:cs="Arial" w:eastAsia="Arial" w:hAnsi="Arial"/>
          <w:sz w:val="18"/>
          <w:szCs w:val="18"/>
          <w:color w:val="auto"/>
        </w:rPr>
      </w:pPr>
    </w:p>
    <w:p>
      <w:pPr>
        <w:ind w:left="568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8"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do not expect any other items of business because the deadline for shareholder proposals and nominations has passed. Nonetheless, in case there is an unforeseen need, your proxy gives discretionary authority to Delwin D. Hock and Richard D. Smith with respect to any other matters that might be brought before the Annual Meeting. Those persons intend to vote that proxy in accordance with their best judgment.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act on the proposals?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holder of each outstanding share of Common Stock is entitled to one vote for each share of Common Stock on each matter submitted to a vote at a meeting of shareholders.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Pursuant to our Articles of Incorporation and Bylaws, directors will be elected by the affirmative vote of the holders of two-thirds of the shares of Common Stock entitled to vote at the Annual Meeting with each share being voted for as many individuals as there are directors to be elected and for whose election the share is entitled to vote.</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Ratification of the appointment of EKS&amp;H as the Company's independent registered public accounting firm for the 2008 fiscal year requires the affirmative vote of a majority of the votes cast on the proposal.</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Since the election of directors requires the approving vote to be measured against all shares of Common Stock entitled to vote, an abstention and withholding authority from that vote is the equivalent of a vote against the election of the nominated director.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Proposal Two, abstentions and broker non-votes will not be counted as affirmative or negative in determining the number of shares voted.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return my proxy card without voting on all proposals?</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When the proxy is properly executed and returned, the shares it represents will be voted at the Annual Meeting in accordance with your directions. If the signed card is returned with no direction on a proposal, the proxy will be voted in favor of (FOR) Proposals One and Two.</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return my proxy card?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can revoke your proxy and change your vote at any time prior to the voting thereof at the Annual Meeting. You can do this by:</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filing with the Secretary of the Company a written revocation or signing and submitting another proxy with a later date,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attending the Annual Meeting, withdrawing the proxy and voting in person.</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If your shares are held by a nominee and you seek to vote shares in person at the Annual Meeting, you must bring to the Annual Meeting a written statement from the nominee confirming the shareholder's beneficial ownership of a stated number of shares and that such shares have not been voted by the nominee. Your attendance at the Annual Meeting will not in itself revoke your proxy.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anyone contact me regarding this vote?</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we have retained the services of D.F.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both"/>
        <w:ind w:right="140"/>
        <w:spacing w:after="0" w:line="306" w:lineRule="auto"/>
        <w:rPr>
          <w:sz w:val="20"/>
          <w:szCs w:val="20"/>
          <w:color w:val="auto"/>
        </w:rPr>
      </w:pPr>
      <w:r>
        <w:rPr>
          <w:rFonts w:ascii="Arial" w:cs="Arial" w:eastAsia="Arial" w:hAnsi="Arial"/>
          <w:sz w:val="16"/>
          <w:szCs w:val="16"/>
          <w:color w:val="auto"/>
        </w:rPr>
        <w:t>King &amp; Co., Inc. to aid in the solicitation of proxies in person, by mail or telephone. The costs are not expected to exceed $6,500 plus expenses.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has paid for this proxy solicitation?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paid the entire expense of this proxy statement and any additional materials furnished to shareholders.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shareholders ask questions at the Annual Meeting?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Yes. There will be time allotted at the end of the meeting when Company representatives will answer questions from the floor.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this year's Annual Report on Form 10-K?</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 copy of the Company's 2007 Annual Report to Shareholders, including financial statements for the fiscal year ended December 31, 2007, accompanies this Proxy Statement. The Annual Report, however, is not part of the proxy solicitation material. A copy of the Company's Annual Report on Form 10-K filed with the Securities and Exchange Commission ("SEC") may be obtained free of charge by writing to Allied Motion Technologies Inc., 23 Inverness Way East, Suite 150, Englewood, Colorado 80112, Attention: Secretary or by accessing the "SEC Filings" section of the Company's website at www.alliedmotion.com.</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It means that you have multiple accounts at the transfer agent or with stockbrokers. Please complete and return all proxy cards to ensure that all your shares are voted.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was this proxy statement mailed?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proxy statement, the enclosed proxy card and the Annual Report were mailed to shareholders beginning on or about March 20, 2008.</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find additional information on the Company's website?</w:t>
      </w:r>
    </w:p>
    <w:p>
      <w:pPr>
        <w:spacing w:after="0" w:line="231" w:lineRule="exact"/>
        <w:rPr>
          <w:sz w:val="20"/>
          <w:szCs w:val="20"/>
          <w:color w:val="auto"/>
        </w:rPr>
      </w:pPr>
    </w:p>
    <w:p>
      <w:pPr>
        <w:ind w:firstLine="345"/>
        <w:spacing w:after="0" w:line="298" w:lineRule="auto"/>
        <w:rPr>
          <w:sz w:val="20"/>
          <w:szCs w:val="20"/>
          <w:color w:val="auto"/>
        </w:rPr>
      </w:pPr>
      <w:r>
        <w:rPr>
          <w:rFonts w:ascii="Arial" w:cs="Arial" w:eastAsia="Arial" w:hAnsi="Arial"/>
          <w:sz w:val="16"/>
          <w:szCs w:val="16"/>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corporate governance principles and each of the charters of our board committees may be obtained free of charge by writing to Allied Motion Technologies Inc., 23 Inverness Way East, Suite 150, Englewood, Colorado 80112, Attention: Secretary.</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ONE: ELECTION OF DIRECTORS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194"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Board of Directors currently consists of Delwin D. Hock, Graydon D. Hubbard, George J. Pilmanis, Michel M. Robert, S.R. (Rollie) Heath, Jr., Richard D. Smith and Richard S. Warzala. Based on the recommendation of our Governance and Nominating Committee, all incumbent directors have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 w:name="page8"/>
    <w:bookmarkEnd w:id="7"/>
    <w:p>
      <w:pPr>
        <w:spacing w:after="0" w:line="298" w:lineRule="auto"/>
        <w:rPr>
          <w:sz w:val="20"/>
          <w:szCs w:val="20"/>
          <w:color w:val="auto"/>
        </w:rPr>
      </w:pPr>
      <w:r>
        <w:rPr>
          <w:rFonts w:ascii="Arial" w:cs="Arial" w:eastAsia="Arial" w:hAnsi="Arial"/>
          <w:sz w:val="16"/>
          <w:szCs w:val="16"/>
          <w:color w:val="auto"/>
        </w:rPr>
        <w:t>been nominated to succeed themselves as directors.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authority is withheld, it is intended that the shares represented by proxy at the Annual Meeting will be voted in favor of the seven nominees named below. All nominees have agreed to serve if elected.</w:t>
      </w:r>
    </w:p>
    <w:p>
      <w:pPr>
        <w:spacing w:after="0" w:line="16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39"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BOARD OF DIRECTORS UNANIMOUSLY RECOMMENDS THAT SHAREHOLDERS VOTE "FOR" THE ELECTION OF EACH OF THE NOMINEES.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Directors</w:t>
      </w:r>
    </w:p>
    <w:p>
      <w:pPr>
        <w:spacing w:after="0" w:line="23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following provides certain information regarding the nominees for election to our Board of Directors. Each individual's name, position with the Company and principal occupation and business experience for the past five years is provided and, unless otherwise stated, each nominee has held the position indicated for at least the past five years.</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Delwin D. Hock</w:t>
      </w:r>
      <w:r>
        <w:rPr>
          <w:rFonts w:ascii="Arial" w:cs="Arial" w:eastAsia="Arial" w:hAnsi="Arial"/>
          <w:sz w:val="18"/>
          <w:szCs w:val="18"/>
          <w:color w:val="auto"/>
        </w:rPr>
        <w:t>, age 72—Mr. Hock has served as a director of the Company since February 1997 and as Chairman of the Board of Directors since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 He retired from his position as Chief Executive Officer of Public Service Company of Colorado, a gas and electric utility, in January 1996 and as Chairman of the Board of Directors of that company in July 1997. From September 1962 to January 1996, Mr. Hock held various management positions at Public Service Company.</w:t>
      </w:r>
    </w:p>
    <w:p>
      <w:pPr>
        <w:spacing w:after="0" w:line="197"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b w:val="1"/>
          <w:bCs w:val="1"/>
          <w:i w:val="1"/>
          <w:iCs w:val="1"/>
          <w:color w:val="auto"/>
        </w:rPr>
        <w:t>Graydon D. Hubbard</w:t>
      </w:r>
      <w:r>
        <w:rPr>
          <w:rFonts w:ascii="Arial" w:cs="Arial" w:eastAsia="Arial" w:hAnsi="Arial"/>
          <w:sz w:val="16"/>
          <w:szCs w:val="16"/>
          <w:color w:val="auto"/>
        </w:rPr>
        <w:t>, age 74—Mr. Hubbard has served as a director of the Company since 1991. He is a retired certified public accountant and was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 of Arthur Andersen LLP, the Company's former independent public accountants, in its Denver office for more than five years prior to his retirement in November 1989. Since September 2003, he has served as a director of Whiting Petroleum Corporation, chairman of its audit committee and is a member of its compensation committee. Whiting is an independent oil and gas company engaged in acquisition, exploitation, exploration and development.</w:t>
      </w:r>
    </w:p>
    <w:p>
      <w:pPr>
        <w:spacing w:after="0" w:line="167"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b w:val="1"/>
          <w:bCs w:val="1"/>
          <w:i w:val="1"/>
          <w:iCs w:val="1"/>
          <w:color w:val="auto"/>
        </w:rPr>
        <w:t>George J. Pilmanis</w:t>
      </w:r>
      <w:r>
        <w:rPr>
          <w:rFonts w:ascii="Arial" w:cs="Arial" w:eastAsia="Arial" w:hAnsi="Arial"/>
          <w:sz w:val="16"/>
          <w:szCs w:val="16"/>
          <w:color w:val="auto"/>
        </w:rPr>
        <w:t>, age 70—Mr. Pilmanis has served as a director of the Company since 1993. For more than five years prior to his retirement in April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2003 he was chairman and president of Balriga International Corp., a privately held company concerned with business development in the Far East and Eastern Europe. In 2001 and 2002 he also served as Executive Director of the Foreign Investors Council in Latvia.</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Michel M. Robert</w:t>
      </w:r>
      <w:r>
        <w:rPr>
          <w:rFonts w:ascii="Arial" w:cs="Arial" w:eastAsia="Arial" w:hAnsi="Arial"/>
          <w:sz w:val="15"/>
          <w:szCs w:val="15"/>
          <w:color w:val="auto"/>
        </w:rPr>
        <w:t>, age 66—Mr. Robert has served as a director of the Company since July 2004. He founded Decision Processes International, Inc. (DPI) in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1980 to provide consulting services in the field of strategy development and deployment. He is currently Chief Executive Officer and President of DPI.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Robert has been published in a wide array of business magazines and journals and has authored several books.</w:t>
      </w:r>
    </w:p>
    <w:p>
      <w:pPr>
        <w:spacing w:after="0" w:line="21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S.R. (Rollie) Heath, Jr., </w:t>
      </w:r>
      <w:r>
        <w:rPr>
          <w:rFonts w:ascii="Arial" w:cs="Arial" w:eastAsia="Arial" w:hAnsi="Arial"/>
          <w:sz w:val="18"/>
          <w:szCs w:val="18"/>
          <w:color w:val="auto"/>
        </w:rPr>
        <w:t>age 70—Mr. Heath has served as a director of the Company since August 2007. He is a recognized civic and business leader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Colorado and founding partner of NorthStone Group, a company that advises and educates boards of directors and executive teams on leadership development and decision making. Mr. Heath spent 17 years in senior management with Johns Manville Corporation and later became the chairman, CEO and a co-founder of Ponderosa Industries, a precision metal parts manufacturing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 w:name="page9"/>
    <w:bookmarkEnd w:id="8"/>
    <w:p>
      <w:pPr>
        <w:ind w:right="560" w:firstLine="351"/>
        <w:spacing w:after="0" w:line="286" w:lineRule="auto"/>
        <w:rPr>
          <w:sz w:val="20"/>
          <w:szCs w:val="20"/>
          <w:color w:val="auto"/>
        </w:rPr>
      </w:pPr>
      <w:r>
        <w:rPr>
          <w:rFonts w:ascii="Arial" w:cs="Arial" w:eastAsia="Arial" w:hAnsi="Arial"/>
          <w:sz w:val="16"/>
          <w:szCs w:val="16"/>
          <w:b w:val="1"/>
          <w:bCs w:val="1"/>
          <w:i w:val="1"/>
          <w:iCs w:val="1"/>
          <w:color w:val="auto"/>
        </w:rPr>
        <w:t>Richard D. Smith</w:t>
      </w:r>
      <w:r>
        <w:rPr>
          <w:rFonts w:ascii="Arial" w:cs="Arial" w:eastAsia="Arial" w:hAnsi="Arial"/>
          <w:sz w:val="16"/>
          <w:szCs w:val="16"/>
          <w:color w:val="auto"/>
        </w:rPr>
        <w:t>, age 60—Mr. Smith has served as a director of the Company since August 1996. He has served as Chief Executive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13, 1998. He served as President from August 13, 1998 until May 1, 2002. He was Executive Vice President from August 1993 until August 1998.</w:t>
      </w:r>
    </w:p>
    <w:p>
      <w:pPr>
        <w:jc w:val="both"/>
        <w:ind w:right="20"/>
        <w:spacing w:after="0" w:line="255" w:lineRule="auto"/>
        <w:rPr>
          <w:sz w:val="20"/>
          <w:szCs w:val="20"/>
          <w:color w:val="auto"/>
        </w:rPr>
      </w:pPr>
      <w:r>
        <w:rPr>
          <w:rFonts w:ascii="Arial" w:cs="Arial" w:eastAsia="Arial" w:hAnsi="Arial"/>
          <w:sz w:val="18"/>
          <w:szCs w:val="18"/>
          <w:color w:val="auto"/>
        </w:rPr>
        <w:t>Mr. Smith served as Vice-President of Finance from June 1983 to August 1993. He has served as Chief Financial Officer since June 1983. Pursuant to Mr. Smith's employment agreement, as long as he is the Chief Executive Officer of the Company and is willing to serve, the Board of Directors will nominate him for election to the Board.</w:t>
      </w:r>
    </w:p>
    <w:p>
      <w:pPr>
        <w:spacing w:after="0" w:line="198"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b w:val="1"/>
          <w:bCs w:val="1"/>
          <w:i w:val="1"/>
          <w:iCs w:val="1"/>
          <w:color w:val="auto"/>
        </w:rPr>
        <w:t>Richard S. Warzala</w:t>
      </w:r>
      <w:r>
        <w:rPr>
          <w:rFonts w:ascii="Arial" w:cs="Arial" w:eastAsia="Arial" w:hAnsi="Arial"/>
          <w:sz w:val="18"/>
          <w:szCs w:val="18"/>
          <w:color w:val="auto"/>
        </w:rPr>
        <w:t>, age 54—Mr. Warzala has served as director of the Company since August 2006. He was appointed President and Chief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the Company in May 2002 and has been employed by the Company since October 2001. From March 2000 through March 2001, Mr. Warzala served as President of the Motion Components Group for Danaher Corporation. In 1993, he was named President of API Motion, a subsidiary of American Precision Industries Inc., and continued as President until 2000, when it was acquired by Danaher. From 1976 to 1993, he held various management positions at American Precision Industries, Inc.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corporate governance standards of the Nasdaq Capital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current director, other than Mr. Smith, the Company's Chief Executive Officer and Chief Financial Officer and Mr. Warzala, the Company's President and Chief Operating Officer, satisfies the bright line criteria and that none has a relationship with the Company that would interfere with such person's ability to exercise independent judgment as a member of our Board.</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BOARD COMMITTEES AND MEETINGS</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Board of Directors has a standing Audit Committee, Compensation Committee and Governance and Nominating Committees. Each member of each of these committees is "independent" as that term is defined in the Nasdaq listing standards. The Board has adopted a written charter for each of these committees, which is available on our web site at www.alliedmotion.com.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Audit Committee of our Board of Directors consists of Messrs. Hubbard (Chairman), Hock and Pilmanis. The Audit Committee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four meetings during 2007. Each member of the Audit Committee meets the current independence and experience requirements of Nasdaq and the SEC. Mr. Hubbard has been designated as the Company's "Audit Committee financial expert" in accordance with the SEC rules and regulations and qualifies as a financially sophisticated audit committee member under the Nasdaq listing standards. See "Report of the Audit Committee" below.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Compensation Committee</w:t>
      </w:r>
    </w:p>
    <w:p>
      <w:pPr>
        <w:spacing w:after="0" w:line="231" w:lineRule="exact"/>
        <w:rPr>
          <w:sz w:val="20"/>
          <w:szCs w:val="20"/>
          <w:color w:val="auto"/>
        </w:rPr>
      </w:pPr>
    </w:p>
    <w:p>
      <w:pPr>
        <w:ind w:right="380" w:firstLine="348"/>
        <w:spacing w:after="0" w:line="255" w:lineRule="auto"/>
        <w:rPr>
          <w:sz w:val="20"/>
          <w:szCs w:val="20"/>
          <w:color w:val="auto"/>
        </w:rPr>
      </w:pPr>
      <w:r>
        <w:rPr>
          <w:rFonts w:ascii="Arial" w:cs="Arial" w:eastAsia="Arial" w:hAnsi="Arial"/>
          <w:sz w:val="18"/>
          <w:szCs w:val="18"/>
          <w:color w:val="auto"/>
        </w:rPr>
        <w:t>The Compensation Committee of our Board of Directors currently consists of Messrs. Pilmanis (Chairman), Hock and Hubbard. The Compensation Committee has the principal responsibility to make recommendations to the Board of Directors concerning the compensation of the Company's management employees including its executive officers. The Compensation Committee also reviews, approves and recommends to the Board for their approval all awards granted under the Company's stock incentive plan and performs other functions regarding compensation as the Board may delegate. The Compensation Committee met two times during 2007.</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Governance and Nominating Committee of our Board of Directors currently consists of Messrs. Hock (Chairman), Heath and Hubbard. The Governance and Nominating Committee met four times during 2007. The Governance and Nominating Committee (i) monitors and oversees matters of corporate governance, including the evaluation of Board performance and processes and the "independence" of directors, and (ii) selects, evaluates and recommends to the Board qualified candidates for election or appointment to the Board and each Committee of the Board.</w:t>
      </w:r>
    </w:p>
    <w:p>
      <w:pPr>
        <w:spacing w:after="0" w:line="167"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at 23 Inverness Way East, Suite 150, Englewood, Colorado 80112, within the time periods set forth under "Shareholder Proposals for the 2008 Annual Meeting."</w:t>
      </w:r>
    </w:p>
    <w:p>
      <w:pPr>
        <w:spacing w:after="0" w:line="16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services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Skills and characteristics that are considered include judgment, accountability, integrity, experience, technical skills, diversity, financial literacy, mature confidence, high performance standards, time, other board appointments, industry knowledge, and degree of independence from management.</w:t>
      </w:r>
    </w:p>
    <w:p>
      <w:pPr>
        <w:spacing w:after="0" w:line="17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identifying suitable candidates for nomination as a director, the Governance and Nominating Committee will consider the needs of the Board and the range of skills and characteristics required for effective functioning of the Board. In evaluating such skills and characteristics, the Governance and Nominating Committee takes into consideration such factors as it deems appropriate, including those included in the Corporate Governance Principles, which were adopted, as amended, on November 2, 2006, and are available at www.alliedmotion.com.</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Meetings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Board of Directors held four meetings during 2007. Messrs. Hock, Hubbard, Pilmanis, Robert, Smith and Warzala attended all meetings. Mr. Heath, who was appointed as a Director in August 2007, attended one of two Board meetings since being appointed to the Board of Directors of the Company. Messrs. Hock, Hubbard, and Pilmanis attended 100% of the total number of meetings held by all committees of the Board of Directors on which they served. Mr. Heath, who was appointed as member of the Governance and Nominating Committee in August 2007, attended one of two meetings held since being appointed to that Committee. Our Corporate Governance Principles provide that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right="100"/>
        <w:spacing w:after="0" w:line="332" w:lineRule="auto"/>
        <w:rPr>
          <w:sz w:val="20"/>
          <w:szCs w:val="20"/>
          <w:color w:val="auto"/>
        </w:rPr>
      </w:pPr>
      <w:r>
        <w:rPr>
          <w:rFonts w:ascii="Arial" w:cs="Arial" w:eastAsia="Arial" w:hAnsi="Arial"/>
          <w:sz w:val="16"/>
          <w:szCs w:val="16"/>
          <w:color w:val="auto"/>
        </w:rPr>
        <w:t>directors are expected to regularly attend all meetings of the Board and the Board committees on which he serves. In addition, each director is expected to attend the Annual Meeting of Shareholders. In 2007, the Annual Meeting of Shareholders was attended by all of the directors at that time.</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 With the Board</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provide an informal process for shareholders to send communications to the Board of Directors. Shareholders who wish to contact the Board of Directors or any of its members may do so in writing to Allied Motion Technologies Inc., 23 Inverness Way East, Suite 150, Englewood, Colorado 80112. Correspondence directed to an individual board member will be referred to that member. Correspondence not directed to a particular board member will be referred to the Chairman of the Board.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9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Ehrhardt Keefe Steiner &amp; Hottman PC (EKS&amp;H) is responsible for performing an independent audit of the Company's annual financial statements in accordance with the standards of the Public Company Accounting Oversight Board (United States) and for issuing a report on those statements.</w:t>
      </w:r>
    </w:p>
    <w:p>
      <w:pPr>
        <w:spacing w:after="0" w:line="16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members of the Audit Committee, our work is guided by our Audit Committee Charter which is reviewed annually by the Board of Directors. We have completed all Charter tasks scheduled to be performed in 2007 prior to year-end and all Charter tasks scheduled to be performed in 2008 prior to the filing of this proxy statement. Our work included, among other procedures:</w:t>
      </w:r>
    </w:p>
    <w:p>
      <w:pPr>
        <w:spacing w:after="0" w:line="194" w:lineRule="exact"/>
        <w:rPr>
          <w:sz w:val="20"/>
          <w:szCs w:val="20"/>
          <w:color w:val="auto"/>
        </w:rPr>
      </w:pPr>
    </w:p>
    <w:p>
      <w:pPr>
        <w:ind w:left="700" w:hanging="341"/>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pre-approved audit and permitted non-audit services of the Company's independent auditors.</w:t>
      </w:r>
    </w:p>
    <w:p>
      <w:pPr>
        <w:spacing w:after="0" w:line="225" w:lineRule="exact"/>
        <w:rPr>
          <w:rFonts w:ascii="Arial" w:cs="Arial" w:eastAsia="Arial" w:hAnsi="Arial"/>
          <w:sz w:val="18"/>
          <w:szCs w:val="18"/>
          <w:color w:val="auto"/>
        </w:rPr>
      </w:pPr>
    </w:p>
    <w:p>
      <w:pPr>
        <w:ind w:right="80" w:firstLine="359"/>
        <w:spacing w:after="0" w:line="268" w:lineRule="auto"/>
        <w:tabs>
          <w:tab w:leader="none" w:pos="6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met with management and the independent auditors on a quarterly basis to discuss financial statements and related reports and to review significant accounting and reporting matters.</w:t>
      </w:r>
    </w:p>
    <w:p>
      <w:pPr>
        <w:spacing w:after="0" w:line="185" w:lineRule="exact"/>
        <w:rPr>
          <w:rFonts w:ascii="Arial" w:cs="Arial" w:eastAsia="Arial" w:hAnsi="Arial"/>
          <w:sz w:val="18"/>
          <w:szCs w:val="18"/>
          <w:color w:val="auto"/>
        </w:rPr>
      </w:pPr>
    </w:p>
    <w:p>
      <w:pPr>
        <w:jc w:val="both"/>
        <w:ind w:right="560" w:firstLine="359"/>
        <w:spacing w:after="0" w:line="306" w:lineRule="auto"/>
        <w:tabs>
          <w:tab w:leader="none" w:pos="6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discussed with the independent auditors their independence and the matters required to be discussed by Statement on Auditing Standards 61, "Communications with Audit Committees," as amended. We received the written disclosures from the independent auditors required by the Independence Standards Board Standard No. 1 "Independence Discussions with Audit Committees."</w:t>
      </w:r>
    </w:p>
    <w:p>
      <w:pPr>
        <w:spacing w:after="0" w:line="160" w:lineRule="exact"/>
        <w:rPr>
          <w:rFonts w:ascii="Arial" w:cs="Arial" w:eastAsia="Arial" w:hAnsi="Arial"/>
          <w:sz w:val="16"/>
          <w:szCs w:val="16"/>
          <w:color w:val="auto"/>
        </w:rPr>
      </w:pPr>
    </w:p>
    <w:p>
      <w:pPr>
        <w:ind w:right="500" w:firstLine="359"/>
        <w:spacing w:after="0" w:line="268" w:lineRule="auto"/>
        <w:tabs>
          <w:tab w:leader="none" w:pos="6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to their publication, we reviewed and discussed with management and the independent auditors the Company's December 31, 2007, audited financial statements, the related audit report, and the applicable management's discussion and analysis.</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Based on the work referred to above, we recommended to the Board of Directors that the Board approve the inclusion of the Company's audited financial statements in the Company's Annual Report on Form 10-K for the fiscal year ended December 31, 2007, for filing with the SEC.</w:t>
      </w:r>
    </w:p>
    <w:p>
      <w:pPr>
        <w:spacing w:after="0" w:line="13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Submitted by:</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Graydon D. Hubbard, Chairman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Delwin D. Hock</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George J. Pilmanis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following provides certain information regarding our executive officers. Each individual's name and position with the Company is indicated. In addition, the principal occupation and business experience for the past five years is provided for each officer. There are no family relationships between any of our directors or executive officers.</w:t>
      </w:r>
    </w:p>
    <w:p>
      <w:pPr>
        <w:spacing w:after="0" w:line="194" w:lineRule="exact"/>
        <w:rPr>
          <w:sz w:val="20"/>
          <w:szCs w:val="20"/>
          <w:color w:val="auto"/>
        </w:rPr>
      </w:pPr>
    </w:p>
    <w:p>
      <w:pPr>
        <w:ind w:right="560" w:firstLine="351"/>
        <w:spacing w:after="0" w:line="306" w:lineRule="auto"/>
        <w:rPr>
          <w:sz w:val="20"/>
          <w:szCs w:val="20"/>
          <w:color w:val="auto"/>
        </w:rPr>
      </w:pPr>
      <w:r>
        <w:rPr>
          <w:rFonts w:ascii="Arial" w:cs="Arial" w:eastAsia="Arial" w:hAnsi="Arial"/>
          <w:sz w:val="16"/>
          <w:szCs w:val="16"/>
          <w:b w:val="1"/>
          <w:bCs w:val="1"/>
          <w:i w:val="1"/>
          <w:iCs w:val="1"/>
          <w:color w:val="auto"/>
        </w:rPr>
        <w:t>Richard D. Smith</w:t>
      </w:r>
      <w:r>
        <w:rPr>
          <w:rFonts w:ascii="Arial" w:cs="Arial" w:eastAsia="Arial" w:hAnsi="Arial"/>
          <w:sz w:val="16"/>
          <w:szCs w:val="16"/>
          <w:color w:val="auto"/>
        </w:rPr>
        <w:t>, age 60—Mr. Smith has served as a director of the Company since August 1996. He has served as Chief Executive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13, 1998. He served as President from August 13, 1998 until May 1, 2002. He was Executive Vice President from August 1993 until August 1998. Mr. Smith served as Vice-President of Finance from June 1983 to August 1993. He has served as Chief Financial Officer since June 1983.</w:t>
      </w:r>
    </w:p>
    <w:p>
      <w:pPr>
        <w:spacing w:after="0" w:line="16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b w:val="1"/>
          <w:bCs w:val="1"/>
          <w:i w:val="1"/>
          <w:iCs w:val="1"/>
          <w:color w:val="auto"/>
        </w:rPr>
        <w:t>Richard S. Warzala</w:t>
      </w:r>
      <w:r>
        <w:rPr>
          <w:rFonts w:ascii="Arial" w:cs="Arial" w:eastAsia="Arial" w:hAnsi="Arial"/>
          <w:sz w:val="16"/>
          <w:szCs w:val="16"/>
          <w:color w:val="auto"/>
        </w:rPr>
        <w:t>, age 54—Mr. Warzala was appointed President and Chief Operating Officer of the Company in May 2002 and has been employed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since October 2001. From March 2000 through March 2001, Mr. Warzala served as President of the Motion Components Group for Danaher Corporation. In 1993, he was named President of API Motion, a subsidiary of American Precision Industries Inc., and continued as President until 2000, when it was acquired by Danaher. From 1976 to 1993, he held various management positions at American Precision Industries, Inc.</w:t>
      </w:r>
    </w:p>
    <w:p>
      <w:pPr>
        <w:spacing w:after="0" w:line="16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b w:val="1"/>
          <w:bCs w:val="1"/>
          <w:i w:val="1"/>
          <w:iCs w:val="1"/>
          <w:color w:val="auto"/>
        </w:rPr>
        <w:t>Kenneth R. Wyman</w:t>
      </w:r>
      <w:r>
        <w:rPr>
          <w:rFonts w:ascii="Arial" w:cs="Arial" w:eastAsia="Arial" w:hAnsi="Arial"/>
          <w:sz w:val="16"/>
          <w:szCs w:val="16"/>
          <w:color w:val="auto"/>
        </w:rPr>
        <w:t>, age 65—Mr. Wyman was named Vice President of Marketing of the Company in February 2003. He was designated as an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in February 2005. From 2000 to 2002, he was Vice President of Marketing for the Motion Components Group of Danaher Corporation. In 1995, Mr. Wyman joined API Motion as Director of Marketing, and later was named Vice President of Marketing.</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table presents information relating to total compensation of the Executive Officers of the Company (the "Named Officers") for the fiscal year ended December 31, 2007.</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Non-Equity</w:t>
            </w: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437"/>
              <w:spacing w:after="0" w:line="149" w:lineRule="exact"/>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2"/>
                <w:szCs w:val="12"/>
                <w:color w:val="auto"/>
              </w:rPr>
            </w:pPr>
          </w:p>
        </w:tc>
        <w:tc>
          <w:tcPr>
            <w:tcW w:w="162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60" w:type="dxa"/>
            <w:vAlign w:val="bottom"/>
          </w:tcPr>
          <w:p>
            <w:pPr>
              <w:spacing w:after="0"/>
              <w:rPr>
                <w:sz w:val="12"/>
                <w:szCs w:val="12"/>
                <w:color w:val="auto"/>
              </w:rPr>
            </w:pPr>
          </w:p>
        </w:tc>
        <w:tc>
          <w:tcPr>
            <w:tcW w:w="15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ind w:left="200"/>
              <w:spacing w:after="0"/>
              <w:rPr>
                <w:sz w:val="20"/>
                <w:szCs w:val="20"/>
                <w:color w:val="auto"/>
              </w:rPr>
            </w:pPr>
            <w:r>
              <w:rPr>
                <w:rFonts w:ascii="Arial" w:cs="Arial" w:eastAsia="Arial" w:hAnsi="Arial"/>
                <w:sz w:val="14"/>
                <w:szCs w:val="14"/>
                <w:b w:val="1"/>
                <w:bCs w:val="1"/>
                <w:color w:val="auto"/>
              </w:rPr>
              <w:t>Name and Principal Position</w:t>
            </w:r>
          </w:p>
        </w:tc>
        <w:tc>
          <w:tcPr>
            <w:tcW w:w="660" w:type="dxa"/>
            <w:vAlign w:val="bottom"/>
          </w:tcPr>
          <w:p>
            <w:pPr>
              <w:jc w:val="right"/>
              <w:ind w:right="135"/>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5"/>
                <w:szCs w:val="15"/>
                <w:color w:val="auto"/>
              </w:rPr>
            </w:pPr>
          </w:p>
        </w:tc>
        <w:tc>
          <w:tcPr>
            <w:tcW w:w="960" w:type="dxa"/>
            <w:vAlign w:val="bottom"/>
          </w:tcPr>
          <w:p>
            <w:pPr>
              <w:jc w:val="right"/>
              <w:ind w:right="355"/>
              <w:spacing w:after="0"/>
              <w:rPr>
                <w:sz w:val="20"/>
                <w:szCs w:val="20"/>
                <w:color w:val="auto"/>
              </w:rPr>
            </w:pPr>
            <w:r>
              <w:rPr>
                <w:rFonts w:ascii="Arial" w:cs="Arial" w:eastAsia="Arial" w:hAnsi="Arial"/>
                <w:sz w:val="14"/>
                <w:szCs w:val="14"/>
                <w:b w:val="1"/>
                <w:bCs w:val="1"/>
                <w:color w:val="auto"/>
              </w:rPr>
              <w:t>Salary</w:t>
            </w:r>
          </w:p>
        </w:tc>
        <w:tc>
          <w:tcPr>
            <w:tcW w:w="260" w:type="dxa"/>
            <w:vAlign w:val="bottom"/>
          </w:tcPr>
          <w:p>
            <w:pPr>
              <w:spacing w:after="0"/>
              <w:rPr>
                <w:sz w:val="15"/>
                <w:szCs w:val="15"/>
                <w:color w:val="auto"/>
              </w:rPr>
            </w:pPr>
          </w:p>
        </w:tc>
        <w:tc>
          <w:tcPr>
            <w:tcW w:w="1020" w:type="dxa"/>
            <w:vAlign w:val="bottom"/>
          </w:tcPr>
          <w:p>
            <w:pPr>
              <w:jc w:val="right"/>
              <w:ind w:right="295"/>
              <w:spacing w:after="0"/>
              <w:rPr>
                <w:sz w:val="20"/>
                <w:szCs w:val="20"/>
                <w:color w:val="auto"/>
              </w:rPr>
            </w:pPr>
            <w:r>
              <w:rPr>
                <w:rFonts w:ascii="Arial" w:cs="Arial" w:eastAsia="Arial" w:hAnsi="Arial"/>
                <w:sz w:val="14"/>
                <w:szCs w:val="14"/>
                <w:b w:val="1"/>
                <w:bCs w:val="1"/>
                <w:color w:val="auto"/>
              </w:rPr>
              <w:t>Bonus(1)</w:t>
            </w:r>
          </w:p>
        </w:tc>
        <w:tc>
          <w:tcPr>
            <w:tcW w:w="260" w:type="dxa"/>
            <w:vAlign w:val="bottom"/>
          </w:tcPr>
          <w:p>
            <w:pPr>
              <w:spacing w:after="0"/>
              <w:rPr>
                <w:sz w:val="15"/>
                <w:szCs w:val="15"/>
                <w:color w:val="auto"/>
              </w:rPr>
            </w:pPr>
          </w:p>
        </w:tc>
        <w:tc>
          <w:tcPr>
            <w:tcW w:w="1100" w:type="dxa"/>
            <w:vAlign w:val="bottom"/>
          </w:tcPr>
          <w:p>
            <w:pPr>
              <w:jc w:val="right"/>
              <w:ind w:right="297"/>
              <w:spacing w:after="0"/>
              <w:rPr>
                <w:sz w:val="20"/>
                <w:szCs w:val="20"/>
                <w:color w:val="auto"/>
              </w:rPr>
            </w:pPr>
            <w:r>
              <w:rPr>
                <w:rFonts w:ascii="Arial" w:cs="Arial" w:eastAsia="Arial" w:hAnsi="Arial"/>
                <w:sz w:val="14"/>
                <w:szCs w:val="14"/>
                <w:b w:val="1"/>
                <w:bCs w:val="1"/>
                <w:color w:val="auto"/>
              </w:rPr>
              <w:t>Awards(2)</w:t>
            </w:r>
          </w:p>
        </w:tc>
        <w:tc>
          <w:tcPr>
            <w:tcW w:w="300" w:type="dxa"/>
            <w:vAlign w:val="bottom"/>
          </w:tcPr>
          <w:p>
            <w:pPr>
              <w:spacing w:after="0"/>
              <w:rPr>
                <w:sz w:val="15"/>
                <w:szCs w:val="15"/>
                <w:color w:val="auto"/>
              </w:rPr>
            </w:pPr>
          </w:p>
        </w:tc>
        <w:tc>
          <w:tcPr>
            <w:tcW w:w="1620" w:type="dxa"/>
            <w:vAlign w:val="bottom"/>
          </w:tcPr>
          <w:p>
            <w:pPr>
              <w:jc w:val="center"/>
              <w:ind w:right="199"/>
              <w:spacing w:after="0"/>
              <w:rPr>
                <w:sz w:val="20"/>
                <w:szCs w:val="20"/>
                <w:color w:val="auto"/>
              </w:rPr>
            </w:pPr>
            <w:r>
              <w:rPr>
                <w:rFonts w:ascii="Arial" w:cs="Arial" w:eastAsia="Arial" w:hAnsi="Arial"/>
                <w:sz w:val="14"/>
                <w:szCs w:val="14"/>
                <w:b w:val="1"/>
                <w:bCs w:val="1"/>
                <w:color w:val="auto"/>
                <w:w w:val="85"/>
              </w:rPr>
              <w:t>Compensation(3)</w:t>
            </w:r>
          </w:p>
        </w:tc>
        <w:tc>
          <w:tcPr>
            <w:tcW w:w="260" w:type="dxa"/>
            <w:vAlign w:val="bottom"/>
          </w:tcPr>
          <w:p>
            <w:pPr>
              <w:spacing w:after="0"/>
              <w:rPr>
                <w:sz w:val="15"/>
                <w:szCs w:val="15"/>
                <w:color w:val="auto"/>
              </w:rPr>
            </w:pPr>
          </w:p>
        </w:tc>
        <w:tc>
          <w:tcPr>
            <w:tcW w:w="1520" w:type="dxa"/>
            <w:vAlign w:val="bottom"/>
          </w:tcPr>
          <w:p>
            <w:pPr>
              <w:ind w:left="120"/>
              <w:spacing w:after="0"/>
              <w:rPr>
                <w:sz w:val="20"/>
                <w:szCs w:val="20"/>
                <w:color w:val="auto"/>
              </w:rPr>
            </w:pPr>
            <w:r>
              <w:rPr>
                <w:rFonts w:ascii="Arial" w:cs="Arial" w:eastAsia="Arial" w:hAnsi="Arial"/>
                <w:sz w:val="14"/>
                <w:szCs w:val="14"/>
                <w:b w:val="1"/>
                <w:bCs w:val="1"/>
                <w:color w:val="auto"/>
              </w:rPr>
              <w:t>Compensation</w:t>
            </w:r>
          </w:p>
        </w:tc>
        <w:tc>
          <w:tcPr>
            <w:tcW w:w="28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58,730</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201,565</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3"/>
              </w:rPr>
              <w:t>42,501(4)</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8"/>
              </w:rPr>
              <w:t>Chief Executive Officer and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30,935</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172,117</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40,867</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Richard S. Warzala</w:t>
            </w:r>
          </w:p>
        </w:tc>
        <w:tc>
          <w:tcPr>
            <w:tcW w:w="660" w:type="dxa"/>
            <w:vAlign w:val="bottom"/>
          </w:tcPr>
          <w:p>
            <w:pPr>
              <w:jc w:val="right"/>
              <w:spacing w:after="0"/>
              <w:rPr>
                <w:sz w:val="20"/>
                <w:szCs w:val="20"/>
                <w:color w:val="auto"/>
              </w:rPr>
            </w:pPr>
            <w:r>
              <w:rPr>
                <w:rFonts w:ascii="Arial" w:cs="Arial" w:eastAsia="Arial" w:hAnsi="Arial"/>
                <w:sz w:val="18"/>
                <w:szCs w:val="18"/>
                <w:color w:val="auto"/>
              </w:rPr>
              <w:t>2007</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256,666</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58,730</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194,007</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Pr>
          <w:p>
            <w:pPr>
              <w:ind w:left="780"/>
              <w:spacing w:after="0"/>
              <w:rPr>
                <w:sz w:val="20"/>
                <w:szCs w:val="20"/>
                <w:color w:val="auto"/>
              </w:rPr>
            </w:pPr>
            <w:r>
              <w:rPr>
                <w:rFonts w:ascii="Arial" w:cs="Arial" w:eastAsia="Arial" w:hAnsi="Arial"/>
                <w:sz w:val="18"/>
                <w:szCs w:val="18"/>
                <w:color w:val="auto"/>
                <w:w w:val="93"/>
              </w:rPr>
              <w:t>43,505(5)</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552,908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President and Chief</w:t>
            </w:r>
          </w:p>
        </w:tc>
        <w:tc>
          <w:tcPr>
            <w:tcW w:w="660" w:type="dxa"/>
            <w:vAlign w:val="bottom"/>
          </w:tcPr>
          <w:p>
            <w:pPr>
              <w:jc w:val="right"/>
              <w:spacing w:after="0"/>
              <w:rPr>
                <w:sz w:val="20"/>
                <w:szCs w:val="20"/>
                <w:color w:val="auto"/>
              </w:rPr>
            </w:pPr>
            <w:r>
              <w:rPr>
                <w:rFonts w:ascii="Arial" w:cs="Arial" w:eastAsia="Arial" w:hAnsi="Arial"/>
                <w:sz w:val="18"/>
                <w:szCs w:val="18"/>
                <w:color w:val="auto"/>
              </w:rPr>
              <w:t>2006</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240,000</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12,000</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30,935</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165,233</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tcPr>
          <w:p>
            <w:pPr>
              <w:ind w:left="780"/>
              <w:spacing w:after="0"/>
              <w:rPr>
                <w:sz w:val="20"/>
                <w:szCs w:val="20"/>
                <w:color w:val="auto"/>
              </w:rPr>
            </w:pPr>
            <w:r>
              <w:rPr>
                <w:rFonts w:ascii="Arial" w:cs="Arial" w:eastAsia="Arial" w:hAnsi="Arial"/>
                <w:sz w:val="18"/>
                <w:szCs w:val="18"/>
                <w:color w:val="auto"/>
              </w:rPr>
              <w:t>33,156</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481,324</w:t>
            </w:r>
          </w:p>
        </w:tc>
        <w:tc>
          <w:tcPr>
            <w:tcW w:w="0" w:type="dxa"/>
            <w:vAlign w:val="bottom"/>
          </w:tcPr>
          <w:p>
            <w:pPr>
              <w:spacing w:after="0"/>
              <w:rPr>
                <w:sz w:val="1"/>
                <w:szCs w:val="1"/>
                <w:color w:val="auto"/>
              </w:rPr>
            </w:pPr>
          </w:p>
        </w:tc>
      </w:tr>
      <w:tr>
        <w:trPr>
          <w:trHeight w:val="222"/>
        </w:trPr>
        <w:tc>
          <w:tcPr>
            <w:tcW w:w="2180" w:type="dxa"/>
            <w:vAlign w:val="bottom"/>
            <w:gridSpan w:val="2"/>
          </w:tcPr>
          <w:p>
            <w:pPr>
              <w:spacing w:after="0"/>
              <w:rPr>
                <w:sz w:val="20"/>
                <w:szCs w:val="20"/>
                <w:color w:val="auto"/>
              </w:rPr>
            </w:pPr>
            <w:r>
              <w:rPr>
                <w:rFonts w:ascii="Arial" w:cs="Arial" w:eastAsia="Arial" w:hAnsi="Arial"/>
                <w:sz w:val="18"/>
                <w:szCs w:val="18"/>
                <w:color w:val="auto"/>
              </w:rPr>
              <w:t>Operating Officer</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137,083</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51,809</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3"/>
              </w:rPr>
              <w:t>11,883(6)</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7"/>
              </w:rPr>
              <w:t>Vice President of Marketing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134,167</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46,185</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10,710</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-1178560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-1178560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1"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discretionary cash contributions to the Named Officer's participant account under the Deferred Compensation Plan.</w:t>
      </w:r>
    </w:p>
    <w:p>
      <w:pPr>
        <w:spacing w:after="0" w:line="252" w:lineRule="exact"/>
        <w:rPr>
          <w:rFonts w:ascii="Arial" w:cs="Arial" w:eastAsia="Arial" w:hAnsi="Arial"/>
          <w:sz w:val="18"/>
          <w:szCs w:val="18"/>
          <w:color w:val="auto"/>
        </w:rPr>
      </w:pPr>
    </w:p>
    <w:p>
      <w:pPr>
        <w:ind w:left="540" w:right="160" w:hanging="532"/>
        <w:spacing w:after="0" w:line="256"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proportionate amount of the total grant date fair value of stock awards recognized by the Company as an expense in 2007 for financial accounting purposes, disregarding for this purpose the estimate of forfeitures related to service-based vesting conditions. The fair values of these awards and the amounts expensed in 2007 were based on the average closing bid and ask price of the Company's common stock as reported on the Nasdaq Capital Market on the date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left="540" w:right="260"/>
        <w:spacing w:after="0" w:line="268" w:lineRule="auto"/>
        <w:rPr>
          <w:sz w:val="20"/>
          <w:szCs w:val="20"/>
          <w:color w:val="auto"/>
        </w:rPr>
      </w:pPr>
      <w:r>
        <w:rPr>
          <w:rFonts w:ascii="Arial" w:cs="Arial" w:eastAsia="Arial" w:hAnsi="Arial"/>
          <w:sz w:val="18"/>
          <w:szCs w:val="18"/>
          <w:color w:val="auto"/>
        </w:rPr>
        <w:t>grant amortized over the vesting period. The awards for which expense is shown in this table include grants made in 2007, as well as awards granted in prior years for which the Company continued to recognize expense in 2007.</w:t>
      </w:r>
    </w:p>
    <w:p>
      <w:pPr>
        <w:spacing w:after="0" w:line="199" w:lineRule="exact"/>
        <w:rPr>
          <w:sz w:val="20"/>
          <w:szCs w:val="20"/>
          <w:color w:val="auto"/>
        </w:rPr>
      </w:pPr>
    </w:p>
    <w:p>
      <w:pPr>
        <w:ind w:left="540" w:hanging="532"/>
        <w:spacing w:after="0" w:line="26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amounts paid pursuant to the Annual Incentive Bonus Plan, which is generally available to all employees of the Company and is payable based upon the achievement of Company performance goals established by the Board of Directors.</w:t>
      </w:r>
    </w:p>
    <w:p>
      <w:pPr>
        <w:spacing w:after="0" w:line="212" w:lineRule="exact"/>
        <w:rPr>
          <w:rFonts w:ascii="Arial" w:cs="Arial" w:eastAsia="Arial" w:hAnsi="Arial"/>
          <w:sz w:val="18"/>
          <w:szCs w:val="18"/>
          <w:color w:val="auto"/>
        </w:rPr>
      </w:pPr>
    </w:p>
    <w:p>
      <w:pPr>
        <w:ind w:left="540" w:right="160" w:hanging="532"/>
        <w:spacing w:after="0" w:line="25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Compensation for Mr. Smith for 2007 includes (a) fair value of personal use of Company provided automobile of $13,370, as determined with reference to IRS regulations, (b) the Company's contribution of $8,286 to tax-qualified defined contribution plans, and (c) the Company paid life insurance premiums of $20,845.</w:t>
      </w:r>
    </w:p>
    <w:p>
      <w:pPr>
        <w:spacing w:after="0" w:line="207" w:lineRule="exact"/>
        <w:rPr>
          <w:rFonts w:ascii="Arial" w:cs="Arial" w:eastAsia="Arial" w:hAnsi="Arial"/>
          <w:sz w:val="18"/>
          <w:szCs w:val="18"/>
          <w:color w:val="auto"/>
        </w:rPr>
      </w:pPr>
    </w:p>
    <w:p>
      <w:pPr>
        <w:ind w:left="540" w:right="140" w:hanging="532"/>
        <w:spacing w:after="0" w:line="25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Compensation for Mr. Warzala for 2007includes (a) fair value of personal use of Company provided automobile of $8,686, as determined with reference to IRS regulations, (b) the Company's contribution of $8,144 to tax-qualified defined contribution plans, (c) the Company paid life insurance premiums of $22,075, and (d) financial planning services of $4,600.</w:t>
      </w:r>
    </w:p>
    <w:p>
      <w:pPr>
        <w:spacing w:after="0" w:line="207" w:lineRule="exact"/>
        <w:rPr>
          <w:rFonts w:ascii="Arial" w:cs="Arial" w:eastAsia="Arial" w:hAnsi="Arial"/>
          <w:sz w:val="18"/>
          <w:szCs w:val="18"/>
          <w:color w:val="auto"/>
        </w:rPr>
      </w:pPr>
    </w:p>
    <w:p>
      <w:pPr>
        <w:ind w:left="540" w:right="280" w:hanging="532"/>
        <w:spacing w:after="0" w:line="25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Compensation for Mr. Wyman for 2007 includes (a) auto allowance paid of $6,000, (b) fair value of personal use portion of reimbursed automobile operating expenses of $272, as determined with reference to IRS regulations, and (c) the Company's contribution of $5,611 to tax-qualified defined contribution plans.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Certain Named Executive Officers</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Company has employment agreements with Richard D. Smith, Chief Executive Officer and Chief Financial Officer, and Richard S. Warzala, President and Chief Operating Officer. The Agreements have an initial term of five years, through 2008, and continue subsequently on a year-to-year basis unless the Company or the officer gives termination notice at least 60 days prior to expiration of the initial or subsequent terms. The Agreements contain the provisions outlined below.</w:t>
      </w:r>
    </w:p>
    <w:p>
      <w:pPr>
        <w:spacing w:after="0" w:line="197"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The Agreements provide an annual base salary of not less than $240,000 for Mr. Smith and $230,000 for Mr. Warzala, and may be reviewed</w:t>
      </w:r>
      <w:r>
        <w:rPr>
          <w:rFonts w:ascii="Arial" w:cs="Arial" w:eastAsia="Arial" w:hAnsi="Arial"/>
          <w:sz w:val="15"/>
          <w:szCs w:val="15"/>
          <w:i w:val="1"/>
          <w:iCs w:val="1"/>
          <w:color w:val="auto"/>
        </w:rPr>
        <w:t xml:space="preserve"> </w:t>
      </w:r>
      <w:r>
        <w:rPr>
          <w:rFonts w:ascii="Arial" w:cs="Arial" w:eastAsia="Arial" w:hAnsi="Arial"/>
          <w:sz w:val="15"/>
          <w:szCs w:val="15"/>
          <w:color w:val="auto"/>
        </w:rPr>
        <w:t>annually for increase on a merit basis. Mr. Smith's salary was increased to $285,000 and Mr. Warzala's salary was increased to $275,000 effective March 1, 2008.</w:t>
      </w:r>
    </w:p>
    <w:p>
      <w:pPr>
        <w:spacing w:after="0" w:line="11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i w:val="1"/>
          <w:iCs w:val="1"/>
          <w:color w:val="auto"/>
        </w:rPr>
        <w:t xml:space="preserve">Annual Incentive Bonus. </w:t>
      </w:r>
      <w:r>
        <w:rPr>
          <w:rFonts w:ascii="Arial" w:cs="Arial" w:eastAsia="Arial" w:hAnsi="Arial"/>
          <w:sz w:val="16"/>
          <w:szCs w:val="16"/>
          <w:color w:val="auto"/>
        </w:rPr>
        <w:t>Annual incentive bonuses are paid based on achieving performance criteria recommended annually by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approved by the Board of Directors. The performance criteria will recognize the overall financial performance of the Company and the improvements made in financial results. The amount of incentive that an executive officer may receive is based upon the following two components: an individual target bonus (which is a percentage of the individual's salary), and the Company's performance based on Economic Value Added (EVA). EVA is defined as net operating profit after taxes less a cost of capital charge. For 2007, the individual target bonus was set at 60% for both Messrs. Smith and Warzala. The Company's EVA performance goals are set annually. If the target EVA is achieved, then the target bonus is paid. If the actual EVA achieved falls between the threshold and the target EVA, the bonus awarded is equal to the target bonus multiplied times the prorata percent of the EVA target achieved (0% to 100% of the target bonus amount). If the actual EVA achieved is greater than the target EVA, then the bonus awarded will be greater than 100% of the target bonus amount with the bonus being a certain prorata percent of the incremental EVA achieved above the target EVA. There is no cap on the amount of EVA that can be earned.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jc w:val="both"/>
        <w:ind w:right="500" w:firstLine="351"/>
        <w:spacing w:after="0" w:line="259" w:lineRule="auto"/>
        <w:rPr>
          <w:sz w:val="20"/>
          <w:szCs w:val="20"/>
          <w:color w:val="auto"/>
        </w:rPr>
      </w:pPr>
      <w:r>
        <w:rPr>
          <w:rFonts w:ascii="Arial" w:cs="Arial" w:eastAsia="Arial" w:hAnsi="Arial"/>
          <w:sz w:val="18"/>
          <w:szCs w:val="18"/>
          <w:color w:val="auto"/>
        </w:rPr>
        <w:t>For 2007, the Company exceeded performance targets specified at the beginning of 2007 for EVA. Applying the pre-established bonus formula to the financial performance resulted in bonuses for executive officers of 126% of target bonus levels, as set forth in the Summary Compensation Table under the heading "Non-Equity Incentive Plan Compensation."</w:t>
      </w:r>
    </w:p>
    <w:p>
      <w:pPr>
        <w:spacing w:after="0" w:line="19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Long-Term Incentive Compensation. </w:t>
      </w:r>
      <w:r>
        <w:rPr>
          <w:rFonts w:ascii="Arial" w:cs="Arial" w:eastAsia="Arial" w:hAnsi="Arial"/>
          <w:sz w:val="16"/>
          <w:szCs w:val="16"/>
          <w:color w:val="auto"/>
        </w:rPr>
        <w:t>The Company utilizes stock based awards for long-term incentives. The Board approved grants of 15,000 shares for</w:t>
      </w:r>
      <w:r>
        <w:rPr>
          <w:rFonts w:ascii="Arial" w:cs="Arial" w:eastAsia="Arial" w:hAnsi="Arial"/>
          <w:sz w:val="16"/>
          <w:szCs w:val="16"/>
          <w:i w:val="1"/>
          <w:iCs w:val="1"/>
          <w:color w:val="auto"/>
        </w:rPr>
        <w:t xml:space="preserve"> </w:t>
      </w:r>
      <w:r>
        <w:rPr>
          <w:rFonts w:ascii="Arial" w:cs="Arial" w:eastAsia="Arial" w:hAnsi="Arial"/>
          <w:sz w:val="16"/>
          <w:szCs w:val="16"/>
          <w:color w:val="auto"/>
        </w:rPr>
        <w:t>both Messrs. Smith and Warzala on February 18, 2008, with 5,000 shares vesting March 31, 2009, 2010 and 2011, respectively.</w:t>
      </w:r>
    </w:p>
    <w:p>
      <w:pPr>
        <w:spacing w:after="0" w:line="139"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Messrs. Smith and Warzala participate in other benefits and perquisites as are generally provided by the Company to its employees.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Company provides each executive officer with an automobile, personal financial planning and with life insurance for which the executive may designate the beneficiaries.</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the event of termination prior to a change in control, the Agreements provide for continuation of salary, insurance benefits and other bonus prorations or settlements as outlined below.</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Payments upon retirement would be made pursuant to a retirement arrangement established with the Named Officer's consent,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the settlement of the Annual Incentive Bonus for the current year.</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Termination for cause payments include salary continuation through the date of termination and benefit continuation until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termination month.</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Upon death, salary continues to the end of the month containing the date of death and for three months following. Any proration of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Bonus is at the Board of Directors' discretion.</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In the case of disability, salary is continued until the end of the term of the employment agreement, as adjusted for any compensation payable</w:t>
      </w:r>
      <w:r>
        <w:rPr>
          <w:rFonts w:ascii="Arial" w:cs="Arial" w:eastAsia="Arial" w:hAnsi="Arial"/>
          <w:sz w:val="16"/>
          <w:szCs w:val="16"/>
          <w:i w:val="1"/>
          <w:iCs w:val="1"/>
          <w:color w:val="auto"/>
        </w:rPr>
        <w:t xml:space="preserve"> </w:t>
      </w:r>
      <w:r>
        <w:rPr>
          <w:rFonts w:ascii="Arial" w:cs="Arial" w:eastAsia="Arial" w:hAnsi="Arial"/>
          <w:sz w:val="16"/>
          <w:szCs w:val="16"/>
          <w:color w:val="auto"/>
        </w:rPr>
        <w:t>under any Company paid disability plan, or until long term disability insurance becomes effective. Benefit are continued as generally provided by the Company to its employees in accordance with the Company's disability plan. Any proration of the Annual Incentive Bonus is at the Board of Directors' discretion.</w:t>
      </w:r>
    </w:p>
    <w:p>
      <w:pPr>
        <w:spacing w:after="0" w:line="16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i w:val="1"/>
          <w:iCs w:val="1"/>
          <w:color w:val="auto"/>
        </w:rPr>
        <w:t xml:space="preserve">Involuntary Termination for other than Cause, Retirement, Death or Disability. </w:t>
      </w:r>
      <w:r>
        <w:rPr>
          <w:rFonts w:ascii="Arial" w:cs="Arial" w:eastAsia="Arial" w:hAnsi="Arial"/>
          <w:sz w:val="16"/>
          <w:szCs w:val="16"/>
          <w:color w:val="auto"/>
        </w:rPr>
        <w:t>Involuntary termination payments include salary continuation through the</w:t>
      </w:r>
      <w:r>
        <w:rPr>
          <w:rFonts w:ascii="Arial" w:cs="Arial" w:eastAsia="Arial" w:hAnsi="Arial"/>
          <w:sz w:val="16"/>
          <w:szCs w:val="16"/>
          <w:i w:val="1"/>
          <w:iCs w:val="1"/>
          <w:color w:val="auto"/>
        </w:rPr>
        <w:t xml:space="preserve"> </w:t>
      </w:r>
      <w:r>
        <w:rPr>
          <w:rFonts w:ascii="Arial" w:cs="Arial" w:eastAsia="Arial" w:hAnsi="Arial"/>
          <w:sz w:val="16"/>
          <w:szCs w:val="16"/>
          <w:color w:val="auto"/>
        </w:rPr>
        <w:t>end of the termination month and for twelve months following termination along with payment equal to 20% of the monthly base salary paid in order for the executive to directly acquire benefits. An amount equal to 90% of the base salary at time of termination is to be paid in lieu of the annual bonus.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Company has entered into separate agreements with Messrs. Smith, Warzala and Wyman, for termination resulting within 90 days prior to or 24 months following a change in control of the Company. The agreements are extended automatically on January 1 of each year for a term of two years, unless notice of non-renewal is given by the Company not later than the September 30 immediately preceding such January (meaning that notice must be given at least 15 months prior to termination). Under the terms of the agreements, upon termination by the Company (other than for cause as defined in the agreement) or by the executive for good reason (as defined in the agreement), they are entitled to receive a severance payment equal to 2.5 times (one times for Mr. Wyman) the sum of current annual base salary plus the highest amount paid or payable under the Annual Incentive Bonus Plan for any of the three preceding fiscal years, an allocation for incentive compensation for the current year up to the date of termination and a monthly payment for a two year period equal to 25% of the base salary for the individual to acquire insurance benefits. Any payments due under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ind w:right="100"/>
        <w:spacing w:after="0" w:line="290" w:lineRule="auto"/>
        <w:rPr>
          <w:sz w:val="20"/>
          <w:szCs w:val="20"/>
          <w:color w:val="auto"/>
        </w:rPr>
      </w:pPr>
      <w:r>
        <w:rPr>
          <w:rFonts w:ascii="Arial" w:cs="Arial" w:eastAsia="Arial" w:hAnsi="Arial"/>
          <w:sz w:val="16"/>
          <w:szCs w:val="16"/>
          <w:color w:val="auto"/>
        </w:rPr>
        <w:t>Long-Term Incentive Payment Plan shall be paid in accordance with the plan provisions. The Company has similar agreements (providing one time severance payments) with certain other key executives. The change in control agreements are applicable to a change in control of the Company or of the subsidiary or division for which the executive is employed and require the key executives to remain in the employ of the Company for a specified period in the event of a potential change in control of the Company and provide employment security to them in the face of pressures to sell the Company or in the event of take-over threats, so that they can devote full time and attention to the Company's efforts free of concern about discharge in the event of a change in control of the Company. The Board of Directors has considered termination of these agreements and determined that the reasons for executing the agreements are valid and concluded that notices of non-renewal would not be in the best interests of the shareholders.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2007 Fiscal Year End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all outstanding equity awards held by the Named Executive Officers as of December 31, 2007.</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w w:val="88"/>
              </w:rPr>
              <w:t>Option Awards</w:t>
            </w:r>
          </w:p>
        </w:tc>
        <w:tc>
          <w:tcPr>
            <w:tcW w:w="1360" w:type="dxa"/>
            <w:vAlign w:val="bottom"/>
          </w:tcPr>
          <w:p>
            <w:pPr>
              <w:spacing w:after="0"/>
              <w:rPr>
                <w:sz w:val="15"/>
                <w:szCs w:val="15"/>
                <w:color w:val="auto"/>
              </w:rPr>
            </w:pPr>
          </w:p>
        </w:tc>
        <w:tc>
          <w:tcPr>
            <w:tcW w:w="2900" w:type="dxa"/>
            <w:vAlign w:val="bottom"/>
            <w:gridSpan w:val="3"/>
          </w:tcPr>
          <w:p>
            <w:pPr>
              <w:jc w:val="right"/>
              <w:ind w:right="924"/>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360" w:type="dxa"/>
            <w:vAlign w:val="bottom"/>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Market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80" w:type="dxa"/>
            <w:vAlign w:val="bottom"/>
          </w:tcPr>
          <w:p>
            <w:pPr>
              <w:spacing w:after="0"/>
              <w:rPr>
                <w:sz w:val="12"/>
                <w:szCs w:val="12"/>
                <w:color w:val="auto"/>
              </w:rPr>
            </w:pPr>
          </w:p>
        </w:tc>
        <w:tc>
          <w:tcPr>
            <w:tcW w:w="11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88"/>
              </w:rPr>
              <w:t>Option</w:t>
            </w:r>
          </w:p>
        </w:tc>
        <w:tc>
          <w:tcPr>
            <w:tcW w:w="13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200" w:type="dxa"/>
            <w:vAlign w:val="bottom"/>
          </w:tcPr>
          <w:p>
            <w:pPr>
              <w:spacing w:after="0"/>
              <w:rPr>
                <w:sz w:val="12"/>
                <w:szCs w:val="12"/>
                <w:color w:val="auto"/>
              </w:rPr>
            </w:pPr>
          </w:p>
        </w:tc>
        <w:tc>
          <w:tcPr>
            <w:tcW w:w="12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6"/>
              </w:rPr>
              <w:t>Shares or 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80" w:type="dxa"/>
            <w:vAlign w:val="bottom"/>
          </w:tcPr>
          <w:p>
            <w:pPr>
              <w:spacing w:after="0"/>
              <w:rPr>
                <w:sz w:val="12"/>
                <w:szCs w:val="12"/>
                <w:color w:val="auto"/>
              </w:rPr>
            </w:pPr>
          </w:p>
        </w:tc>
        <w:tc>
          <w:tcPr>
            <w:tcW w:w="11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83"/>
              </w:rPr>
              <w:t>Exercise</w:t>
            </w:r>
          </w:p>
        </w:tc>
        <w:tc>
          <w:tcPr>
            <w:tcW w:w="13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 Units of Stock</w:t>
            </w:r>
          </w:p>
        </w:tc>
        <w:tc>
          <w:tcPr>
            <w:tcW w:w="140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9"/>
              </w:rPr>
              <w:t>Stock 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2"/>
                <w:szCs w:val="12"/>
                <w:color w:val="auto"/>
              </w:rPr>
            </w:pPr>
          </w:p>
        </w:tc>
        <w:tc>
          <w:tcPr>
            <w:tcW w:w="116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87"/>
              </w:rPr>
              <w:t>Price</w:t>
            </w:r>
          </w:p>
        </w:tc>
        <w:tc>
          <w:tcPr>
            <w:tcW w:w="1360" w:type="dxa"/>
            <w:vAlign w:val="bottom"/>
          </w:tcPr>
          <w:p>
            <w:pPr>
              <w:jc w:val="right"/>
              <w:ind w:right="436"/>
              <w:spacing w:after="0" w:line="149" w:lineRule="exact"/>
              <w:rPr>
                <w:sz w:val="20"/>
                <w:szCs w:val="20"/>
                <w:color w:val="auto"/>
              </w:rPr>
            </w:pPr>
            <w:r>
              <w:rPr>
                <w:rFonts w:ascii="Arial" w:cs="Arial" w:eastAsia="Arial" w:hAnsi="Arial"/>
                <w:sz w:val="14"/>
                <w:szCs w:val="14"/>
                <w:b w:val="1"/>
                <w:bCs w:val="1"/>
                <w:color w:val="auto"/>
              </w:rPr>
              <w:t>Option</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That Have Not Vested</w:t>
            </w:r>
          </w:p>
        </w:tc>
        <w:tc>
          <w:tcPr>
            <w:tcW w:w="200" w:type="dxa"/>
            <w:vAlign w:val="bottom"/>
          </w:tcPr>
          <w:p>
            <w:pPr>
              <w:spacing w:after="0"/>
              <w:rPr>
                <w:sz w:val="12"/>
                <w:szCs w:val="12"/>
                <w:color w:val="auto"/>
              </w:rPr>
            </w:pPr>
          </w:p>
        </w:tc>
        <w:tc>
          <w:tcPr>
            <w:tcW w:w="12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Pr>
          <w:p>
            <w:pPr>
              <w:ind w:left="980"/>
              <w:spacing w:after="0"/>
              <w:rPr>
                <w:sz w:val="20"/>
                <w:szCs w:val="20"/>
                <w:color w:val="auto"/>
              </w:rPr>
            </w:pPr>
            <w:r>
              <w:rPr>
                <w:rFonts w:ascii="Arial" w:cs="Arial" w:eastAsia="Arial" w:hAnsi="Arial"/>
                <w:sz w:val="14"/>
                <w:szCs w:val="14"/>
                <w:b w:val="1"/>
                <w:bCs w:val="1"/>
                <w:color w:val="auto"/>
              </w:rPr>
              <w:t>Name</w:t>
            </w:r>
          </w:p>
        </w:tc>
        <w:tc>
          <w:tcPr>
            <w:tcW w:w="1360" w:type="dxa"/>
            <w:vAlign w:val="bottom"/>
          </w:tcPr>
          <w:p>
            <w:pPr>
              <w:jc w:val="center"/>
              <w:ind w:right="20"/>
              <w:spacing w:after="0"/>
              <w:rPr>
                <w:sz w:val="20"/>
                <w:szCs w:val="20"/>
                <w:color w:val="auto"/>
              </w:rPr>
            </w:pPr>
            <w:r>
              <w:rPr>
                <w:rFonts w:ascii="Arial" w:cs="Arial" w:eastAsia="Arial" w:hAnsi="Arial"/>
                <w:sz w:val="14"/>
                <w:szCs w:val="14"/>
                <w:b w:val="1"/>
                <w:bCs w:val="1"/>
                <w:color w:val="auto"/>
                <w:w w:val="87"/>
              </w:rPr>
              <w:t>(#)(1)</w:t>
            </w:r>
          </w:p>
        </w:tc>
        <w:tc>
          <w:tcPr>
            <w:tcW w:w="180" w:type="dxa"/>
            <w:vAlign w:val="bottom"/>
          </w:tcPr>
          <w:p>
            <w:pPr>
              <w:spacing w:after="0"/>
              <w:rPr>
                <w:sz w:val="15"/>
                <w:szCs w:val="15"/>
                <w:color w:val="auto"/>
              </w:rPr>
            </w:pPr>
          </w:p>
        </w:tc>
        <w:tc>
          <w:tcPr>
            <w:tcW w:w="1160" w:type="dxa"/>
            <w:vAlign w:val="bottom"/>
          </w:tcPr>
          <w:p>
            <w:pPr>
              <w:jc w:val="center"/>
              <w:ind w:right="199"/>
              <w:spacing w:after="0"/>
              <w:rPr>
                <w:sz w:val="20"/>
                <w:szCs w:val="20"/>
                <w:color w:val="auto"/>
              </w:rPr>
            </w:pPr>
            <w:r>
              <w:rPr>
                <w:rFonts w:ascii="Arial" w:cs="Arial" w:eastAsia="Arial" w:hAnsi="Arial"/>
                <w:sz w:val="14"/>
                <w:szCs w:val="14"/>
                <w:b w:val="1"/>
                <w:bCs w:val="1"/>
                <w:color w:val="auto"/>
                <w:w w:val="93"/>
              </w:rPr>
              <w:t>($)</w:t>
            </w:r>
          </w:p>
        </w:tc>
        <w:tc>
          <w:tcPr>
            <w:tcW w:w="1360" w:type="dxa"/>
            <w:vAlign w:val="bottom"/>
          </w:tcPr>
          <w:p>
            <w:pPr>
              <w:jc w:val="right"/>
              <w:ind w:right="176"/>
              <w:spacing w:after="0"/>
              <w:rPr>
                <w:sz w:val="20"/>
                <w:szCs w:val="20"/>
                <w:color w:val="auto"/>
              </w:rPr>
            </w:pPr>
            <w:r>
              <w:rPr>
                <w:rFonts w:ascii="Arial" w:cs="Arial" w:eastAsia="Arial" w:hAnsi="Arial"/>
                <w:sz w:val="14"/>
                <w:szCs w:val="14"/>
                <w:b w:val="1"/>
                <w:bCs w:val="1"/>
                <w:color w:val="auto"/>
              </w:rPr>
              <w:t>Expiration Date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120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gridSpan w:val="2"/>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31,250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3.2000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8/16/2008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69,300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4.8300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10/26/2010</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58,750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3.2000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8/16/2011</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4.2700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4/21/2011</w:t>
            </w: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Richard S. Warzala</w:t>
            </w:r>
          </w:p>
        </w:tc>
        <w:tc>
          <w:tcPr>
            <w:tcW w:w="1360" w:type="dxa"/>
            <w:vAlign w:val="bottom"/>
          </w:tcPr>
          <w:p>
            <w:pPr>
              <w:jc w:val="right"/>
              <w:ind w:right="20"/>
              <w:spacing w:after="0"/>
              <w:rPr>
                <w:sz w:val="20"/>
                <w:szCs w:val="20"/>
                <w:color w:val="auto"/>
              </w:rPr>
            </w:pPr>
            <w:r>
              <w:rPr>
                <w:rFonts w:ascii="Arial" w:cs="Arial" w:eastAsia="Arial" w:hAnsi="Arial"/>
                <w:sz w:val="18"/>
                <w:szCs w:val="18"/>
                <w:color w:val="auto"/>
              </w:rPr>
              <w:t>200,000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9"/>
              <w:spacing w:after="0"/>
              <w:rPr>
                <w:sz w:val="20"/>
                <w:szCs w:val="20"/>
                <w:color w:val="auto"/>
              </w:rPr>
            </w:pPr>
            <w:r>
              <w:rPr>
                <w:rFonts w:ascii="Arial" w:cs="Arial" w:eastAsia="Arial" w:hAnsi="Arial"/>
                <w:sz w:val="18"/>
                <w:szCs w:val="18"/>
                <w:color w:val="auto"/>
              </w:rPr>
              <w:t>2.4000</w:t>
            </w:r>
          </w:p>
        </w:tc>
        <w:tc>
          <w:tcPr>
            <w:tcW w:w="1360" w:type="dxa"/>
            <w:vAlign w:val="bottom"/>
          </w:tcPr>
          <w:p>
            <w:pPr>
              <w:jc w:val="right"/>
              <w:spacing w:after="0"/>
              <w:rPr>
                <w:sz w:val="20"/>
                <w:szCs w:val="20"/>
                <w:color w:val="auto"/>
              </w:rPr>
            </w:pPr>
            <w:r>
              <w:rPr>
                <w:rFonts w:ascii="Arial" w:cs="Arial" w:eastAsia="Arial" w:hAnsi="Arial"/>
                <w:sz w:val="18"/>
                <w:szCs w:val="18"/>
                <w:color w:val="auto"/>
              </w:rPr>
              <w:t>7/1/2009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28,000(3)$</w:t>
            </w:r>
          </w:p>
        </w:tc>
        <w:tc>
          <w:tcPr>
            <w:tcW w:w="1200" w:type="dxa"/>
            <w:vAlign w:val="bottom"/>
          </w:tcPr>
          <w:p>
            <w:pPr>
              <w:jc w:val="right"/>
              <w:spacing w:after="0"/>
              <w:rPr>
                <w:sz w:val="20"/>
                <w:szCs w:val="20"/>
                <w:color w:val="auto"/>
              </w:rPr>
            </w:pPr>
            <w:r>
              <w:rPr>
                <w:rFonts w:ascii="Arial" w:cs="Arial" w:eastAsia="Arial" w:hAnsi="Arial"/>
                <w:sz w:val="18"/>
                <w:szCs w:val="18"/>
                <w:color w:val="auto"/>
              </w:rPr>
              <w:t>130,200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jc w:val="right"/>
              <w:ind w:right="20"/>
              <w:spacing w:after="0"/>
              <w:rPr>
                <w:sz w:val="20"/>
                <w:szCs w:val="20"/>
                <w:color w:val="auto"/>
              </w:rPr>
            </w:pPr>
            <w:r>
              <w:rPr>
                <w:rFonts w:ascii="Arial" w:cs="Arial" w:eastAsia="Arial" w:hAnsi="Arial"/>
                <w:sz w:val="18"/>
                <w:szCs w:val="18"/>
                <w:color w:val="auto"/>
              </w:rPr>
              <w:t>40,000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9"/>
              <w:spacing w:after="0"/>
              <w:rPr>
                <w:sz w:val="20"/>
                <w:szCs w:val="20"/>
                <w:color w:val="auto"/>
              </w:rPr>
            </w:pPr>
            <w:r>
              <w:rPr>
                <w:rFonts w:ascii="Arial" w:cs="Arial" w:eastAsia="Arial" w:hAnsi="Arial"/>
                <w:sz w:val="18"/>
                <w:szCs w:val="18"/>
                <w:color w:val="auto"/>
              </w:rPr>
              <w:t>1.7700</w:t>
            </w:r>
          </w:p>
        </w:tc>
        <w:tc>
          <w:tcPr>
            <w:tcW w:w="1360" w:type="dxa"/>
            <w:vAlign w:val="bottom"/>
          </w:tcPr>
          <w:p>
            <w:pPr>
              <w:jc w:val="right"/>
              <w:spacing w:after="0"/>
              <w:rPr>
                <w:sz w:val="20"/>
                <w:szCs w:val="20"/>
                <w:color w:val="auto"/>
              </w:rPr>
            </w:pPr>
            <w:r>
              <w:rPr>
                <w:rFonts w:ascii="Arial" w:cs="Arial" w:eastAsia="Arial" w:hAnsi="Arial"/>
                <w:sz w:val="18"/>
                <w:szCs w:val="18"/>
                <w:color w:val="auto"/>
              </w:rPr>
              <w:t>2/13/2010</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360" w:type="dxa"/>
            <w:vAlign w:val="bottom"/>
          </w:tcPr>
          <w:p>
            <w:pPr>
              <w:jc w:val="right"/>
              <w:ind w:right="20"/>
              <w:spacing w:after="0"/>
              <w:rPr>
                <w:sz w:val="20"/>
                <w:szCs w:val="20"/>
                <w:color w:val="auto"/>
              </w:rPr>
            </w:pPr>
            <w:r>
              <w:rPr>
                <w:rFonts w:ascii="Arial" w:cs="Arial" w:eastAsia="Arial" w:hAnsi="Arial"/>
                <w:sz w:val="18"/>
                <w:szCs w:val="18"/>
                <w:color w:val="auto"/>
              </w:rPr>
              <w:t>60,000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9"/>
              <w:spacing w:after="0"/>
              <w:rPr>
                <w:sz w:val="20"/>
                <w:szCs w:val="20"/>
                <w:color w:val="auto"/>
              </w:rPr>
            </w:pPr>
            <w:r>
              <w:rPr>
                <w:rFonts w:ascii="Arial" w:cs="Arial" w:eastAsia="Arial" w:hAnsi="Arial"/>
                <w:sz w:val="18"/>
                <w:szCs w:val="18"/>
                <w:color w:val="auto"/>
              </w:rPr>
              <w:t>4.2700</w:t>
            </w:r>
          </w:p>
        </w:tc>
        <w:tc>
          <w:tcPr>
            <w:tcW w:w="1360" w:type="dxa"/>
            <w:vAlign w:val="bottom"/>
          </w:tcPr>
          <w:p>
            <w:pPr>
              <w:jc w:val="right"/>
              <w:spacing w:after="0"/>
              <w:rPr>
                <w:sz w:val="20"/>
                <w:szCs w:val="20"/>
                <w:color w:val="auto"/>
              </w:rPr>
            </w:pPr>
            <w:r>
              <w:rPr>
                <w:rFonts w:ascii="Arial" w:cs="Arial" w:eastAsia="Arial" w:hAnsi="Arial"/>
                <w:sz w:val="18"/>
                <w:szCs w:val="18"/>
                <w:color w:val="auto"/>
              </w:rPr>
              <w:t>4/21/2011</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1.7700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2/13/2010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4.7500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2/19/2011</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5.4600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10/28/2011</w:t>
            </w: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-2173605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1598295</wp:posOffset>
            </wp:positionH>
            <wp:positionV relativeFrom="paragraph">
              <wp:posOffset>-2173605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-1452880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-1452880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1"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2007, all options are exercisable.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Value is based on the closing price of the Company's common stock of $4.65 on December 31, 2007, as reported on the Nasdaq Capital Market.</w:t>
      </w:r>
    </w:p>
    <w:p>
      <w:pPr>
        <w:spacing w:after="0" w:line="261"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Assuming continued employment with the Company, 5,000 shares vest on May 11 of 2008; 9,000 shares vest on March 31 of 2008 and 2009, and 5,000 shares vest on March 31, 2010.</w:t>
      </w:r>
    </w:p>
    <w:p>
      <w:pPr>
        <w:spacing w:after="0" w:line="199"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Assuming continued employment with the Company, 667 shares vest on March 31, 2008; 666 shares vest on March 31, 2009, and 333 shares vest on March 31, 2010.</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90"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Option Exercises and Stock Vested in 2007</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table shows all stock options exercised and value realized upon exercise, and all stock awards vested and value realized upon vesting by the Named Executive Officers during 2007.</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Arial" w:cs="Arial" w:eastAsia="Arial" w:hAnsi="Arial"/>
                <w:sz w:val="14"/>
                <w:szCs w:val="14"/>
                <w:b w:val="1"/>
                <w:bCs w:val="1"/>
                <w:color w:val="auto"/>
              </w:rPr>
              <w:t>Option Awards</w:t>
            </w:r>
          </w:p>
        </w:tc>
        <w:tc>
          <w:tcPr>
            <w:tcW w:w="1560" w:type="dxa"/>
            <w:vAlign w:val="bottom"/>
          </w:tcPr>
          <w:p>
            <w:pPr>
              <w:spacing w:after="0"/>
              <w:rPr>
                <w:sz w:val="15"/>
                <w:szCs w:val="15"/>
                <w:color w:val="auto"/>
              </w:rPr>
            </w:pP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Stock Awards</w:t>
            </w: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820" w:type="dxa"/>
            <w:vAlign w:val="bottom"/>
          </w:tcPr>
          <w:p>
            <w:pPr>
              <w:jc w:val="center"/>
              <w:ind w:right="25"/>
              <w:spacing w:after="0"/>
              <w:rPr>
                <w:sz w:val="20"/>
                <w:szCs w:val="20"/>
                <w:color w:val="auto"/>
              </w:rPr>
            </w:pPr>
            <w:r>
              <w:rPr>
                <w:rFonts w:ascii="Arial" w:cs="Arial" w:eastAsia="Arial" w:hAnsi="Arial"/>
                <w:sz w:val="14"/>
                <w:szCs w:val="14"/>
                <w:b w:val="1"/>
                <w:bCs w:val="1"/>
                <w:color w:val="auto"/>
                <w:w w:val="86"/>
              </w:rPr>
              <w:t>Number of Shares</w:t>
            </w:r>
          </w:p>
        </w:tc>
        <w:tc>
          <w:tcPr>
            <w:tcW w:w="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60" w:type="dxa"/>
            <w:vAlign w:val="bottom"/>
          </w:tcPr>
          <w:p>
            <w:pPr>
              <w:jc w:val="center"/>
              <w:ind w:right="85"/>
              <w:spacing w:after="0"/>
              <w:rPr>
                <w:sz w:val="20"/>
                <w:szCs w:val="20"/>
                <w:color w:val="auto"/>
              </w:rPr>
            </w:pPr>
            <w:r>
              <w:rPr>
                <w:rFonts w:ascii="Arial" w:cs="Arial" w:eastAsia="Arial" w:hAnsi="Arial"/>
                <w:sz w:val="14"/>
                <w:szCs w:val="14"/>
                <w:b w:val="1"/>
                <w:bCs w:val="1"/>
                <w:color w:val="auto"/>
                <w:w w:val="86"/>
              </w:rPr>
              <w:t>Number of Shares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2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8"/>
              </w:rPr>
              <w:t>Acquired on</w:t>
            </w:r>
          </w:p>
        </w:tc>
        <w:tc>
          <w:tcPr>
            <w:tcW w:w="440" w:type="dxa"/>
            <w:vAlign w:val="bottom"/>
          </w:tcPr>
          <w:p>
            <w:pPr>
              <w:spacing w:after="0"/>
              <w:rPr>
                <w:sz w:val="12"/>
                <w:szCs w:val="12"/>
                <w:color w:val="auto"/>
              </w:rPr>
            </w:pPr>
          </w:p>
        </w:tc>
        <w:tc>
          <w:tcPr>
            <w:tcW w:w="1560" w:type="dxa"/>
            <w:vAlign w:val="bottom"/>
          </w:tcPr>
          <w:p>
            <w:pPr>
              <w:jc w:val="center"/>
              <w:ind w:right="502"/>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176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88"/>
              </w:rPr>
              <w:t>Acquired on</w:t>
            </w:r>
          </w:p>
        </w:tc>
        <w:tc>
          <w:tcPr>
            <w:tcW w:w="40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2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3"/>
              </w:rPr>
              <w:t>Exercise</w:t>
            </w:r>
          </w:p>
        </w:tc>
        <w:tc>
          <w:tcPr>
            <w:tcW w:w="440" w:type="dxa"/>
            <w:vAlign w:val="bottom"/>
          </w:tcPr>
          <w:p>
            <w:pPr>
              <w:spacing w:after="0"/>
              <w:rPr>
                <w:sz w:val="12"/>
                <w:szCs w:val="12"/>
                <w:color w:val="auto"/>
              </w:rPr>
            </w:pPr>
          </w:p>
        </w:tc>
        <w:tc>
          <w:tcPr>
            <w:tcW w:w="1560" w:type="dxa"/>
            <w:vAlign w:val="bottom"/>
          </w:tcPr>
          <w:p>
            <w:pPr>
              <w:jc w:val="center"/>
              <w:ind w:right="502"/>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76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82"/>
              </w:rPr>
              <w:t>Vesting</w:t>
            </w:r>
          </w:p>
        </w:tc>
        <w:tc>
          <w:tcPr>
            <w:tcW w:w="40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ind w:left="1440"/>
              <w:spacing w:after="0"/>
              <w:rPr>
                <w:sz w:val="20"/>
                <w:szCs w:val="20"/>
                <w:color w:val="auto"/>
              </w:rPr>
            </w:pPr>
            <w:r>
              <w:rPr>
                <w:rFonts w:ascii="Arial" w:cs="Arial" w:eastAsia="Arial" w:hAnsi="Arial"/>
                <w:sz w:val="14"/>
                <w:szCs w:val="14"/>
                <w:b w:val="1"/>
                <w:bCs w:val="1"/>
                <w:color w:val="auto"/>
              </w:rPr>
              <w:t>Name</w:t>
            </w:r>
          </w:p>
        </w:tc>
        <w:tc>
          <w:tcPr>
            <w:tcW w:w="1820" w:type="dxa"/>
            <w:vAlign w:val="bottom"/>
          </w:tcPr>
          <w:p>
            <w:pPr>
              <w:jc w:val="center"/>
              <w:ind w:right="25"/>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1560" w:type="dxa"/>
            <w:vAlign w:val="bottom"/>
          </w:tcPr>
          <w:p>
            <w:pPr>
              <w:jc w:val="center"/>
              <w:ind w:right="522"/>
              <w:spacing w:after="0"/>
              <w:rPr>
                <w:sz w:val="20"/>
                <w:szCs w:val="20"/>
                <w:color w:val="auto"/>
              </w:rPr>
            </w:pPr>
            <w:r>
              <w:rPr>
                <w:rFonts w:ascii="Arial" w:cs="Arial" w:eastAsia="Arial" w:hAnsi="Arial"/>
                <w:sz w:val="14"/>
                <w:szCs w:val="14"/>
                <w:b w:val="1"/>
                <w:bCs w:val="1"/>
                <w:color w:val="auto"/>
                <w:w w:val="93"/>
              </w:rPr>
              <w:t>($)(1)</w:t>
            </w:r>
          </w:p>
        </w:tc>
        <w:tc>
          <w:tcPr>
            <w:tcW w:w="1760" w:type="dxa"/>
            <w:vAlign w:val="bottom"/>
          </w:tcPr>
          <w:p>
            <w:pPr>
              <w:jc w:val="center"/>
              <w:ind w:right="85"/>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5"/>
                <w:szCs w:val="15"/>
                <w:color w:val="auto"/>
              </w:rPr>
            </w:pPr>
          </w:p>
        </w:tc>
        <w:tc>
          <w:tcPr>
            <w:tcW w:w="1300" w:type="dxa"/>
            <w:vAlign w:val="bottom"/>
          </w:tcPr>
          <w:p>
            <w:pPr>
              <w:jc w:val="center"/>
              <w:ind w:right="222"/>
              <w:spacing w:after="0"/>
              <w:rPr>
                <w:sz w:val="20"/>
                <w:szCs w:val="20"/>
                <w:color w:val="auto"/>
              </w:rPr>
            </w:pPr>
            <w:r>
              <w:rPr>
                <w:rFonts w:ascii="Arial" w:cs="Arial" w:eastAsia="Arial" w:hAnsi="Arial"/>
                <w:sz w:val="14"/>
                <w:szCs w:val="14"/>
                <w:b w:val="1"/>
                <w:bCs w:val="1"/>
                <w:color w:val="auto"/>
                <w:w w:val="93"/>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182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60,700</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104,797</w:t>
            </w:r>
          </w:p>
        </w:tc>
        <w:tc>
          <w:tcPr>
            <w:tcW w:w="176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9,000</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Richard S. Warzala</w:t>
            </w:r>
          </w:p>
        </w:tc>
        <w:tc>
          <w:tcPr>
            <w:tcW w:w="1820" w:type="dxa"/>
            <w:vAlign w:val="bottom"/>
          </w:tcPr>
          <w:p>
            <w:pPr>
              <w:jc w:val="right"/>
              <w:ind w:right="25"/>
              <w:spacing w:after="0"/>
              <w:rPr>
                <w:sz w:val="20"/>
                <w:szCs w:val="20"/>
                <w:color w:val="auto"/>
              </w:rPr>
            </w:pPr>
            <w:r>
              <w:rPr>
                <w:rFonts w:ascii="Arial" w:cs="Arial" w:eastAsia="Arial" w:hAnsi="Arial"/>
                <w:sz w:val="18"/>
                <w:szCs w:val="18"/>
                <w:color w:val="auto"/>
              </w:rPr>
              <w:t>200,000</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82"/>
              <w:spacing w:after="0"/>
              <w:rPr>
                <w:sz w:val="20"/>
                <w:szCs w:val="20"/>
                <w:color w:val="auto"/>
              </w:rPr>
            </w:pPr>
            <w:r>
              <w:rPr>
                <w:rFonts w:ascii="Arial" w:cs="Arial" w:eastAsia="Arial" w:hAnsi="Arial"/>
                <w:sz w:val="18"/>
                <w:szCs w:val="18"/>
                <w:color w:val="auto"/>
              </w:rPr>
              <w:t>403,773</w:t>
            </w:r>
          </w:p>
        </w:tc>
        <w:tc>
          <w:tcPr>
            <w:tcW w:w="1760" w:type="dxa"/>
            <w:vAlign w:val="bottom"/>
          </w:tcPr>
          <w:p>
            <w:pPr>
              <w:jc w:val="right"/>
              <w:ind w:right="25"/>
              <w:spacing w:after="0"/>
              <w:rPr>
                <w:sz w:val="20"/>
                <w:szCs w:val="20"/>
                <w:color w:val="auto"/>
              </w:rPr>
            </w:pPr>
            <w:r>
              <w:rPr>
                <w:rFonts w:ascii="Arial" w:cs="Arial" w:eastAsia="Arial" w:hAnsi="Arial"/>
                <w:sz w:val="18"/>
                <w:szCs w:val="18"/>
                <w:color w:val="auto"/>
              </w:rPr>
              <w:t>9,000</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56,975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182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334</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6803390</wp:posOffset>
            </wp:positionH>
            <wp:positionV relativeFrom="paragraph">
              <wp:posOffset>-1024255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-1024255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-492760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1" w:lineRule="exact"/>
        <w:rPr>
          <w:sz w:val="20"/>
          <w:szCs w:val="20"/>
          <w:color w:val="auto"/>
        </w:rPr>
      </w:pPr>
    </w:p>
    <w:p>
      <w:pPr>
        <w:ind w:left="540" w:right="80" w:hanging="532"/>
        <w:spacing w:after="0" w:line="26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Value realized equals the difference between the option exercise price and the fair market value of the Company's common stock on the date of exercise, multiplied by the number of shares for which the option was exercised.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Value realized equals the market value of the Company's common stock on the vesting date, multiplied by the number of shares that vested.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2007</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Board of Directors holds four regular full day meetings each year. Through February 2008, non-employee directors received an annual retainer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$17,000, paid quarterly, plus $800 per full day meeting of the board attended and $600 per telephone meeting attended. The Audit Committee chairman receives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an annual retainer of $5,000, the Compensation Committee and Governance and Nominating Committee chairmen each receive an annual retainer of $3,000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each committee member receives a $1,500 annual retainer, each of which are paid quarterly.</w:t>
      </w:r>
    </w:p>
    <w:p>
      <w:pPr>
        <w:spacing w:after="0" w:line="219"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After February 2008, non-employee directors will receive an annual retainer of $18,000, paid quarterly, plus $800 per full day meeting of the board attended and $600 per telephone meeting attended. The Audit Committee chairman receives an annual retainer of $6,000, the Compensation Committee and Governance and Nominating Committee chairmen each receive an annual retainer of $3,500 and each committee member receives a $1,600 annual retainer, each of which are paid quarterly.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compensation paid by the Company to non-employee Directors for 2007.</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000" w:type="dxa"/>
            <w:vAlign w:val="bottom"/>
            <w:gridSpan w:val="2"/>
          </w:tcPr>
          <w:p>
            <w:pPr>
              <w:jc w:val="center"/>
              <w:ind w:left="1321"/>
              <w:spacing w:after="0"/>
              <w:rPr>
                <w:sz w:val="20"/>
                <w:szCs w:val="20"/>
                <w:color w:val="auto"/>
              </w:rPr>
            </w:pPr>
            <w:r>
              <w:rPr>
                <w:rFonts w:ascii="Arial" w:cs="Arial" w:eastAsia="Arial" w:hAnsi="Arial"/>
                <w:sz w:val="14"/>
                <w:szCs w:val="14"/>
                <w:b w:val="1"/>
                <w:bCs w:val="1"/>
                <w:color w:val="auto"/>
                <w:w w:val="86"/>
              </w:rPr>
              <w:t>Fees Earned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000" w:type="dxa"/>
            <w:vAlign w:val="bottom"/>
            <w:gridSpan w:val="2"/>
          </w:tcPr>
          <w:p>
            <w:pPr>
              <w:jc w:val="center"/>
              <w:ind w:left="1301"/>
              <w:spacing w:after="0" w:line="149" w:lineRule="exact"/>
              <w:rPr>
                <w:sz w:val="20"/>
                <w:szCs w:val="20"/>
                <w:color w:val="auto"/>
              </w:rPr>
            </w:pPr>
            <w:r>
              <w:rPr>
                <w:rFonts w:ascii="Arial" w:cs="Arial" w:eastAsia="Arial" w:hAnsi="Arial"/>
                <w:sz w:val="14"/>
                <w:szCs w:val="14"/>
                <w:b w:val="1"/>
                <w:bCs w:val="1"/>
                <w:color w:val="auto"/>
                <w:w w:val="88"/>
              </w:rPr>
              <w:t>or Paid</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000" w:type="dxa"/>
            <w:vAlign w:val="bottom"/>
            <w:gridSpan w:val="2"/>
          </w:tcPr>
          <w:p>
            <w:pPr>
              <w:jc w:val="center"/>
              <w:ind w:left="1321"/>
              <w:spacing w:after="0" w:line="149" w:lineRule="exact"/>
              <w:rPr>
                <w:sz w:val="20"/>
                <w:szCs w:val="20"/>
                <w:color w:val="auto"/>
              </w:rPr>
            </w:pPr>
            <w:r>
              <w:rPr>
                <w:rFonts w:ascii="Arial" w:cs="Arial" w:eastAsia="Arial" w:hAnsi="Arial"/>
                <w:sz w:val="14"/>
                <w:szCs w:val="14"/>
                <w:b w:val="1"/>
                <w:bCs w:val="1"/>
                <w:color w:val="auto"/>
                <w:w w:val="86"/>
              </w:rPr>
              <w:t>in Cash</w:t>
            </w:r>
          </w:p>
        </w:tc>
        <w:tc>
          <w:tcPr>
            <w:tcW w:w="180" w:type="dxa"/>
            <w:vAlign w:val="bottom"/>
          </w:tcPr>
          <w:p>
            <w:pPr>
              <w:spacing w:after="0"/>
              <w:rPr>
                <w:sz w:val="12"/>
                <w:szCs w:val="12"/>
                <w:color w:val="auto"/>
              </w:rPr>
            </w:pPr>
          </w:p>
        </w:tc>
        <w:tc>
          <w:tcPr>
            <w:tcW w:w="980" w:type="dxa"/>
            <w:vAlign w:val="bottom"/>
          </w:tcPr>
          <w:p>
            <w:pPr>
              <w:jc w:val="right"/>
              <w:ind w:right="98"/>
              <w:spacing w:after="0" w:line="149" w:lineRule="exact"/>
              <w:rPr>
                <w:sz w:val="20"/>
                <w:szCs w:val="20"/>
                <w:color w:val="auto"/>
              </w:rPr>
            </w:pPr>
            <w:r>
              <w:rPr>
                <w:rFonts w:ascii="Arial" w:cs="Arial" w:eastAsia="Arial" w:hAnsi="Arial"/>
                <w:sz w:val="14"/>
                <w:szCs w:val="14"/>
                <w:b w:val="1"/>
                <w:bCs w:val="1"/>
                <w:color w:val="auto"/>
                <w:w w:val="84"/>
              </w:rPr>
              <w:t>Stock Awards</w:t>
            </w:r>
          </w:p>
        </w:tc>
        <w:tc>
          <w:tcPr>
            <w:tcW w:w="32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40" w:type="dxa"/>
            <w:vAlign w:val="bottom"/>
          </w:tcPr>
          <w:p>
            <w:pPr>
              <w:ind w:left="2800"/>
              <w:spacing w:after="0"/>
              <w:rPr>
                <w:sz w:val="20"/>
                <w:szCs w:val="20"/>
                <w:color w:val="auto"/>
              </w:rPr>
            </w:pPr>
            <w:r>
              <w:rPr>
                <w:rFonts w:ascii="Arial" w:cs="Arial" w:eastAsia="Arial" w:hAnsi="Arial"/>
                <w:sz w:val="14"/>
                <w:szCs w:val="14"/>
                <w:b w:val="1"/>
                <w:bCs w:val="1"/>
                <w:color w:val="auto"/>
              </w:rPr>
              <w:t>Name</w:t>
            </w: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636"/>
              <w:spacing w:after="0"/>
              <w:rPr>
                <w:sz w:val="20"/>
                <w:szCs w:val="20"/>
                <w:color w:val="auto"/>
              </w:rPr>
            </w:pPr>
            <w:r>
              <w:rPr>
                <w:rFonts w:ascii="Arial" w:cs="Arial" w:eastAsia="Arial" w:hAnsi="Arial"/>
                <w:sz w:val="14"/>
                <w:szCs w:val="14"/>
                <w:b w:val="1"/>
                <w:bCs w:val="1"/>
                <w:color w:val="auto"/>
                <w:w w:val="84"/>
              </w:rPr>
              <w:t>)</w:t>
            </w:r>
          </w:p>
        </w:tc>
        <w:tc>
          <w:tcPr>
            <w:tcW w:w="180" w:type="dxa"/>
            <w:vAlign w:val="bottom"/>
          </w:tcPr>
          <w:p>
            <w:pPr>
              <w:spacing w:after="0"/>
              <w:rPr>
                <w:sz w:val="15"/>
                <w:szCs w:val="15"/>
                <w:color w:val="auto"/>
              </w:rPr>
            </w:pPr>
          </w:p>
        </w:tc>
        <w:tc>
          <w:tcPr>
            <w:tcW w:w="980" w:type="dxa"/>
            <w:vAlign w:val="bottom"/>
          </w:tcPr>
          <w:p>
            <w:pPr>
              <w:jc w:val="right"/>
              <w:ind w:right="338"/>
              <w:spacing w:after="0"/>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15"/>
                <w:szCs w:val="15"/>
                <w:color w:val="auto"/>
              </w:rPr>
            </w:pPr>
          </w:p>
        </w:tc>
        <w:tc>
          <w:tcPr>
            <w:tcW w:w="800" w:type="dxa"/>
            <w:vAlign w:val="bottom"/>
          </w:tcPr>
          <w:p>
            <w:pPr>
              <w:jc w:val="right"/>
              <w:ind w:right="35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Delwin D. Hock</w:t>
            </w:r>
          </w:p>
        </w:tc>
        <w:tc>
          <w:tcPr>
            <w:tcW w:w="222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26,775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Graydon D. Hubbard</w:t>
            </w:r>
          </w:p>
        </w:tc>
        <w:tc>
          <w:tcPr>
            <w:tcW w:w="2220" w:type="dxa"/>
            <w:vAlign w:val="bottom"/>
          </w:tcPr>
          <w:p>
            <w:pPr>
              <w:jc w:val="right"/>
              <w:ind w:right="561"/>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28,875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6,559</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222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25,350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Michel M. Robert</w:t>
            </w:r>
          </w:p>
        </w:tc>
        <w:tc>
          <w:tcPr>
            <w:tcW w:w="2220" w:type="dxa"/>
            <w:vAlign w:val="bottom"/>
          </w:tcPr>
          <w:p>
            <w:pPr>
              <w:jc w:val="right"/>
              <w:ind w:right="561"/>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18,850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5,294</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 R. (Rollie) Heath, Jr.</w:t>
            </w:r>
          </w:p>
        </w:tc>
        <w:tc>
          <w:tcPr>
            <w:tcW w:w="222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-767080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-767080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1" w:lineRule="exact"/>
        <w:rPr>
          <w:sz w:val="20"/>
          <w:szCs w:val="20"/>
          <w:color w:val="auto"/>
        </w:rPr>
      </w:pPr>
    </w:p>
    <w:p>
      <w:pPr>
        <w:ind w:left="540" w:right="80" w:hanging="532"/>
        <w:spacing w:after="0" w:line="256"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proportionate amount of the total grant date fair value of stock awards recognized by the Company as an expense in 2007 for financial accounting purposes, disregarding for this purpose the estimate of forfeitures related to service-based vesting conditions. The fair values of these awards and the amounts expensed in 2007 were based on the average closing bid and ask price of the Company's common stock as reported on the Nasdaq Capital Market on the date of</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6" w:name="page17"/>
    <w:bookmarkEnd w:id="16"/>
    <w:p>
      <w:pPr>
        <w:ind w:left="540" w:right="260"/>
        <w:spacing w:after="0" w:line="268" w:lineRule="auto"/>
        <w:rPr>
          <w:sz w:val="20"/>
          <w:szCs w:val="20"/>
          <w:color w:val="auto"/>
        </w:rPr>
      </w:pPr>
      <w:r>
        <w:rPr>
          <w:rFonts w:ascii="Arial" w:cs="Arial" w:eastAsia="Arial" w:hAnsi="Arial"/>
          <w:sz w:val="18"/>
          <w:szCs w:val="18"/>
          <w:color w:val="auto"/>
        </w:rPr>
        <w:t>grant. The awards for which expense is shown in this table include the awards made during 2007 as well as awards granted in prior years for which the Company continued to recognize expense in 2007.</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aggregate number of stock options, all of which are exercisable, and unvested stock awards outstanding for each non-employee director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are shown below:</w:t>
      </w:r>
    </w:p>
    <w:p>
      <w:pPr>
        <w:spacing w:after="0" w:line="282"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880" w:type="dxa"/>
            <w:vAlign w:val="bottom"/>
            <w:gridSpan w:val="2"/>
          </w:tcPr>
          <w:p>
            <w:pPr>
              <w:jc w:val="right"/>
              <w:ind w:right="338"/>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040" w:type="dxa"/>
            <w:vAlign w:val="bottom"/>
          </w:tcPr>
          <w:p>
            <w:pPr>
              <w:jc w:val="right"/>
              <w:ind w:right="280"/>
              <w:spacing w:after="0"/>
              <w:rPr>
                <w:sz w:val="20"/>
                <w:szCs w:val="20"/>
                <w:color w:val="auto"/>
              </w:rPr>
            </w:pPr>
            <w:r>
              <w:rPr>
                <w:rFonts w:ascii="Arial" w:cs="Arial" w:eastAsia="Arial" w:hAnsi="Arial"/>
                <w:sz w:val="14"/>
                <w:szCs w:val="14"/>
                <w:b w:val="1"/>
                <w:bCs w:val="1"/>
                <w:color w:val="auto"/>
              </w:rPr>
              <w:t>Unvested</w:t>
            </w:r>
          </w:p>
        </w:tc>
        <w:tc>
          <w:tcPr>
            <w:tcW w:w="840" w:type="dxa"/>
            <w:vAlign w:val="bottom"/>
          </w:tcPr>
          <w:p>
            <w:pPr>
              <w:jc w:val="right"/>
              <w:ind w:right="158"/>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tcPr>
          <w:p>
            <w:pPr>
              <w:ind w:left="2640"/>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jc w:val="right"/>
              <w:ind w:right="140"/>
              <w:spacing w:after="0"/>
              <w:rPr>
                <w:sz w:val="20"/>
                <w:szCs w:val="20"/>
                <w:color w:val="auto"/>
              </w:rPr>
            </w:pPr>
            <w:r>
              <w:rPr>
                <w:rFonts w:ascii="Arial" w:cs="Arial" w:eastAsia="Arial" w:hAnsi="Arial"/>
                <w:sz w:val="14"/>
                <w:szCs w:val="14"/>
                <w:b w:val="1"/>
                <w:bCs w:val="1"/>
                <w:color w:val="auto"/>
                <w:w w:val="86"/>
              </w:rPr>
              <w:t>Stock Awards</w:t>
            </w:r>
          </w:p>
        </w:tc>
        <w:tc>
          <w:tcPr>
            <w:tcW w:w="840" w:type="dxa"/>
            <w:vAlign w:val="bottom"/>
          </w:tcPr>
          <w:p>
            <w:pPr>
              <w:jc w:val="right"/>
              <w:ind w:right="98"/>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Delwin D. Hock</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2,582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Graydon D. Hubbard</w:t>
            </w:r>
          </w:p>
        </w:tc>
        <w:tc>
          <w:tcPr>
            <w:tcW w:w="1040" w:type="dxa"/>
            <w:vAlign w:val="bottom"/>
          </w:tcPr>
          <w:p>
            <w:pPr>
              <w:jc w:val="right"/>
              <w:ind w:right="120"/>
              <w:spacing w:after="0"/>
              <w:rPr>
                <w:sz w:val="20"/>
                <w:szCs w:val="20"/>
                <w:color w:val="auto"/>
              </w:rPr>
            </w:pPr>
            <w:r>
              <w:rPr>
                <w:rFonts w:ascii="Arial" w:cs="Arial" w:eastAsia="Arial" w:hAnsi="Arial"/>
                <w:sz w:val="18"/>
                <w:szCs w:val="18"/>
                <w:color w:val="auto"/>
              </w:rPr>
              <w:t>3,249</w:t>
            </w:r>
          </w:p>
        </w:tc>
        <w:tc>
          <w:tcPr>
            <w:tcW w:w="84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2,582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Michel M. Robert</w:t>
            </w:r>
          </w:p>
        </w:tc>
        <w:tc>
          <w:tcPr>
            <w:tcW w:w="1040" w:type="dxa"/>
            <w:vAlign w:val="bottom"/>
          </w:tcPr>
          <w:p>
            <w:pPr>
              <w:jc w:val="right"/>
              <w:ind w:right="120"/>
              <w:spacing w:after="0"/>
              <w:rPr>
                <w:sz w:val="20"/>
                <w:szCs w:val="20"/>
                <w:color w:val="auto"/>
              </w:rPr>
            </w:pPr>
            <w:r>
              <w:rPr>
                <w:rFonts w:ascii="Arial" w:cs="Arial" w:eastAsia="Arial" w:hAnsi="Arial"/>
                <w:sz w:val="18"/>
                <w:szCs w:val="18"/>
                <w:color w:val="auto"/>
              </w:rPr>
              <w:t>2,582</w:t>
            </w:r>
          </w:p>
        </w:tc>
        <w:tc>
          <w:tcPr>
            <w:tcW w:w="84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 R. (Rollie) Heath, Jr.</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-1109980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-1109980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-767080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-767080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OWNERSHIP OF COMPANY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31" w:lineRule="exact"/>
        <w:rPr>
          <w:sz w:val="20"/>
          <w:szCs w:val="20"/>
          <w:color w:val="auto"/>
        </w:rPr>
      </w:pPr>
    </w:p>
    <w:p>
      <w:pPr>
        <w:jc w:val="both"/>
        <w:ind w:right="680" w:firstLine="348"/>
        <w:spacing w:after="0" w:line="370" w:lineRule="auto"/>
        <w:rPr>
          <w:sz w:val="20"/>
          <w:szCs w:val="20"/>
          <w:color w:val="auto"/>
        </w:rPr>
      </w:pPr>
      <w:r>
        <w:rPr>
          <w:rFonts w:ascii="Arial" w:cs="Arial" w:eastAsia="Arial" w:hAnsi="Arial"/>
          <w:sz w:val="15"/>
          <w:szCs w:val="15"/>
          <w:color w:val="auto"/>
        </w:rPr>
        <w:t>To the best of our knowledge, no person or group (as those terms are used in Section 13(d)(3) of the Securities Exchange Act of 1934, as amended) beneficially owned, as of the Record Date, more than five percent of the shares of Common Stock outstanding, except as set forth in the following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w:t>
            </w:r>
          </w:p>
        </w:tc>
      </w:tr>
      <w:tr>
        <w:trPr>
          <w:trHeight w:val="149"/>
        </w:trPr>
        <w:tc>
          <w:tcPr>
            <w:tcW w:w="6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74"/>
        </w:trPr>
        <w:tc>
          <w:tcPr>
            <w:tcW w:w="638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Beneficially Owned</w:t>
            </w:r>
          </w:p>
        </w:tc>
        <w:tc>
          <w:tcPr>
            <w:tcW w:w="2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Stock (1)</w:t>
            </w:r>
          </w:p>
        </w:tc>
      </w:tr>
      <w:tr>
        <w:trPr>
          <w:trHeight w:val="105"/>
        </w:trPr>
        <w:tc>
          <w:tcPr>
            <w:tcW w:w="6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42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38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792,022(2)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 Inverness Way East, Suite 150</w:t>
            </w:r>
          </w:p>
        </w:tc>
        <w:tc>
          <w:tcPr>
            <w:tcW w:w="3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Englewood, Colorado 80112</w:t>
            </w:r>
          </w:p>
        </w:tc>
        <w:tc>
          <w:tcPr>
            <w:tcW w:w="3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424"/>
        </w:trPr>
        <w:tc>
          <w:tcPr>
            <w:tcW w:w="5120" w:type="dxa"/>
            <w:vAlign w:val="bottom"/>
            <w:gridSpan w:val="2"/>
          </w:tcPr>
          <w:p>
            <w:pPr>
              <w:spacing w:after="0"/>
              <w:rPr>
                <w:sz w:val="20"/>
                <w:szCs w:val="20"/>
                <w:color w:val="auto"/>
              </w:rPr>
            </w:pPr>
            <w:r>
              <w:rPr>
                <w:rFonts w:ascii="Arial" w:cs="Arial" w:eastAsia="Arial" w:hAnsi="Arial"/>
                <w:sz w:val="18"/>
                <w:szCs w:val="18"/>
                <w:color w:val="auto"/>
              </w:rPr>
              <w:t>Eugene E. Prince</w:t>
            </w:r>
          </w:p>
        </w:tc>
        <w:tc>
          <w:tcPr>
            <w:tcW w:w="3860" w:type="dxa"/>
            <w:vAlign w:val="bottom"/>
          </w:tcPr>
          <w:p>
            <w:pPr>
              <w:jc w:val="right"/>
              <w:ind w:right="252"/>
              <w:spacing w:after="0"/>
              <w:rPr>
                <w:sz w:val="20"/>
                <w:szCs w:val="20"/>
                <w:color w:val="auto"/>
              </w:rPr>
            </w:pPr>
            <w:r>
              <w:rPr>
                <w:rFonts w:ascii="Arial" w:cs="Arial" w:eastAsia="Arial" w:hAnsi="Arial"/>
                <w:sz w:val="18"/>
                <w:szCs w:val="18"/>
                <w:color w:val="auto"/>
              </w:rPr>
              <w:t>764,784(3)</w:t>
            </w: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7560 Panorama Drive</w:t>
            </w:r>
          </w:p>
        </w:tc>
        <w:tc>
          <w:tcPr>
            <w:tcW w:w="38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Boulder, Colorado 80303</w:t>
            </w:r>
          </w:p>
        </w:tc>
        <w:tc>
          <w:tcPr>
            <w:tcW w:w="38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25"/>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38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582,004(4)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 Inverness Way East, Suite 150</w:t>
            </w:r>
          </w:p>
        </w:tc>
        <w:tc>
          <w:tcPr>
            <w:tcW w:w="3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Englewood, Colorado 80112</w:t>
            </w:r>
          </w:p>
        </w:tc>
        <w:tc>
          <w:tcPr>
            <w:tcW w:w="3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424"/>
        </w:trPr>
        <w:tc>
          <w:tcPr>
            <w:tcW w:w="5120" w:type="dxa"/>
            <w:vAlign w:val="bottom"/>
            <w:gridSpan w:val="2"/>
          </w:tcPr>
          <w:p>
            <w:pPr>
              <w:spacing w:after="0"/>
              <w:rPr>
                <w:sz w:val="20"/>
                <w:szCs w:val="20"/>
                <w:color w:val="auto"/>
              </w:rPr>
            </w:pPr>
            <w:r>
              <w:rPr>
                <w:rFonts w:ascii="Arial" w:cs="Arial" w:eastAsia="Arial" w:hAnsi="Arial"/>
                <w:sz w:val="18"/>
                <w:szCs w:val="18"/>
                <w:color w:val="auto"/>
              </w:rPr>
              <w:t>Peter H. Kamin</w:t>
            </w:r>
          </w:p>
        </w:tc>
        <w:tc>
          <w:tcPr>
            <w:tcW w:w="3860" w:type="dxa"/>
            <w:vAlign w:val="bottom"/>
          </w:tcPr>
          <w:p>
            <w:pPr>
              <w:jc w:val="right"/>
              <w:ind w:right="252"/>
              <w:spacing w:after="0"/>
              <w:rPr>
                <w:sz w:val="20"/>
                <w:szCs w:val="20"/>
                <w:color w:val="auto"/>
              </w:rPr>
            </w:pPr>
            <w:r>
              <w:rPr>
                <w:rFonts w:ascii="Arial" w:cs="Arial" w:eastAsia="Arial" w:hAnsi="Arial"/>
                <w:sz w:val="18"/>
                <w:szCs w:val="18"/>
                <w:color w:val="auto"/>
              </w:rPr>
              <w:t>567,700(5)</w:t>
            </w: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7"/>
        </w:trPr>
        <w:tc>
          <w:tcPr>
            <w:tcW w:w="5120" w:type="dxa"/>
            <w:vAlign w:val="bottom"/>
            <w:gridSpan w:val="2"/>
          </w:tcPr>
          <w:p>
            <w:pPr>
              <w:spacing w:after="0"/>
              <w:rPr>
                <w:sz w:val="20"/>
                <w:szCs w:val="20"/>
                <w:color w:val="auto"/>
              </w:rPr>
            </w:pPr>
            <w:r>
              <w:rPr>
                <w:rFonts w:ascii="Arial" w:cs="Arial" w:eastAsia="Arial" w:hAnsi="Arial"/>
                <w:sz w:val="18"/>
                <w:szCs w:val="18"/>
                <w:color w:val="auto"/>
              </w:rPr>
              <w:t>c/o The Nelson Law Firm, LLC</w:t>
            </w:r>
          </w:p>
        </w:tc>
        <w:tc>
          <w:tcPr>
            <w:tcW w:w="38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5"/>
        </w:trPr>
        <w:tc>
          <w:tcPr>
            <w:tcW w:w="5120" w:type="dxa"/>
            <w:vAlign w:val="bottom"/>
            <w:gridSpan w:val="2"/>
          </w:tcPr>
          <w:p>
            <w:pPr>
              <w:spacing w:after="0" w:line="255" w:lineRule="exact"/>
              <w:rPr>
                <w:sz w:val="20"/>
                <w:szCs w:val="20"/>
                <w:color w:val="auto"/>
              </w:rPr>
            </w:pPr>
            <w:r>
              <w:rPr>
                <w:rFonts w:ascii="Arial" w:cs="Arial" w:eastAsia="Arial" w:hAnsi="Arial"/>
                <w:sz w:val="18"/>
                <w:szCs w:val="18"/>
                <w:color w:val="auto"/>
              </w:rPr>
              <w:t>75 South Broadway,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38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22"/>
        </w:trPr>
        <w:tc>
          <w:tcPr>
            <w:tcW w:w="5120" w:type="dxa"/>
            <w:vAlign w:val="bottom"/>
            <w:gridSpan w:val="2"/>
          </w:tcPr>
          <w:p>
            <w:pPr>
              <w:spacing w:after="0"/>
              <w:rPr>
                <w:sz w:val="20"/>
                <w:szCs w:val="20"/>
                <w:color w:val="auto"/>
              </w:rPr>
            </w:pPr>
            <w:r>
              <w:rPr>
                <w:rFonts w:ascii="Arial" w:cs="Arial" w:eastAsia="Arial" w:hAnsi="Arial"/>
                <w:sz w:val="18"/>
                <w:szCs w:val="18"/>
                <w:color w:val="auto"/>
              </w:rPr>
              <w:t>White Plains, New York 10601</w:t>
            </w:r>
          </w:p>
        </w:tc>
        <w:tc>
          <w:tcPr>
            <w:tcW w:w="38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20"/>
        </w:trPr>
        <w:tc>
          <w:tcPr>
            <w:tcW w:w="166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8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40" w:hanging="532"/>
        <w:spacing w:after="0" w:line="306"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percentages are based upon 7,289,824 shares of Common Stock outstanding as of the Record Date, except for certain beneficial owners who hold stock options. The percentage for each beneficial owner holding presently exercisable stock options is based upon the sum of 7,289,824 shares plus the number of shares subject to presently exercisable stock options held only by such beneficial owner, as indicated in the following notes.</w:t>
      </w:r>
    </w:p>
    <w:p>
      <w:pPr>
        <w:spacing w:after="0" w:line="187" w:lineRule="exact"/>
        <w:rPr>
          <w:rFonts w:ascii="Arial" w:cs="Arial" w:eastAsia="Arial" w:hAnsi="Arial"/>
          <w:sz w:val="16"/>
          <w:szCs w:val="16"/>
          <w:color w:val="auto"/>
        </w:rPr>
      </w:pPr>
    </w:p>
    <w:p>
      <w:pPr>
        <w:ind w:left="540" w:hanging="532"/>
        <w:spacing w:after="0" w:line="294"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188,050 shares of Common Stock which Mr. Smith has the right to acquire upon the exercise of outstanding options, 43,000 shares of Common Stock granted as incentive restricted shares under the Company's stock incentive plans that have not yet vested and 190,309 shares of Common Stock held by the Company's Employee Stock Ownership Plan ("ESOP") as of the Record Date, as to which Mr. Smith could be deemed to have shared investment power as a trustee of the ESOP, which includes 8,964 shares of Common Stock credited to the ESOP account of Mr. Smith. Includes 341,488 shares of Common Stock held by Smith Family Trust, of which Mr. Smith is trustee. Includes 900 shares held by Mr. Smith's wife's IRA.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ind w:left="540" w:right="80" w:hanging="532"/>
        <w:spacing w:after="0" w:line="268"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88,800 shares of Common Stock held by the Prince Children's Trusts, of which Mr. Prince's wife is trustee and as to which Mr. Prince disclaims beneficial ownership.</w:t>
      </w:r>
    </w:p>
    <w:p>
      <w:pPr>
        <w:spacing w:after="0" w:line="212" w:lineRule="exact"/>
        <w:rPr>
          <w:rFonts w:ascii="Arial" w:cs="Arial" w:eastAsia="Arial" w:hAnsi="Arial"/>
          <w:sz w:val="18"/>
          <w:szCs w:val="18"/>
          <w:color w:val="auto"/>
        </w:rPr>
      </w:pPr>
    </w:p>
    <w:p>
      <w:pPr>
        <w:ind w:left="540" w:right="380" w:hanging="532"/>
        <w:spacing w:after="0" w:line="259"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100,000 shares of Common Stock which Mr. Warzala has the right to acquire upon the exercise of outstanding options and 43,000 shares of Common Stock granted as incentive restricted shares under the Company'sstock incentive plans that have not yet vested. Includes 4,554 shares of Common Stock credited to the ESOP account of Mr. Warzala.</w:t>
      </w:r>
    </w:p>
    <w:p>
      <w:pPr>
        <w:spacing w:after="0" w:line="207" w:lineRule="exact"/>
        <w:rPr>
          <w:rFonts w:ascii="Arial" w:cs="Arial" w:eastAsia="Arial" w:hAnsi="Arial"/>
          <w:sz w:val="18"/>
          <w:szCs w:val="18"/>
          <w:color w:val="auto"/>
        </w:rPr>
      </w:pPr>
    </w:p>
    <w:p>
      <w:pPr>
        <w:jc w:val="both"/>
        <w:ind w:left="540" w:hanging="532"/>
        <w:spacing w:after="0" w:line="306"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Schedule 13G filed by Mr. Kamin with the Securities and Exchange Commission on or about February 2, 2005. Includes 131,400 shares of held by Peter H. Kamin Childrens Trust, 157,732 shares held by Peter H. Kamin Profit Sharing Plan, 7,800 shares held by Peter H. Kamin Family Foundation and 59,300 shares held by 3K Limited Partnership, all as to which Mr. Kamin has sole voting and investment power.</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 and Directors</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following table sets forth certain information available to the Company with respect to shares of Common Stock owned by each director, each nominee for director, each executive officer and all directors, nominees and executive officers as a group, as of the Record Date: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Amount of</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74"/>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Directors, Nominees and Executive Officers</w:t>
            </w:r>
          </w:p>
        </w:tc>
        <w:tc>
          <w:tcPr>
            <w:tcW w:w="180" w:type="dxa"/>
            <w:vAlign w:val="bottom"/>
          </w:tcPr>
          <w:p>
            <w:pPr>
              <w:spacing w:after="0"/>
              <w:rPr>
                <w:sz w:val="15"/>
                <w:szCs w:val="15"/>
                <w:color w:val="auto"/>
              </w:rPr>
            </w:pPr>
          </w:p>
        </w:tc>
        <w:tc>
          <w:tcPr>
            <w:tcW w:w="2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Beneficially Owned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Stock(1)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Delwin D. Hock</w:t>
            </w:r>
          </w:p>
        </w:tc>
        <w:tc>
          <w:tcPr>
            <w:tcW w:w="2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63,263(2)</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Graydon D. Hubbard</w:t>
            </w:r>
          </w:p>
        </w:tc>
        <w:tc>
          <w:tcPr>
            <w:tcW w:w="2360" w:type="dxa"/>
            <w:vAlign w:val="bottom"/>
            <w:gridSpan w:val="3"/>
          </w:tcPr>
          <w:p>
            <w:pPr>
              <w:jc w:val="right"/>
              <w:ind w:right="80"/>
              <w:spacing w:after="0"/>
              <w:rPr>
                <w:sz w:val="20"/>
                <w:szCs w:val="20"/>
                <w:color w:val="auto"/>
              </w:rPr>
            </w:pPr>
            <w:r>
              <w:rPr>
                <w:rFonts w:ascii="Arial" w:cs="Arial" w:eastAsia="Arial" w:hAnsi="Arial"/>
                <w:sz w:val="18"/>
                <w:szCs w:val="18"/>
                <w:color w:val="auto"/>
              </w:rPr>
              <w:t>67,750(3)</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2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48,250(4)</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Michel M. Robert</w:t>
            </w:r>
          </w:p>
        </w:tc>
        <w:tc>
          <w:tcPr>
            <w:tcW w:w="2360" w:type="dxa"/>
            <w:vAlign w:val="bottom"/>
            <w:gridSpan w:val="3"/>
          </w:tcPr>
          <w:p>
            <w:pPr>
              <w:jc w:val="right"/>
              <w:ind w:right="80"/>
              <w:spacing w:after="0"/>
              <w:rPr>
                <w:sz w:val="20"/>
                <w:szCs w:val="20"/>
                <w:color w:val="auto"/>
              </w:rPr>
            </w:pPr>
            <w:r>
              <w:rPr>
                <w:rFonts w:ascii="Arial" w:cs="Arial" w:eastAsia="Arial" w:hAnsi="Arial"/>
                <w:sz w:val="18"/>
                <w:szCs w:val="18"/>
                <w:color w:val="auto"/>
              </w:rPr>
              <w:t>253,407(5)</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R. (Rollie) Heath, Jr.</w:t>
            </w:r>
          </w:p>
        </w:tc>
        <w:tc>
          <w:tcPr>
            <w:tcW w:w="2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6,500(6)</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Richard D. Smith</w:t>
            </w:r>
          </w:p>
        </w:tc>
        <w:tc>
          <w:tcPr>
            <w:tcW w:w="2360" w:type="dxa"/>
            <w:vAlign w:val="bottom"/>
            <w:gridSpan w:val="3"/>
          </w:tcPr>
          <w:p>
            <w:pPr>
              <w:jc w:val="right"/>
              <w:ind w:right="80"/>
              <w:spacing w:after="0"/>
              <w:rPr>
                <w:sz w:val="20"/>
                <w:szCs w:val="20"/>
                <w:color w:val="auto"/>
              </w:rPr>
            </w:pPr>
            <w:r>
              <w:rPr>
                <w:rFonts w:ascii="Arial" w:cs="Arial" w:eastAsia="Arial" w:hAnsi="Arial"/>
                <w:sz w:val="18"/>
                <w:szCs w:val="18"/>
                <w:color w:val="auto"/>
              </w:rPr>
              <w:t>792,022(7)</w:t>
            </w: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2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582,004(8)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Kenneth R. Wyman</w:t>
            </w:r>
          </w:p>
        </w:tc>
        <w:tc>
          <w:tcPr>
            <w:tcW w:w="2360" w:type="dxa"/>
            <w:vAlign w:val="bottom"/>
            <w:gridSpan w:val="3"/>
          </w:tcPr>
          <w:p>
            <w:pPr>
              <w:jc w:val="right"/>
              <w:ind w:right="80"/>
              <w:spacing w:after="0"/>
              <w:rPr>
                <w:sz w:val="20"/>
                <w:szCs w:val="20"/>
                <w:color w:val="auto"/>
              </w:rPr>
            </w:pPr>
            <w:r>
              <w:rPr>
                <w:rFonts w:ascii="Arial" w:cs="Arial" w:eastAsia="Arial" w:hAnsi="Arial"/>
                <w:sz w:val="18"/>
                <w:szCs w:val="18"/>
                <w:color w:val="auto"/>
              </w:rPr>
              <w:t>57,550(9)</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nominees and executive officers as a group</w:t>
            </w:r>
          </w:p>
        </w:tc>
        <w:tc>
          <w:tcPr>
            <w:tcW w:w="2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1,863,167(10)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24.0%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-1403350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-1403350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-1403350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-1403350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-1403350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52" w:lineRule="exact"/>
        <w:rPr>
          <w:sz w:val="20"/>
          <w:szCs w:val="20"/>
          <w:color w:val="auto"/>
        </w:rPr>
      </w:pPr>
    </w:p>
    <w:p>
      <w:pPr>
        <w:ind w:left="540" w:right="200" w:hanging="532"/>
        <w:spacing w:after="0" w:line="306"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percentages are based upon 7,289,824 shares of Common Stock outstanding as of the Record Date, except for certain beneficial owners who hold stock options. The percentage for each beneficial owner holding presently exercisable stock options is based upon the sum of 7,289,824 shares plus the number of shares subject to presently exercisable stock options held only by such beneficial owner, as indicated in the following notes.</w:t>
      </w:r>
    </w:p>
    <w:p>
      <w:pPr>
        <w:spacing w:after="0" w:line="174"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35,000 shares of Common Stock which Mr. Hock has the right to acquire upon the exercise of outstanding options and 4,082 shares of Common Stock granted as incentive restricted shares under the Company's stock incentive plans that have not yet vested.</w:t>
      </w:r>
    </w:p>
    <w:p>
      <w:pPr>
        <w:spacing w:after="0" w:line="199" w:lineRule="exact"/>
        <w:rPr>
          <w:rFonts w:ascii="Arial" w:cs="Arial" w:eastAsia="Arial" w:hAnsi="Arial"/>
          <w:sz w:val="18"/>
          <w:szCs w:val="18"/>
          <w:color w:val="auto"/>
        </w:rPr>
      </w:pPr>
    </w:p>
    <w:p>
      <w:pPr>
        <w:ind w:left="540" w:right="500" w:hanging="532"/>
        <w:spacing w:after="0" w:line="332"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25,000 shares of Common Stock which Mr. Hubbard has the right to acquire upon the exercise of outstanding options and 5,749 shares of Common Stock granted as incentive restricted shares under the Company's stock incentive plans that have not yet vested.</w:t>
      </w:r>
    </w:p>
    <w:p>
      <w:pPr>
        <w:spacing w:after="0" w:line="166" w:lineRule="exact"/>
        <w:rPr>
          <w:rFonts w:ascii="Arial" w:cs="Arial" w:eastAsia="Arial" w:hAnsi="Arial"/>
          <w:sz w:val="16"/>
          <w:szCs w:val="16"/>
          <w:color w:val="auto"/>
        </w:rPr>
      </w:pPr>
    </w:p>
    <w:p>
      <w:pPr>
        <w:ind w:left="540" w:right="500" w:hanging="532"/>
        <w:spacing w:after="0" w:line="332"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35,000 shares of Common Stock which Mr. Pilmanis has the right to acquire upon the exercise of outstanding options and 4,082 shares of Common Stock granted as incentive restricted shares under the Company'sstock incentive plans that have not yet vested.</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18" w:name="page19"/>
    <w:bookmarkEnd w:id="18"/>
    <w:p>
      <w:pPr>
        <w:ind w:left="540" w:hanging="532"/>
        <w:spacing w:after="0" w:line="305" w:lineRule="auto"/>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Includes 40,000 shares of Common Stock which Mr. Robert has the right to acquire upon the exercise of outstanding options and 4,082 shares of Common Stock granted as incentive restricted shares under the Company's stock incentive plans that have not yet vested. Includes 158,157 shares held by</w:t>
      </w:r>
    </w:p>
    <w:p>
      <w:pPr>
        <w:ind w:left="540"/>
        <w:spacing w:after="0"/>
        <w:rPr>
          <w:rFonts w:ascii="Arial" w:cs="Arial" w:eastAsia="Arial" w:hAnsi="Arial"/>
          <w:sz w:val="15"/>
          <w:szCs w:val="15"/>
          <w:color w:val="auto"/>
        </w:rPr>
      </w:pPr>
      <w:r>
        <w:rPr>
          <w:rFonts w:ascii="Arial" w:cs="Arial" w:eastAsia="Arial" w:hAnsi="Arial"/>
          <w:sz w:val="18"/>
          <w:szCs w:val="18"/>
          <w:color w:val="auto"/>
        </w:rPr>
        <w:t>Mr. Robert's IRA. Includes 50,000 shares held by Mr. Robert's childrens' trusts, of which Mr. Robert's wife is a co-trustee.</w:t>
      </w:r>
    </w:p>
    <w:p>
      <w:pPr>
        <w:spacing w:after="0" w:line="245" w:lineRule="exact"/>
        <w:rPr>
          <w:rFonts w:ascii="Arial" w:cs="Arial" w:eastAsia="Arial" w:hAnsi="Arial"/>
          <w:sz w:val="15"/>
          <w:szCs w:val="15"/>
          <w:color w:val="auto"/>
        </w:rPr>
      </w:pPr>
    </w:p>
    <w:p>
      <w:pPr>
        <w:ind w:left="540" w:hanging="532"/>
        <w:spacing w:after="0"/>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4,500 shares of Common Stock granted as incentive restricted shares under the Company's stock incentive plans that have not yet vested.</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note (3) under "Security Ownership of Certain Beneficial Owners."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note (4) under "Security Ownership of Certain Beneficial Owners."</w:t>
      </w:r>
    </w:p>
    <w:p>
      <w:pPr>
        <w:spacing w:after="0" w:line="252" w:lineRule="exact"/>
        <w:rPr>
          <w:rFonts w:ascii="Arial" w:cs="Arial" w:eastAsia="Arial" w:hAnsi="Arial"/>
          <w:sz w:val="18"/>
          <w:szCs w:val="18"/>
          <w:color w:val="auto"/>
        </w:rPr>
      </w:pPr>
    </w:p>
    <w:p>
      <w:pPr>
        <w:jc w:val="both"/>
        <w:ind w:left="540" w:right="600" w:hanging="532"/>
        <w:spacing w:after="0" w:line="259"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50,000 shares of Common Stock which Mr. Wyman has the right to acquire upon the exercise of outstanding options and 2,666 shares of Common Stock granted as incentive restricted shares under the Company's stock incentive plans that have not yet vested. Includes 3,025 shares of Common Stock credited to the ESOP account of Mr. Wyman.</w:t>
      </w:r>
    </w:p>
    <w:p>
      <w:pPr>
        <w:spacing w:after="0" w:line="207" w:lineRule="exact"/>
        <w:rPr>
          <w:rFonts w:ascii="Arial" w:cs="Arial" w:eastAsia="Arial" w:hAnsi="Arial"/>
          <w:sz w:val="18"/>
          <w:szCs w:val="18"/>
          <w:color w:val="auto"/>
        </w:rPr>
      </w:pPr>
    </w:p>
    <w:p>
      <w:pPr>
        <w:ind w:left="540" w:hanging="532"/>
        <w:spacing w:after="0" w:line="294"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(i) 473,050 shares of Common Stock which directors and executive officers have the right to acquire upon the exercise of outstanding options; (ii) 111,161 shares of Common Stock granted to directors and executive officers as incentive restricted shares under the Company's stock incentive plans that have not yet vested; and (iii) 190,309 shares of Common Stock held by the ESOP as to which Mr. Smith has shared investment power as trustee of the ESOP, which includes 8,964 shares of Common Stock held by the ESOP for the account of Mr. Smith, 4,554 shares of Common Stock held by the ESOP for the account of Mr. Warzala and 3,025 shares of Common Stock held by the ESOP for the account of Mr. Wyman.</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2007, except that one director filed one Form 4 to report the exercise of options one day late and one director filed a Form 4 to report a restricted stock grant seven days late.</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TWO: RATIFICATION OF INDEPENDENT REGISTERED PUBLIC ACCOUNTING FIRM</w:t>
      </w:r>
    </w:p>
    <w:p>
      <w:pPr>
        <w:spacing w:after="0" w:line="23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Audit Committee of the Board of Directors has appointed Ehrhardt Keefe Steiner &amp; Hottman PC (EKS&amp;H) to act as auditors for the fiscal year ending December 31, 2008. EKS&amp;H has served as the independent registered public accounting firm for the Company for the fiscal years ended December 31, 2007 and 2006. A representative of EKS&amp;H is expected to be present at the Annual Meeting and will have an opportunity to make a statement, if he or she so desires, and will be available to respond to appropriate questions.</w:t>
      </w:r>
    </w:p>
    <w:p>
      <w:pPr>
        <w:spacing w:after="0" w:line="197"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At the Annual Meeting, the shareholders will be asked to ratify the selection of EKS&amp;H as the Company's 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9" w:name="page20"/>
    <w:bookmarkEnd w:id="19"/>
    <w:p>
      <w:pPr>
        <w:ind w:right="280" w:firstLine="348"/>
        <w:spacing w:after="0" w:line="306" w:lineRule="auto"/>
        <w:rPr>
          <w:sz w:val="20"/>
          <w:szCs w:val="20"/>
          <w:color w:val="auto"/>
        </w:rPr>
      </w:pPr>
      <w:r>
        <w:rPr>
          <w:rFonts w:ascii="Arial" w:cs="Arial" w:eastAsia="Arial" w:hAnsi="Arial"/>
          <w:sz w:val="16"/>
          <w:szCs w:val="16"/>
          <w:color w:val="auto"/>
        </w:rPr>
        <w:t>The affirmative vote of a majority of the votes cast on the proposal, assuming a quorum is present at the Meeting, is required to ratify the appointment of EKS&amp;H. The directors of the Company unanimously recommend a vote "FOR" the ratification of EKS&amp;H as the Company's independent registered public accounting firm for 2008. Unless otherwise instructed, proxies will be voted "FOR" ratification of the appointment of EKS&amp;H.</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fees paid by the Company for the audit and other services provided by EKS&amp;H for 2007 and 2006.</w:t>
      </w:r>
    </w:p>
    <w:p>
      <w:pPr>
        <w:spacing w:after="0" w:line="221" w:lineRule="exact"/>
        <w:rPr>
          <w:sz w:val="20"/>
          <w:szCs w:val="20"/>
          <w:color w:val="auto"/>
        </w:rPr>
      </w:pPr>
    </w:p>
    <w:tbl>
      <w:tblPr>
        <w:tblLayout w:type="fixed"/>
        <w:tblInd w:w="108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2006</w:t>
            </w:r>
          </w:p>
        </w:tc>
      </w:tr>
      <w:tr>
        <w:trPr>
          <w:trHeight w:val="105"/>
        </w:trPr>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105"/>
        </w:trPr>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16"/>
        </w:trPr>
        <w:tc>
          <w:tcPr>
            <w:tcW w:w="58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230,500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199,000</w:t>
            </w:r>
          </w:p>
        </w:tc>
      </w:tr>
      <w:tr>
        <w:trPr>
          <w:trHeight w:val="216"/>
        </w:trPr>
        <w:tc>
          <w:tcPr>
            <w:tcW w:w="5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38,250</w:t>
            </w:r>
          </w:p>
        </w:tc>
      </w:tr>
      <w:tr>
        <w:trPr>
          <w:trHeight w:val="216"/>
        </w:trPr>
        <w:tc>
          <w:tcPr>
            <w:tcW w:w="58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20,650</w:t>
            </w:r>
          </w:p>
        </w:tc>
      </w:tr>
      <w:tr>
        <w:trPr>
          <w:trHeight w:val="118"/>
        </w:trPr>
        <w:tc>
          <w:tcPr>
            <w:tcW w:w="5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r>
      <w:tr>
        <w:trPr>
          <w:trHeight w:val="319"/>
        </w:trPr>
        <w:tc>
          <w:tcPr>
            <w:tcW w:w="5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306,150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257,900</w:t>
            </w:r>
          </w:p>
        </w:tc>
      </w:tr>
      <w:tr>
        <w:trPr>
          <w:trHeight w:val="107"/>
        </w:trPr>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61"/>
        </w:trPr>
        <w:tc>
          <w:tcPr>
            <w:tcW w:w="5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5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r>
      <w:tr>
        <w:trPr>
          <w:trHeight w:val="331"/>
        </w:trPr>
        <w:tc>
          <w:tcPr>
            <w:tcW w:w="5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-1111885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-1111885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-1111885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-1111885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-546100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-546100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-546100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-546100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1620" w:right="420" w:hanging="532"/>
        <w:spacing w:after="0" w:line="259"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 fees include amounts related to professional services provided in connection with the audits of the Company's annual financial statements, reviews of the Company's quarterly financial statements and audit services provided in connection with other regulatory filings,</w:t>
      </w:r>
    </w:p>
    <w:p>
      <w:pPr>
        <w:spacing w:after="0" w:line="221" w:lineRule="exact"/>
        <w:rPr>
          <w:rFonts w:ascii="Arial" w:cs="Arial" w:eastAsia="Arial" w:hAnsi="Arial"/>
          <w:sz w:val="18"/>
          <w:szCs w:val="18"/>
          <w:color w:val="auto"/>
        </w:rPr>
      </w:pPr>
    </w:p>
    <w:p>
      <w:pPr>
        <w:ind w:left="1620" w:hanging="532"/>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Audit-related fees consist of benefit plan audits.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fees principally include fees for tax compliance and tax consulting.</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but the decision is subsequently reported to the full Audit Committee.</w:t>
      </w:r>
    </w:p>
    <w:p>
      <w:pPr>
        <w:spacing w:after="0" w:line="167"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Audit Committee has considered whether provision of the non-audit related services described above is compatible with maintaining the independent accountants' independence and has determined that those services have not adversely affected EKS&amp;H's independence.</w:t>
      </w:r>
    </w:p>
    <w:p>
      <w:pPr>
        <w:spacing w:after="0" w:line="139"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On May 17, 2006, the Audit Committee unanimously approved the dismissal of KPMG LLP ("KPMG") as the Company's independent registered public accounting firm and the action was ratified by the Company's Board of Directors.</w:t>
      </w:r>
    </w:p>
    <w:p>
      <w:pPr>
        <w:spacing w:after="0" w:line="18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audit reports of KPMG on the Company's financial statements for the fiscal years ended December 31, 2005 and 2004 did not contain an adverse opinion or a disclaimer of opinion and were not qualified or modified as to uncertainty, audit scope or accounting principles, except that the report on the Company's financial statements as of and for the year ended December 31, 2004 contained a separate paragraph referring to the adoption of Financial Accounting Standards No. 141 and 142, effective July 1, 2002. During the years ended December 31, 2005 and 2004 and through May 17, 2006, (i) there have been no disagreements with KPMG on any matter of accounting principles or practices, financial statement disclosure, or auditing scope or procedures, which disagreements, if not resolved to the satisfaction of KPMG, would have caused KPMG to make reference to the subject matter of the disagreement in connection with its reports on the Company's financial statements for such periods and (ii) there were no "reportable events" as that term is described in Item 304(a)(1)(v) of Regulation S-K.</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Our management does not know of any other matters to come before the 2008 Annual Meeting. However, if any other matters come before the Annual Meeting, it is the intention of the persons designated as proxies to vote in accordance with their judgment on such matters.</w:t>
      </w:r>
    </w:p>
    <w:p>
      <w:pPr>
        <w:spacing w:after="0" w:line="34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SHAREHOLDER PROPOSALS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FOR THE 2009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for the Company's Proxy Material</w:t>
      </w:r>
    </w:p>
    <w:p>
      <w:pPr>
        <w:spacing w:after="0" w:line="231"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Any Company shareholder who wishes to submit a proposal for presentation at the Company's 2009 Annual Meeting of Shareholders must submit such proposal to the Company at its office at 23 Inverness Way East, Suite 150, Englewood, Colorado 80112, Attention: Secretary, no later than November 21, 2008, in order to be considered for inclusion, if appropriate, in the Company's proxy statement and form of proxy relating to its 2009 Annual Meeting of Shareholders.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Introduced at the Annual Meeting but not Intended to be Included in the Company's Proxy Material</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For any shareholder proposal to be presented in connection with the 2009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199"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Based upon a meeting date of May 1, 2008 for the 2008 Annual Meeting of Shareholders, a qualified shareholder intending to introduce a proposal or nominate a director at the 2009 Annual Meeting of Shareholders should give written notice to the Company's Secretary not later than March 3, 2009 and not earlier than February 1, 2009.</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specific requirements of these advance notice and eligibility provisions are set forth in Article II of the Company's Bylaws, a copy of which is available upon request.</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Such requests and any shareholder proposals should be sent to the Secretary of the Company at 23 Inverness Way East, Suite 150, Englewood, Colorado 80112.</w:t>
      </w:r>
    </w:p>
    <w:p>
      <w:pPr>
        <w:spacing w:after="0" w:line="18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165735</wp:posOffset>
            </wp:positionV>
            <wp:extent cx="2418080" cy="3689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17, 2008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8"/>
          <w:szCs w:val="18"/>
          <w:b w:val="1"/>
          <w:bCs w:val="1"/>
          <w:color w:val="auto"/>
        </w:rPr>
        <w:t>ALLIED MOTION TECHNOLOGIES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23 Inverness Way East, Ste. 150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Englewood, CO 80112</w:t>
      </w:r>
    </w:p>
    <w:p>
      <w:pPr>
        <w:spacing w:after="0" w:line="219"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 undersigned hereby appoints Delwin D. Hock and Richard D. Smith, or either of them, proxies of the undersigned, each with the power of substitution, and hereby authorizes them to vote, as designated below, all the shares of common stock, no par value, of the undersigned at the annual meeting of shareholders of Allied Motion Technologies Inc. (the "Company") to be held on May 1, 2008, and at all adjournments thereof, with respect to the following:</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EACH NOMINEE NAMED AND</w:t>
      </w:r>
    </w:p>
    <w:p>
      <w:pPr>
        <w:spacing w:after="0" w:line="21" w:lineRule="exact"/>
        <w:rPr>
          <w:sz w:val="20"/>
          <w:szCs w:val="20"/>
          <w:color w:val="auto"/>
        </w:rPr>
      </w:pPr>
    </w:p>
    <w:p>
      <w:pPr>
        <w:ind w:left="2840" w:right="2740" w:firstLine="8"/>
        <w:spacing w:after="0" w:line="323"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RATIFICATION OF THE APPOINTMENT OF THE COMPANY'S INDEPENDENT REGISTERED PUBLIC ACCOUNTING FIRM FOR 2008</w:t>
      </w:r>
    </w:p>
    <w:p>
      <w:pPr>
        <w:spacing w:after="0" w:line="14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To elect seven directors to hold office until the next Annual Meeting of shareholders.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NOMINEES: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 D. Hock, G.D. Hubbard, G. J. Pilmanis, M.M. Robert,</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S.R. Heath, Jr., R.D. Smith, R.S. Warzala</w:t>
      </w:r>
    </w:p>
    <w:p>
      <w:pPr>
        <w:spacing w:after="0" w:line="226"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FOR ALL NOMINEES</w:t>
      </w:r>
    </w:p>
    <w:p>
      <w:pPr>
        <w:spacing w:after="0" w:line="252" w:lineRule="exact"/>
        <w:rPr>
          <w:rFonts w:ascii="Arial" w:cs="Arial" w:eastAsia="Arial" w:hAnsi="Arial"/>
          <w:sz w:val="18"/>
          <w:szCs w:val="18"/>
          <w:color w:val="auto"/>
        </w:rPr>
      </w:pPr>
    </w:p>
    <w:p>
      <w:pPr>
        <w:ind w:left="1080" w:right="8120" w:hanging="532"/>
        <w:spacing w:after="0" w:line="275"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WITHHOLD AUTHORITY </w:t>
      </w:r>
      <w:r>
        <w:rPr>
          <w:rFonts w:ascii="Arial" w:cs="Arial" w:eastAsia="Arial" w:hAnsi="Arial"/>
          <w:sz w:val="18"/>
          <w:szCs w:val="18"/>
          <w:color w:val="auto"/>
        </w:rPr>
        <w:t>for all nominees</w:t>
      </w:r>
    </w:p>
    <w:p>
      <w:pPr>
        <w:spacing w:after="0" w:line="187" w:lineRule="exact"/>
        <w:rPr>
          <w:rFonts w:ascii="Arial" w:cs="Arial" w:eastAsia="Arial" w:hAnsi="Arial"/>
          <w:sz w:val="18"/>
          <w:szCs w:val="18"/>
          <w:color w:val="auto"/>
        </w:rPr>
      </w:pPr>
    </w:p>
    <w:p>
      <w:pPr>
        <w:ind w:left="1080" w:right="8540" w:hanging="532"/>
        <w:spacing w:after="0" w:line="339"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FOR ALL EXCEPT </w:t>
      </w:r>
      <w:r>
        <w:rPr>
          <w:rFonts w:ascii="Arial" w:cs="Arial" w:eastAsia="Arial" w:hAnsi="Arial"/>
          <w:sz w:val="16"/>
          <w:szCs w:val="16"/>
          <w:color w:val="auto"/>
        </w:rPr>
        <w:t>(See instructions below)</w:t>
      </w:r>
    </w:p>
    <w:p>
      <w:pPr>
        <w:spacing w:after="0" w:line="128" w:lineRule="exact"/>
        <w:rPr>
          <w:sz w:val="20"/>
          <w:szCs w:val="20"/>
          <w:color w:val="auto"/>
        </w:rPr>
      </w:pPr>
    </w:p>
    <w:p>
      <w:pPr>
        <w:ind w:left="540" w:right="60"/>
        <w:spacing w:after="0" w:line="339" w:lineRule="auto"/>
        <w:rPr>
          <w:sz w:val="20"/>
          <w:szCs w:val="20"/>
          <w:color w:val="auto"/>
        </w:rPr>
      </w:pPr>
      <w:r>
        <w:rPr>
          <w:rFonts w:ascii="Arial" w:cs="Arial" w:eastAsia="Arial" w:hAnsi="Arial"/>
          <w:sz w:val="16"/>
          <w:szCs w:val="16"/>
          <w:color w:val="auto"/>
        </w:rPr>
        <w:t>INSTRUCTIONS: To withhold authority to vote for any individual nominee(s), mark "</w:t>
      </w:r>
      <w:r>
        <w:rPr>
          <w:rFonts w:ascii="Arial" w:cs="Arial" w:eastAsia="Arial" w:hAnsi="Arial"/>
          <w:sz w:val="16"/>
          <w:szCs w:val="16"/>
          <w:b w:val="1"/>
          <w:bCs w:val="1"/>
          <w:color w:val="auto"/>
        </w:rPr>
        <w:t>FOR ALL EXCEPT</w:t>
      </w:r>
      <w:r>
        <w:rPr>
          <w:rFonts w:ascii="Arial" w:cs="Arial" w:eastAsia="Arial" w:hAnsi="Arial"/>
          <w:sz w:val="16"/>
          <w:szCs w:val="16"/>
          <w:color w:val="auto"/>
        </w:rPr>
        <w:t xml:space="preserve">" and print that nominee's name in the space provided below. </w:t>
      </w:r>
      <w:r>
        <w:rPr>
          <w:rFonts w:ascii="Arial" w:cs="Arial" w:eastAsia="Arial" w:hAnsi="Arial"/>
          <w:sz w:val="16"/>
          <w:szCs w:val="16"/>
          <w:b w:val="1"/>
          <w:bCs w:val="1"/>
          <w:color w:val="auto"/>
        </w:rPr>
        <w:t>IF AUTHORITY TO VOTE FOR NOMINEES IS NOT EXPRESSLY WITHHELD, IT SHALL BE DEEMED GRANTED.</w:t>
      </w:r>
    </w:p>
    <w:p>
      <w:pPr>
        <w:spacing w:after="0" w:line="1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RATIFICATION OF THE APPOINTMENT OF THE COMPANY'S INDEPENDENT REGISTERED PUBLIC ACCOUNTING FIRM FOR 2008</w:t>
      </w:r>
    </w:p>
    <w:p>
      <w:pPr>
        <w:spacing w:after="0" w:line="225" w:lineRule="exact"/>
        <w:rPr>
          <w:sz w:val="20"/>
          <w:szCs w:val="20"/>
          <w:color w:val="auto"/>
        </w:rPr>
      </w:pPr>
    </w:p>
    <w:p>
      <w:pPr>
        <w:ind w:left="540"/>
        <w:spacing w:after="0"/>
        <w:tabs>
          <w:tab w:leader="none" w:pos="2800" w:val="left"/>
          <w:tab w:leader="none" w:pos="5480" w:val="left"/>
        </w:tabs>
        <w:rPr>
          <w:sz w:val="20"/>
          <w:szCs w:val="20"/>
          <w:color w:val="auto"/>
        </w:rPr>
      </w:pPr>
      <w:r>
        <w:rPr>
          <w:rFonts w:ascii="Arial" w:cs="Arial" w:eastAsia="Arial" w:hAnsi="Arial"/>
          <w:sz w:val="18"/>
          <w:szCs w:val="18"/>
          <w:color w:val="auto"/>
        </w:rPr>
        <w:t>o FOR</w:t>
      </w:r>
      <w:r>
        <w:rPr>
          <w:sz w:val="20"/>
          <w:szCs w:val="20"/>
          <w:color w:val="auto"/>
        </w:rPr>
        <w:tab/>
      </w:r>
      <w:r>
        <w:rPr>
          <w:rFonts w:ascii="Arial" w:cs="Arial" w:eastAsia="Arial" w:hAnsi="Arial"/>
          <w:sz w:val="18"/>
          <w:szCs w:val="18"/>
          <w:color w:val="auto"/>
        </w:rPr>
        <w:t>o AGAINST</w:t>
      </w:r>
      <w:r>
        <w:rPr>
          <w:sz w:val="20"/>
          <w:szCs w:val="20"/>
          <w:color w:val="auto"/>
        </w:rPr>
        <w:tab/>
      </w:r>
      <w:r>
        <w:rPr>
          <w:rFonts w:ascii="Arial" w:cs="Arial" w:eastAsia="Arial" w:hAnsi="Arial"/>
          <w:sz w:val="16"/>
          <w:szCs w:val="16"/>
          <w:color w:val="auto"/>
        </w:rPr>
        <w:t>o ABSTAIN</w:t>
      </w:r>
    </w:p>
    <w:p>
      <w:pPr>
        <w:spacing w:after="0" w:line="219"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FOR the approval of the ratification of the appointment of the Company's independent registered public accounting firm for 2008 in Item 2. In their discretion, the proxies are authorized to vote upon such other business as may properly come before the Annual Meeting.</w:t>
      </w:r>
    </w:p>
    <w:p>
      <w:pPr>
        <w:spacing w:after="0" w:line="163" w:lineRule="exact"/>
        <w:rPr>
          <w:sz w:val="20"/>
          <w:szCs w:val="20"/>
          <w:color w:val="auto"/>
        </w:rPr>
      </w:pPr>
    </w:p>
    <w:p>
      <w:pPr>
        <w:ind w:left="5500"/>
        <w:spacing w:after="0" w:line="259" w:lineRule="auto"/>
        <w:rPr>
          <w:sz w:val="20"/>
          <w:szCs w:val="20"/>
          <w:color w:val="auto"/>
        </w:rPr>
      </w:pPr>
      <w:r>
        <w:rPr>
          <w:rFonts w:ascii="Arial" w:cs="Arial" w:eastAsia="Arial" w:hAnsi="Arial"/>
          <w:sz w:val="18"/>
          <w:szCs w:val="18"/>
          <w:color w:val="auto"/>
        </w:rPr>
        <w:t>Your signature should appear exactly as your name appears on this Proxy. For joint accounts, all owners should sign. When signing in a fiduciary or representative capacity, please give your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212090</wp:posOffset>
            </wp:positionV>
            <wp:extent cx="376047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6047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77470</wp:posOffset>
            </wp:positionV>
            <wp:extent cx="310832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08325" cy="21590"/>
                    </a:xfrm>
                    <a:prstGeom prst="rect">
                      <a:avLst/>
                    </a:prstGeom>
                    <a:noFill/>
                  </pic:spPr>
                </pic:pic>
              </a:graphicData>
            </a:graphic>
          </wp:anchor>
        </w:drawing>
      </w:r>
    </w:p>
    <w:p>
      <w:pPr>
        <w:spacing w:after="0" w:line="232" w:lineRule="exact"/>
        <w:rPr>
          <w:sz w:val="20"/>
          <w:szCs w:val="20"/>
          <w:color w:val="auto"/>
        </w:rPr>
      </w:pPr>
    </w:p>
    <w:tbl>
      <w:tblPr>
        <w:tblLayout w:type="fixed"/>
        <w:tblInd w:w="5500" w:type="dxa"/>
        <w:tblCellMar>
          <w:top w:w="0" w:type="dxa"/>
          <w:left w:w="0" w:type="dxa"/>
          <w:bottom w:w="0" w:type="dxa"/>
          <w:right w:w="0" w:type="dxa"/>
        </w:tblCellMar>
      </w:tblP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 2008</w:t>
            </w:r>
          </w:p>
        </w:tc>
      </w:tr>
      <w:tr>
        <w:trPr>
          <w:trHeight w:val="120"/>
        </w:trPr>
        <w:tc>
          <w:tcPr>
            <w:tcW w:w="104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7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PLEASE SIGN AND RETURN THIS PROXY IN THE ENCLOSED POSTAGE PAID ENVELOPE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PROMPTLY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o"/>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o"/>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o"/>
      <w:numFmt w:val="bullet"/>
      <w:start w:val="1"/>
    </w:lvl>
    <w:lvl w:ilvl="1">
      <w:lvlJc w:val="left"/>
      <w:lvlText w:val="(%2)"/>
      <w:numFmt w:val="decimal"/>
      <w:start w:val="1"/>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3"/>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3"/>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5"/>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2019-12-11T12:55:27Z</dcterms:created>
  <dcterms:modified xsi:type="dcterms:W3CDTF">2019-12-11T12:55:27Z</dcterms:modified>
</cp:coreProperties>
</file>