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14A TEMPLATE--</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14A</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5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540"/>
        <w:spacing w:after="0"/>
        <w:rPr>
          <w:sz w:val="20"/>
          <w:szCs w:val="20"/>
          <w:color w:val="auto"/>
        </w:rPr>
      </w:pPr>
      <w:r>
        <w:rPr>
          <w:rFonts w:ascii="Courier New" w:cs="Courier New" w:eastAsia="Courier New" w:hAnsi="Courier New"/>
          <w:sz w:val="18"/>
          <w:szCs w:val="18"/>
          <w:color w:val="auto"/>
        </w:rPr>
        <w:t>RULE 14A-6(E)(2))</w:t>
      </w:r>
    </w:p>
    <w:p>
      <w:pPr>
        <w:spacing w:after="0" w:line="200"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 240.14a-11(c) or (S) 240.14a-12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Hathaway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(1) Amount Previously Paid:</w:t>
      </w:r>
    </w:p>
    <w:p>
      <w:pPr>
        <w:sectPr>
          <w:pgSz w:w="11900" w:h="16855" w:orient="portrait"/>
          <w:cols w:equalWidth="0" w:num="1">
            <w:col w:w="10219"/>
          </w:cols>
          <w:pgMar w:left="240" w:top="447"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 (S) 240.14a-101.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 1913 (3-99)</w:t>
      </w:r>
    </w:p>
    <w:p>
      <w:pPr>
        <w:sectPr>
          <w:pgSz w:w="11900" w:h="16838" w:orient="portrait"/>
          <w:cols w:equalWidth="0" w:num="1">
            <w:col w:w="10219"/>
          </w:cols>
          <w:pgMar w:left="240" w:top="344"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[LETTERHEAD OF HATHAWAY CORPORATION]</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September 21,1999</w:t>
      </w:r>
    </w:p>
    <w:p>
      <w:pPr>
        <w:spacing w:after="0" w:line="238" w:lineRule="auto"/>
        <w:rPr>
          <w:sz w:val="20"/>
          <w:szCs w:val="20"/>
          <w:color w:val="auto"/>
        </w:rPr>
      </w:pPr>
      <w:r>
        <w:rPr>
          <w:rFonts w:ascii="Courier New" w:cs="Courier New" w:eastAsia="Courier New" w:hAnsi="Courier New"/>
          <w:sz w:val="18"/>
          <w:szCs w:val="18"/>
          <w:color w:val="auto"/>
        </w:rPr>
        <w:t>Dear Shareholder:</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You are cordially invited to attend the Annual Meeting of Shareholders of Hathaway Corporation to be held on Thursday, October 28, 1999, commencing at 2:00 p.m. (Mountain Time) at the Lone Tree Country Club, 9808 Sunningdale Blvd., Littleton, Colorado. The Board of Directors and management look forward to personally greeting those shareholders able to attend the meeting.</w:t>
      </w:r>
    </w:p>
    <w:p>
      <w:pPr>
        <w:spacing w:after="0" w:line="185"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At the Annual Meeting you will be asked to consider and vote on the election of six directors to serve until the next annual meeting.</w:t>
      </w:r>
    </w:p>
    <w:p>
      <w:pPr>
        <w:spacing w:after="0" w:line="208"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Your Board of Directors unanimously recommends a vote FOR the election of directors nominated by the Board.</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Regardless of the number of shares you own and whether or not you plan to attend, it is important that your shares are represented and voted at the Meeting. Accordingly, you are requested to sign, date and mail the enclosed proxy at your earliest convenience.</w:t>
      </w:r>
    </w:p>
    <w:p>
      <w:pPr>
        <w:spacing w:after="0" w:line="207"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On behalf of the Board of Directors, thank you for your cooperation and support.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/s/ Richard D. Smith</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Richard D. Smith</w:t>
      </w:r>
    </w:p>
    <w:p>
      <w:pPr>
        <w:ind w:left="4220"/>
        <w:spacing w:after="0" w:line="237" w:lineRule="auto"/>
        <w:rPr>
          <w:sz w:val="20"/>
          <w:szCs w:val="20"/>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514" w:right="1440" w:bottom="1440" w:gutter="0" w:footer="0" w:header="0"/>
        </w:sectPr>
      </w:pPr>
    </w:p>
    <w:bookmarkStart w:id="3" w:name="page4"/>
    <w:bookmarkEnd w:id="3"/>
    <w:p>
      <w:pPr>
        <w:ind w:left="3060"/>
        <w:spacing w:after="0"/>
        <w:rPr>
          <w:sz w:val="20"/>
          <w:szCs w:val="20"/>
          <w:color w:val="auto"/>
        </w:rPr>
      </w:pPr>
      <w:r>
        <w:rPr>
          <w:rFonts w:ascii="Courier New" w:cs="Courier New" w:eastAsia="Courier New" w:hAnsi="Courier New"/>
          <w:sz w:val="18"/>
          <w:szCs w:val="18"/>
          <w:color w:val="auto"/>
        </w:rPr>
        <w:t>HATHAWAY CORPORATION</w:t>
      </w:r>
    </w:p>
    <w:p>
      <w:pPr>
        <w:ind w:left="2960"/>
        <w:spacing w:after="0" w:line="238" w:lineRule="auto"/>
        <w:rPr>
          <w:sz w:val="20"/>
          <w:szCs w:val="20"/>
          <w:color w:val="auto"/>
        </w:rPr>
      </w:pPr>
      <w:r>
        <w:rPr>
          <w:rFonts w:ascii="Courier New" w:cs="Courier New" w:eastAsia="Courier New" w:hAnsi="Courier New"/>
          <w:sz w:val="18"/>
          <w:szCs w:val="18"/>
          <w:color w:val="auto"/>
        </w:rPr>
        <w:t>8228 Park Meadows Drive</w:t>
      </w:r>
    </w:p>
    <w:p>
      <w:pPr>
        <w:ind w:left="2860"/>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NOTICE OF ANNUAL MEETING OF SHAREHOLDERS</w:t>
      </w:r>
    </w:p>
    <w:p>
      <w:pPr>
        <w:ind w:left="2740"/>
        <w:spacing w:after="0" w:line="238" w:lineRule="auto"/>
        <w:rPr>
          <w:sz w:val="20"/>
          <w:szCs w:val="20"/>
          <w:color w:val="auto"/>
        </w:rPr>
      </w:pPr>
      <w:r>
        <w:rPr>
          <w:rFonts w:ascii="Courier New" w:cs="Courier New" w:eastAsia="Courier New" w:hAnsi="Courier New"/>
          <w:sz w:val="18"/>
          <w:szCs w:val="18"/>
          <w:color w:val="auto"/>
        </w:rPr>
        <w:t>To Be Held October 28, 1999</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shareholders of</w:t>
      </w:r>
    </w:p>
    <w:p>
      <w:pPr>
        <w:spacing w:after="0" w:line="238" w:lineRule="auto"/>
        <w:rPr>
          <w:sz w:val="20"/>
          <w:szCs w:val="20"/>
          <w:color w:val="auto"/>
        </w:rPr>
      </w:pPr>
      <w:r>
        <w:rPr>
          <w:rFonts w:ascii="Courier New" w:cs="Courier New" w:eastAsia="Courier New" w:hAnsi="Courier New"/>
          <w:sz w:val="18"/>
          <w:szCs w:val="18"/>
          <w:color w:val="auto"/>
        </w:rPr>
        <w:t>Hathaway Corporation: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You are hereby notified that the annual meeting of shareholders (the Annual Meeting) of Hathaway Corporation, a Colorado corporation (the "Company"), will be held on October 28, 1999 at 2:00 p.m. (Mountain Time) at the Lone Tree Country Club, 9808 Sunningdale Blvd., Littleton, Colorado, for the following purposes:</w:t>
      </w:r>
    </w:p>
    <w:p>
      <w:pPr>
        <w:spacing w:after="0" w:line="209" w:lineRule="exact"/>
        <w:rPr>
          <w:sz w:val="20"/>
          <w:szCs w:val="20"/>
          <w:color w:val="auto"/>
        </w:rPr>
      </w:pPr>
    </w:p>
    <w:p>
      <w:pPr>
        <w:ind w:left="540" w:right="2199" w:hanging="321"/>
        <w:spacing w:after="0" w:line="236"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six persons to the Company's Board of Directors to serve until the next annual meeting of shareholders or until their successors are duly elected and have qualified;</w:t>
      </w:r>
    </w:p>
    <w:p>
      <w:pPr>
        <w:spacing w:after="0" w:line="208" w:lineRule="exact"/>
        <w:rPr>
          <w:rFonts w:ascii="Courier New" w:cs="Courier New" w:eastAsia="Courier New" w:hAnsi="Courier New"/>
          <w:sz w:val="18"/>
          <w:szCs w:val="18"/>
          <w:color w:val="auto"/>
        </w:rPr>
      </w:pPr>
    </w:p>
    <w:p>
      <w:pPr>
        <w:ind w:left="540" w:right="2319" w:hanging="321"/>
        <w:spacing w:after="0" w:line="290" w:lineRule="auto"/>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such other business as may properly be presented for action at the Annual Meeting or any adjournment thereof.</w:t>
      </w:r>
    </w:p>
    <w:p>
      <w:pPr>
        <w:spacing w:after="0" w:line="17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Board of Directors has fixed the close of business on September 9, 1999 as the record date (the "Record Date") for the Annual Meeting. Only shareholders of record at the close of business on the Record Date will be entitled to notice of and to vote at the Annual Meeting. The Company's transfer books will not be closed.</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209"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You may revoke your proxy by following the procedures set forth in the accompanying proxy statement. If you are unable to attend, your written proxy will assure that your vote is counted.</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Susan M. Chiarmonte</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ind w:left="4440"/>
        <w:spacing w:after="0"/>
        <w:rPr>
          <w:sz w:val="20"/>
          <w:szCs w:val="20"/>
          <w:color w:val="auto"/>
        </w:rPr>
      </w:pPr>
      <w:r>
        <w:rPr>
          <w:rFonts w:ascii="Courier New" w:cs="Courier New" w:eastAsia="Courier New" w:hAnsi="Courier New"/>
          <w:sz w:val="18"/>
          <w:szCs w:val="18"/>
          <w:color w:val="auto"/>
        </w:rPr>
        <w:t>Susan M. Chiarmonte</w:t>
      </w:r>
    </w:p>
    <w:p>
      <w:pPr>
        <w:ind w:left="4440"/>
        <w:spacing w:after="0" w:line="237"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Denver, Colorado</w:t>
      </w:r>
    </w:p>
    <w:p>
      <w:pPr>
        <w:spacing w:after="0" w:line="238" w:lineRule="auto"/>
        <w:rPr>
          <w:sz w:val="20"/>
          <w:szCs w:val="20"/>
          <w:color w:val="auto"/>
        </w:rPr>
      </w:pPr>
      <w:r>
        <w:rPr>
          <w:rFonts w:ascii="Courier New" w:cs="Courier New" w:eastAsia="Courier New" w:hAnsi="Courier New"/>
          <w:sz w:val="18"/>
          <w:szCs w:val="18"/>
          <w:color w:val="auto"/>
        </w:rPr>
        <w:t>September 21, 1999</w:t>
      </w:r>
    </w:p>
    <w:p>
      <w:pPr>
        <w:sectPr>
          <w:pgSz w:w="11900" w:h="16838" w:orient="portrait"/>
          <w:cols w:equalWidth="0" w:num="1">
            <w:col w:w="10219"/>
          </w:cols>
          <w:pgMar w:left="240" w:top="717" w:right="1440" w:bottom="1440" w:gutter="0" w:footer="0" w:header="0"/>
        </w:sectPr>
      </w:pPr>
    </w:p>
    <w:bookmarkStart w:id="4" w:name="page5"/>
    <w:bookmarkEnd w:id="4"/>
    <w:p>
      <w:pPr>
        <w:ind w:left="3060"/>
        <w:spacing w:after="0"/>
        <w:rPr>
          <w:sz w:val="20"/>
          <w:szCs w:val="20"/>
          <w:color w:val="auto"/>
        </w:rPr>
      </w:pPr>
      <w:r>
        <w:rPr>
          <w:rFonts w:ascii="Courier New" w:cs="Courier New" w:eastAsia="Courier New" w:hAnsi="Courier New"/>
          <w:sz w:val="18"/>
          <w:szCs w:val="18"/>
          <w:color w:val="auto"/>
        </w:rPr>
        <w:t>HATHAWAY CORPORATION</w:t>
      </w:r>
    </w:p>
    <w:p>
      <w:pPr>
        <w:ind w:left="2960"/>
        <w:spacing w:after="0" w:line="238" w:lineRule="auto"/>
        <w:rPr>
          <w:sz w:val="20"/>
          <w:szCs w:val="20"/>
          <w:color w:val="auto"/>
        </w:rPr>
      </w:pPr>
      <w:r>
        <w:rPr>
          <w:rFonts w:ascii="Courier New" w:cs="Courier New" w:eastAsia="Courier New" w:hAnsi="Courier New"/>
          <w:sz w:val="18"/>
          <w:szCs w:val="18"/>
          <w:color w:val="auto"/>
        </w:rPr>
        <w:t>8228 Park Meadows Drive</w:t>
      </w:r>
    </w:p>
    <w:p>
      <w:pPr>
        <w:ind w:left="2860"/>
        <w:spacing w:after="0"/>
        <w:rPr>
          <w:sz w:val="20"/>
          <w:szCs w:val="20"/>
          <w:color w:val="auto"/>
        </w:rPr>
      </w:pPr>
      <w:r>
        <w:rPr>
          <w:rFonts w:ascii="Courier New" w:cs="Courier New" w:eastAsia="Courier New" w:hAnsi="Courier New"/>
          <w:sz w:val="18"/>
          <w:szCs w:val="18"/>
          <w:color w:val="auto"/>
        </w:rPr>
        <w:t>Littleton, Colorado 80124</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proxy statement and the accompanying proxy card are being furnished to the holders of common stock, no par value ("Common Stock"), of Hathaway Corporation, a Colorado corporation (the "Company"), in connection with the solicitation of proxies by the Board of Directors of the Company to be voted at the annual meeting of shareholders (the "Annual Meeting") to be held on October 28, 1999 at 2:00 p.m. (Mountain Time) at the Lone Tree Country Club, 9808 Sunningdale Blvd., Littleton, Colorado, for the purposes set forth in the accompanying notice of annual meeting of shareholders. This proxy statement and the accompanying proxy card were first mailed to shareholders on or about September 23, 1999.</w:t>
      </w:r>
    </w:p>
    <w:p>
      <w:pPr>
        <w:spacing w:after="0" w:line="209"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QUORUM AND VOTING RIGHTS</w:t>
      </w:r>
    </w:p>
    <w:p>
      <w:pPr>
        <w:spacing w:after="0" w:line="207"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The record date for determination of shareholders entitled to notice of, and to vote at, the Annual Meeting is the close of business on September 9, 1999 (the Record Date). As of the close of business on the Record Date, there were 4,283,463 shares of Common Stock outstanding, each of which is entitled to one vote at the Annual Meeting.</w:t>
      </w:r>
    </w:p>
    <w:p>
      <w:pPr>
        <w:spacing w:after="0" w:line="209"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six nominees for director (Item 1), and in the discretion of the proxy holders on any other matter that may properly come before the Annual Meeting (Item 2). Any holder of Common Stock has the unconditional right to revoke his or her proxy at any time prior to the voting thereof at the Annual Meeting by filing with the Secretary of the Company written revocation of his or her proxy prior to the voting thereof, giving a duly executed proxy bearing a later date, or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209"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the Company may retain the services of D.F. King &amp; Co., Inc. to aid in the solicitation of proxies in person, by mail, telephone or telegram. If retained, the costs are not expected to exceed $6,500 plus expenses. The Company will request banking institutions, brokerage firms, custodians, trustees, nominees and fiduciaries to forward solicitation materials to the beneficial owners of Common Stock held of record by such entities, and the Company will, upon the request of such record holders, reimburse reasonable forwarding expenses. The costs of preparing, printing, assembling and mailing the proxy statement, proxy card and all materials used in the solicitation of proxies to shareholders of the Company, and all clerical and other expenses of such solicitation, will be borne by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8"/>
          <w:szCs w:val="18"/>
          <w:color w:val="auto"/>
        </w:rPr>
        <w:t>ITEM 1: ELECTION OF DIRECTORS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Company's articles of incorporation and bylaws provide for a board consisting of not less than three and not more than six persons, as such number is determined by the Board of Directors. The board has determined that the board will consist of six directors, all of whom will be elected annually to serve until the next annual meeting of shareholders and until their successors are elected and qualified, or until the director resigns or is otherwise removed.</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six nominees named below. All nominees have agreed to serve if elected.</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MANAGEMENT RECOMMENDS A VOTE "FOR" EACH NOMINEE NAMED.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Nominees</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The following information concerning the nominees for election as directors has been provided by the respective nominee: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480" w:type="dxa"/>
            <w:vAlign w:val="bottom"/>
          </w:tcPr>
          <w:p>
            <w:pPr>
              <w:ind w:left="960"/>
              <w:spacing w:after="0"/>
              <w:rPr>
                <w:sz w:val="20"/>
                <w:szCs w:val="20"/>
                <w:color w:val="auto"/>
              </w:rPr>
            </w:pPr>
            <w:r>
              <w:rPr>
                <w:rFonts w:ascii="Courier New" w:cs="Courier New" w:eastAsia="Courier New" w:hAnsi="Courier New"/>
                <w:sz w:val="18"/>
                <w:szCs w:val="18"/>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Age</w:t>
            </w:r>
          </w:p>
        </w:tc>
        <w:tc>
          <w:tcPr>
            <w:tcW w:w="4900" w:type="dxa"/>
            <w:vAlign w:val="bottom"/>
          </w:tcPr>
          <w:p>
            <w:pPr>
              <w:ind w:left="1220"/>
              <w:spacing w:after="0"/>
              <w:rPr>
                <w:sz w:val="20"/>
                <w:szCs w:val="20"/>
                <w:color w:val="auto"/>
              </w:rPr>
            </w:pPr>
            <w:r>
              <w:rPr>
                <w:rFonts w:ascii="Courier New" w:cs="Courier New" w:eastAsia="Courier New" w:hAnsi="Courier New"/>
                <w:sz w:val="18"/>
                <w:szCs w:val="18"/>
                <w:color w:val="auto"/>
              </w:rPr>
              <w:t>Position with the Company</w:t>
            </w:r>
          </w:p>
        </w:tc>
      </w:tr>
      <w:tr>
        <w:trPr>
          <w:trHeight w:val="203"/>
        </w:trPr>
        <w:tc>
          <w:tcPr>
            <w:tcW w:w="24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Eugene E. Prince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67</w:t>
            </w:r>
          </w:p>
        </w:tc>
        <w:tc>
          <w:tcPr>
            <w:tcW w:w="4900" w:type="dxa"/>
            <w:vAlign w:val="bottom"/>
          </w:tcPr>
          <w:p>
            <w:pPr>
              <w:ind w:left="60"/>
              <w:spacing w:after="0"/>
              <w:rPr>
                <w:sz w:val="20"/>
                <w:szCs w:val="20"/>
                <w:color w:val="auto"/>
              </w:rPr>
            </w:pPr>
            <w:r>
              <w:rPr>
                <w:rFonts w:ascii="Courier New" w:cs="Courier New" w:eastAsia="Courier New" w:hAnsi="Courier New"/>
                <w:sz w:val="18"/>
                <w:szCs w:val="18"/>
                <w:color w:val="auto"/>
              </w:rPr>
              <w:t>Chairman of the Board of Directors</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Richard D. Smith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President, Chief Executive Officer, Treasurer,</w:t>
            </w:r>
          </w:p>
        </w:tc>
      </w:tr>
      <w:tr>
        <w:trPr>
          <w:trHeight w:val="203"/>
        </w:trPr>
        <w:tc>
          <w:tcPr>
            <w:tcW w:w="2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Chief Financial Officer and Director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Chester H. Clarridge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Delwin D. Hock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Graydon D. Hubbard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George J. Pilmanis.....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c>
          <w:tcPr>
            <w:tcW w:w="4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bl>
    <w:p>
      <w:pPr>
        <w:spacing w:after="0" w:line="200" w:lineRule="exact"/>
        <w:rPr>
          <w:sz w:val="20"/>
          <w:szCs w:val="20"/>
          <w:color w:val="auto"/>
        </w:rPr>
      </w:pPr>
    </w:p>
    <w:p>
      <w:pPr>
        <w:spacing w:after="0" w:line="209"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Mr. Prince has served as a director of the Company since October 1975 and as Chairman of the Board of Directors since January 1981. He served as President of the Company from October 1975 and as Chief Executive Officer from September 1976 until his resignation from those offices on August 13, 1998. He retired from his employment with the Company effective August 31, 1998 but continues as a paid consultant effective September 1, 1998.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89"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Mr. Smith was appointed President and Chief Executive Officer of the Company on August 13, 1998. He was Executive Vice President from August 1993 until August 1998. Mr. Smith served as Vice-President of Finance from June</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1983 to August 1993. He has served as Treasurer and as Chief Financial Officer since June 1983. From January 1990 until October 1996, Mr. Smith was the Company's Secretary. He has served as a director since August 1996. Pursuant to Mr. Smith's employment agreement, as long as he is President and Chief Executive Officer of the Company and is willing to serve, the Board of Directors will nominate him for election to the Board.</w:t>
      </w:r>
    </w:p>
    <w:p>
      <w:pPr>
        <w:spacing w:after="0" w:line="210" w:lineRule="exact"/>
        <w:rPr>
          <w:sz w:val="20"/>
          <w:szCs w:val="20"/>
          <w:color w:val="auto"/>
        </w:rPr>
      </w:pPr>
    </w:p>
    <w:p>
      <w:pPr>
        <w:jc w:val="both"/>
        <w:ind w:right="2319" w:firstLine="316"/>
        <w:spacing w:after="0" w:line="236" w:lineRule="auto"/>
        <w:rPr>
          <w:sz w:val="20"/>
          <w:szCs w:val="20"/>
          <w:color w:val="auto"/>
        </w:rPr>
      </w:pPr>
      <w:r>
        <w:rPr>
          <w:rFonts w:ascii="Courier New" w:cs="Courier New" w:eastAsia="Courier New" w:hAnsi="Courier New"/>
          <w:sz w:val="18"/>
          <w:szCs w:val="18"/>
          <w:color w:val="auto"/>
        </w:rPr>
        <w:t>Mr. Clarridge has served as a director of the Company since 1989. He has been a private consultant in the instrumentation and control industry since 1978.</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767" w:gutter="0" w:footer="0" w:header="0"/>
        </w:sectPr>
      </w:pPr>
    </w:p>
    <w:bookmarkStart w:id="6" w:name="page7"/>
    <w:bookmarkEnd w:id="6"/>
    <w:p>
      <w:pPr>
        <w:ind w:right="1999" w:firstLine="316"/>
        <w:spacing w:after="0" w:line="237" w:lineRule="auto"/>
        <w:rPr>
          <w:sz w:val="20"/>
          <w:szCs w:val="20"/>
          <w:color w:val="auto"/>
        </w:rPr>
      </w:pPr>
      <w:r>
        <w:rPr>
          <w:rFonts w:ascii="Courier New" w:cs="Courier New" w:eastAsia="Courier New" w:hAnsi="Courier New"/>
          <w:sz w:val="18"/>
          <w:szCs w:val="18"/>
          <w:color w:val="auto"/>
        </w:rPr>
        <w:t>Mr. Hock has served as a director of the Company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Rocky Mountain Internet Inc., and on six separate entities overseeing the operation of 34 funds in the American Century Investors fund complex.</w:t>
      </w:r>
    </w:p>
    <w:p>
      <w:pPr>
        <w:spacing w:after="0" w:line="21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Mr. Hubbard has served as a director of the Company since 1991. He is a retired certified public accountant and was a partner of Arthur Andersen LLP, the Company's independent public accountants, in its Denver office for more than five years prior to his retirement in November 1989. Mr. Hubbard is also an author.</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Mr. Pilmanis has served as a director of the Company since 1993. He is chairman and president of Balriga International Corp., a privately held company concerned with business development in the Far East and Eastern Europe. From April 1989 to June 1994 he was president, CEO and a director of Novatank Corp, a privately held company which manufactures fiberglass storage tanks. In October 1994 Novatank Corp, which was then in voluntary liquidation, filed for bankruptcy under Federal bankruptcy laws.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Committees of the Board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Board of Directors held four regular meetings and three telephone (special) meetings during the fiscal year ended June 30, 1999. Each director attended or participated in 75% or more of the total number of meetings of the board held during the period for which he has been a director and all committees of the board on which such director served.</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1999 were Messrs. Clarridge (Chairman) and Hubbard. The Audit Committee held one meeting during the fiscal year ended June 30, 1999.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216"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principal responsibility of the Compensation Committee is to make recommendations to the Board of Directors concerning the compensation of the Company's management employees including its executive officer. The members of the Compensation Committee are Messrs. Pilmanis (Chairman) and Hock. The Compensation Committee held one meeting during the fiscal year ended June 30, 1999.</w:t>
      </w: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EXECUTIVE OFFICER</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Set forth below is information regarding the Executive Officer of the Company.</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Name</w:t>
      </w:r>
    </w:p>
    <w:p>
      <w:pPr>
        <w:spacing w:after="0" w:line="21"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the Company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440" w:space="720"/>
            <w:col w:w="760" w:space="720"/>
            <w:col w:w="5579"/>
          </w:cols>
          <w:pgMar w:left="240" w:top="723" w:right="1440" w:bottom="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Richard D. Smith..........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 President, Chief Executive Officer, Treasurer,</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Chief Financial Officer and Director</w:t>
      </w:r>
    </w:p>
    <w:p>
      <w:pPr>
        <w:spacing w:after="0" w:line="200" w:lineRule="exact"/>
        <w:rPr>
          <w:sz w:val="20"/>
          <w:szCs w:val="20"/>
          <w:color w:val="auto"/>
        </w:rPr>
      </w:pPr>
    </w:p>
    <w:p>
      <w:pPr>
        <w:sectPr>
          <w:pgSz w:w="11900" w:h="16838" w:orient="portrait"/>
          <w:cols w:equalWidth="0" w:num="2">
            <w:col w:w="3060" w:space="220"/>
            <w:col w:w="6939"/>
          </w:cols>
          <w:pgMar w:left="240" w:top="723" w:right="1440" w:bottom="0" w:gutter="0" w:footer="0" w:header="0"/>
          <w:type w:val="continuous"/>
        </w:sect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Information with respect to employment experience is provided above.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Indebtedness of Management</w:t>
      </w:r>
    </w:p>
    <w:p>
      <w:pPr>
        <w:spacing w:after="0" w:line="207" w:lineRule="exact"/>
        <w:rPr>
          <w:sz w:val="20"/>
          <w:szCs w:val="20"/>
          <w:color w:val="auto"/>
        </w:rPr>
      </w:pPr>
    </w:p>
    <w:p>
      <w:pPr>
        <w:ind w:right="2099" w:firstLine="316"/>
        <w:spacing w:after="0" w:line="270" w:lineRule="auto"/>
        <w:rPr>
          <w:sz w:val="20"/>
          <w:szCs w:val="20"/>
          <w:color w:val="auto"/>
        </w:rPr>
      </w:pPr>
      <w:r>
        <w:rPr>
          <w:rFonts w:ascii="Courier New" w:cs="Courier New" w:eastAsia="Courier New" w:hAnsi="Courier New"/>
          <w:sz w:val="16"/>
          <w:szCs w:val="16"/>
          <w:color w:val="auto"/>
        </w:rPr>
        <w:t>The Company encourages officers and directors to own shares in the Company and has lent money to officers and directors for the purpose of purchasing shares. During fiscal year 1999, Richard D. Smith, Director, President, CEO, Treasurer and CFO had an outstanding loan in the principal amount of $133,652 which he obtained for the purpose of exercising stock options. Interest is payable at the applicable treasury rate which was 5.48% per annum during the first six months and 4.52 % per annum during the last six months. The largest aggregate amount of indebtedness, including accrued interest outstanding during fiscal year 1999 was $141,172. The amount outstanding, including accrued interest, as of September 9, 1999, was $ 138,057. Mr. Smith paid accrued interest of $7,521 on December 31, 1998. The difference between interest paid by Mr. Smith and interest at a fair market value rate is considered compensation to Mr. Smith. The loan is due October 31, 2001.</w:t>
      </w:r>
    </w:p>
    <w:p>
      <w:pPr>
        <w:spacing w:after="0" w:line="38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following table and notes set forth, as of the Record Date (except for Mr. Albert for whom information is provided as of August 20, 1998), the beneficial ownership, as defined by the regulations of the Securities and Exchange Commission, of Common Stock by each person known to the Company to be the beneficial owner of more than 5% of the outstanding shares of Common Stock (based on the records of the Company's stock transfer agent or a representation by the beneficial owner), each director and nominee, the executive officer and all persons who serve as executive officers and directors of the Company, as a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Name and Address of Beneficial</w:t>
            </w:r>
          </w:p>
        </w:tc>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Amount and Nature of</w:t>
            </w:r>
          </w:p>
        </w:tc>
        <w:tc>
          <w:tcPr>
            <w:tcW w:w="2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Owner</w:t>
            </w:r>
          </w:p>
        </w:tc>
        <w:tc>
          <w:tcPr>
            <w:tcW w:w="49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Beneficial Ownership (1) Percent of Class (2)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29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976,285(3)</w:t>
            </w:r>
          </w:p>
        </w:tc>
        <w:tc>
          <w:tcPr>
            <w:tcW w:w="200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22.4%</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7560 Panorama Drive</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Boulder, Colorado 80303</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Ira Albert......................</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508,700(4)</w:t>
            </w:r>
          </w:p>
        </w:tc>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11.9%</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1304 SW 160th Avenue, Suite 209</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Ft. Lauderdale, FL 33326</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D. Smith ...............</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450,795(5)</w:t>
            </w:r>
          </w:p>
        </w:tc>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9.9%</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8228 Park Meadows Drive</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Littleton, Colorado 80124</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Chester H. Clarridge............</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185,458(6)</w:t>
            </w:r>
          </w:p>
        </w:tc>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Graydon D. Hubbard..............</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16,500(7)</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J. Pilmanis..............</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17,500(8)</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Delwin D. Hock..................</w:t>
            </w:r>
          </w:p>
        </w:tc>
        <w:tc>
          <w:tcPr>
            <w:tcW w:w="29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19,000(9)</w:t>
            </w:r>
          </w:p>
        </w:tc>
        <w:tc>
          <w:tcPr>
            <w:tcW w:w="200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Directors and executive officers</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w:t>
            </w:r>
          </w:p>
        </w:tc>
        <w:tc>
          <w:tcPr>
            <w:tcW w:w="29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as a group (6 persons)..</w:t>
            </w:r>
          </w:p>
        </w:tc>
        <w:tc>
          <w:tcPr>
            <w:tcW w:w="2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1,558,226(10)</w:t>
            </w:r>
          </w:p>
        </w:tc>
        <w:tc>
          <w:tcPr>
            <w:tcW w:w="200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33.4%</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beneficial ownership is sole and direct unless otherwise noted.</w:t>
      </w:r>
    </w:p>
    <w:p>
      <w:pPr>
        <w:ind w:left="420" w:hanging="412"/>
        <w:spacing w:after="0" w:line="238"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percent of class is shown for holdings of less than 1%.</w:t>
      </w:r>
    </w:p>
    <w:p>
      <w:pPr>
        <w:spacing w:after="0" w:line="4" w:lineRule="exact"/>
        <w:rPr>
          <w:rFonts w:ascii="Courier New" w:cs="Courier New" w:eastAsia="Courier New" w:hAnsi="Courier New"/>
          <w:sz w:val="18"/>
          <w:szCs w:val="18"/>
          <w:color w:val="auto"/>
        </w:rPr>
      </w:pPr>
    </w:p>
    <w:p>
      <w:pPr>
        <w:ind w:left="420" w:right="219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71,500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6" w:lineRule="exact"/>
        <w:rPr>
          <w:rFonts w:ascii="Courier New" w:cs="Courier New" w:eastAsia="Courier New" w:hAnsi="Courier New"/>
          <w:sz w:val="18"/>
          <w:szCs w:val="18"/>
          <w:color w:val="auto"/>
        </w:rPr>
      </w:pPr>
    </w:p>
    <w:p>
      <w:pPr>
        <w:ind w:left="420" w:right="199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Schedule 13D filed by Mr. Albert with the Securities and Exchange Commission on or about August 20, 1998; includes 238,000 shares of Common Stock, held by Albert Investment Associates, L.P., as to which Mr. Albert has sole voting and dispositive power; includes 238,200 shares of Common Stock held by various accounts as to which Mr. Albert has discretionary authority.</w:t>
      </w:r>
    </w:p>
    <w:p>
      <w:pPr>
        <w:spacing w:after="0" w:line="7" w:lineRule="exact"/>
        <w:rPr>
          <w:rFonts w:ascii="Courier New" w:cs="Courier New" w:eastAsia="Courier New" w:hAnsi="Courier New"/>
          <w:sz w:val="18"/>
          <w:szCs w:val="18"/>
          <w:color w:val="auto"/>
        </w:rPr>
      </w:pPr>
    </w:p>
    <w:p>
      <w:pPr>
        <w:ind w:left="420" w:right="2199" w:hanging="412"/>
        <w:spacing w:after="0" w:line="237" w:lineRule="auto"/>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250,000 shares of Common Stock which Mr. Smith has the right to acquire within 60 days of the Record Date upon exercise of outstanding options and 107,312 shares of Common Stock held by the ESOP as of the Record Date, as to which Mr. Smith could be deemed to have shared investment power as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970" w:gutter="0" w:footer="0" w:header="0"/>
        </w:sectPr>
      </w:pPr>
    </w:p>
    <w:bookmarkStart w:id="8" w:name="page9"/>
    <w:bookmarkEnd w:id="8"/>
    <w:p>
      <w:pPr>
        <w:ind w:left="420" w:right="1879"/>
        <w:spacing w:after="0" w:line="236" w:lineRule="auto"/>
        <w:rPr>
          <w:sz w:val="20"/>
          <w:szCs w:val="20"/>
          <w:color w:val="auto"/>
        </w:rPr>
      </w:pPr>
      <w:r>
        <w:rPr>
          <w:rFonts w:ascii="Courier New" w:cs="Courier New" w:eastAsia="Courier New" w:hAnsi="Courier New"/>
          <w:sz w:val="18"/>
          <w:szCs w:val="18"/>
          <w:color w:val="auto"/>
        </w:rPr>
        <w:t>a trustee of the ESOP, which includes 4,111 shares of Common Stock credited to the ESOP account of Mr. Smith. Includes 92,583 shares of Common Stock held by Smith Family Trust, of which Mr. Smith is trustee.</w:t>
      </w:r>
    </w:p>
    <w:p>
      <w:pPr>
        <w:spacing w:after="0" w:line="6" w:lineRule="exact"/>
        <w:rPr>
          <w:sz w:val="20"/>
          <w:szCs w:val="20"/>
          <w:color w:val="auto"/>
        </w:rPr>
      </w:pPr>
    </w:p>
    <w:p>
      <w:pPr>
        <w:ind w:left="420" w:right="2099" w:hanging="412"/>
        <w:spacing w:after="0" w:line="237"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32,500 shares of Common Stock which Mr. Clarridge has the right to acquire within 60 days of the Record Date upon exercise of outstanding options. Includes 17,212 shares of Common Stock owned by a trust of which Mr. Clarridge's wife is trustee, as to which Mr. Clarridge disclaims beneficial ownership. Includes 135,746 shares of common stock held by a trust as to which Mr. Clarridge shares voting and investment powers as a trustee.</w:t>
      </w:r>
    </w:p>
    <w:p>
      <w:pPr>
        <w:spacing w:after="0" w:line="8" w:lineRule="exact"/>
        <w:rPr>
          <w:rFonts w:ascii="Courier New" w:cs="Courier New" w:eastAsia="Courier New" w:hAnsi="Courier New"/>
          <w:sz w:val="18"/>
          <w:szCs w:val="18"/>
          <w:color w:val="auto"/>
        </w:rPr>
      </w:pPr>
    </w:p>
    <w:p>
      <w:pPr>
        <w:ind w:left="420" w:right="2199" w:hanging="412"/>
        <w:spacing w:after="0" w:line="268" w:lineRule="auto"/>
        <w:tabs>
          <w:tab w:leader="none" w:pos="4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 shares of Common Stock which Mr. Hubbard has the right to acquire within 60 days of the Record Date upon exercise of outstanding options. Includes 5,000 shares of Common Stock held by Hubbard Family Partnership as to which Mr. Hubbard is managing general partner.</w:t>
      </w:r>
    </w:p>
    <w:p>
      <w:pPr>
        <w:ind w:left="420" w:right="199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17,500 shares of Common Stock which Mr. Pilmanis has the right to acquire within 60 days of the Record Date upon exercise of outstanding options.</w:t>
      </w:r>
    </w:p>
    <w:p>
      <w:pPr>
        <w:spacing w:after="0" w:line="6" w:lineRule="exact"/>
        <w:rPr>
          <w:rFonts w:ascii="Courier New" w:cs="Courier New" w:eastAsia="Courier New" w:hAnsi="Courier New"/>
          <w:sz w:val="18"/>
          <w:szCs w:val="18"/>
          <w:color w:val="auto"/>
        </w:rPr>
      </w:pPr>
    </w:p>
    <w:p>
      <w:pPr>
        <w:jc w:val="both"/>
        <w:ind w:left="420" w:right="2419" w:hanging="412"/>
        <w:spacing w:after="0" w:line="236" w:lineRule="auto"/>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13,000 shares of Common Stock which Mr. Hock has the right to acquire within 60 days of the Record Date upon exercise of outstanding options.</w:t>
      </w:r>
    </w:p>
    <w:p>
      <w:pPr>
        <w:spacing w:after="0" w:line="6" w:lineRule="exact"/>
        <w:rPr>
          <w:sz w:val="20"/>
          <w:szCs w:val="20"/>
          <w:color w:val="auto"/>
        </w:rPr>
      </w:pPr>
    </w:p>
    <w:p>
      <w:pPr>
        <w:ind w:left="420" w:right="2099" w:hanging="420"/>
        <w:spacing w:after="0" w:line="237" w:lineRule="auto"/>
        <w:rPr>
          <w:sz w:val="20"/>
          <w:szCs w:val="20"/>
          <w:color w:val="auto"/>
        </w:rPr>
      </w:pPr>
      <w:r>
        <w:rPr>
          <w:rFonts w:ascii="Courier New" w:cs="Courier New" w:eastAsia="Courier New" w:hAnsi="Courier New"/>
          <w:sz w:val="18"/>
          <w:szCs w:val="18"/>
          <w:color w:val="auto"/>
        </w:rPr>
        <w:t>(10)Includes 388,500 shares of Common Stock which directors and executive officers have the right to acquire within 60 days of the Record Date upon exercise of outstanding options and 107,312 shares of Common Stock held by the ESOP as to which Mr. Smith has shared investment power as trustee of the ESOP, which includes 4,111 shares of Common Stock held by the ESOP for the account of Mr. Smith.</w:t>
      </w: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Board of Directors holds four regular full day meetings each year. Non-employee directors are compensated at the rate of $3,300 per full day meeting of the board, $1,000 for each additional one-half day meeting, $450 per hour for a telephone meeting, $1,000 per committee meeting, and $1,000 per half day for official travel to locations outside the Denver area.</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Board members are compensated at the rate of $250 per hour ($225 per hour through August 1998) for the time spent consulting with the Company at the request of the Board of Directors or the President, preparing minutes of the Audit or Compensation Committees and on special assignment of such committees. During the 1999 fiscal year, Mr. Clarridge and Mr. Hubbard each received $225 for preparation of Committee Minutes and Mr. Hubbard received $1,463 for consulting.</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Company entered into a Consulting Agreement with Mr. Prince effective after his retirement from employment on August 31, 1998. Under the Agreement, Mr. Prince will provide consulting services to the Company primarily on matters involving the Company's motion control products, but also on other matters as requested by the President. He will be compensated at the rate of $250 per hour. During fiscal 1999, Mr. Prince was paid $137,750 for consulting services.</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Mr. Clarridge provides consulting services for the Company primarily</w:t>
      </w:r>
    </w:p>
    <w:p>
      <w:pPr>
        <w:spacing w:after="0" w:line="238" w:lineRule="auto"/>
        <w:rPr>
          <w:sz w:val="20"/>
          <w:szCs w:val="20"/>
          <w:color w:val="auto"/>
        </w:rPr>
      </w:pPr>
      <w:r>
        <w:rPr>
          <w:rFonts w:ascii="Courier New" w:cs="Courier New" w:eastAsia="Courier New" w:hAnsi="Courier New"/>
          <w:sz w:val="18"/>
          <w:szCs w:val="18"/>
          <w:color w:val="auto"/>
        </w:rPr>
        <w:t>focusing on the acquisition of products and/or companies in the process</w:t>
      </w:r>
    </w:p>
    <w:p>
      <w:pPr>
        <w:spacing w:after="0"/>
        <w:rPr>
          <w:sz w:val="20"/>
          <w:szCs w:val="20"/>
          <w:color w:val="auto"/>
        </w:rPr>
      </w:pPr>
      <w:r>
        <w:rPr>
          <w:rFonts w:ascii="Courier New" w:cs="Courier New" w:eastAsia="Courier New" w:hAnsi="Courier New"/>
          <w:sz w:val="18"/>
          <w:szCs w:val="18"/>
          <w:color w:val="auto"/>
        </w:rPr>
        <w:t>instrumentation area. Mr. Clarridge's consulting involvement will be phased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 over the next year. As an incentive for his consulting services for fiscal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1998, 1999 and 2000 , Mr. Clarridge was granted an option on February 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1997 to purchase 36,000 shares at fair market value on the date of grant</w:t>
      </w:r>
    </w:p>
    <w:p>
      <w:pPr>
        <w:spacing w:after="0" w:line="238" w:lineRule="auto"/>
        <w:rPr>
          <w:sz w:val="20"/>
          <w:szCs w:val="20"/>
          <w:color w:val="auto"/>
        </w:rPr>
      </w:pPr>
      <w:r>
        <w:rPr>
          <w:rFonts w:ascii="Courier New" w:cs="Courier New" w:eastAsia="Courier New" w:hAnsi="Courier New"/>
          <w:sz w:val="18"/>
          <w:szCs w:val="18"/>
          <w:color w:val="auto"/>
        </w:rPr>
        <w:t>($4.3125) of the Company's Common Stock exercisable over three years at one-</w:t>
      </w:r>
    </w:p>
    <w:p>
      <w:pPr>
        <w:spacing w:after="0"/>
        <w:rPr>
          <w:sz w:val="20"/>
          <w:szCs w:val="20"/>
          <w:color w:val="auto"/>
        </w:rPr>
      </w:pPr>
      <w:r>
        <w:rPr>
          <w:rFonts w:ascii="Courier New" w:cs="Courier New" w:eastAsia="Courier New" w:hAnsi="Courier New"/>
          <w:sz w:val="18"/>
          <w:szCs w:val="18"/>
          <w:color w:val="auto"/>
        </w:rPr>
        <w:t>third each year starting one year from the date of grant with an expiration</w:t>
      </w:r>
    </w:p>
    <w:p>
      <w:pPr>
        <w:spacing w:after="0" w:line="237" w:lineRule="auto"/>
        <w:rPr>
          <w:sz w:val="20"/>
          <w:szCs w:val="20"/>
          <w:color w:val="auto"/>
        </w:rPr>
      </w:pPr>
      <w:r>
        <w:rPr>
          <w:rFonts w:ascii="Courier New" w:cs="Courier New" w:eastAsia="Courier New" w:hAnsi="Courier New"/>
          <w:sz w:val="18"/>
          <w:szCs w:val="18"/>
          <w:color w:val="auto"/>
        </w:rPr>
        <w:t>date of thirty-nine months from the date of grant or upon discontinuance as a</w:t>
      </w:r>
    </w:p>
    <w:p>
      <w:pPr>
        <w:spacing w:after="0" w:line="238" w:lineRule="auto"/>
        <w:rPr>
          <w:sz w:val="20"/>
          <w:szCs w:val="20"/>
          <w:color w:val="auto"/>
        </w:rPr>
      </w:pPr>
      <w:r>
        <w:rPr>
          <w:rFonts w:ascii="Courier New" w:cs="Courier New" w:eastAsia="Courier New" w:hAnsi="Courier New"/>
          <w:sz w:val="18"/>
          <w:szCs w:val="18"/>
          <w:color w:val="auto"/>
        </w:rPr>
        <w:t>board member.</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During fiscal 1999, each non-employee director (including Mr. Prince) was granted an option to purchase 12,000 shares of the Company's Common Stock at the quoted market price on the date of grant ($1.88) exercisable over three years in cumulative equal annual segments, starting one year from the date of grant. The options have a seven year term.</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Summary of Cash and Other Compensation of Executive Officers</w:t>
      </w:r>
    </w:p>
    <w:p>
      <w:pPr>
        <w:spacing w:after="0" w:line="207" w:lineRule="exact"/>
        <w:rPr>
          <w:sz w:val="20"/>
          <w:szCs w:val="20"/>
          <w:color w:val="auto"/>
        </w:rPr>
      </w:pPr>
    </w:p>
    <w:p>
      <w:pPr>
        <w:jc w:val="both"/>
        <w:ind w:right="1999" w:firstLine="316"/>
        <w:spacing w:after="0" w:line="236" w:lineRule="auto"/>
        <w:rPr>
          <w:sz w:val="20"/>
          <w:szCs w:val="20"/>
          <w:color w:val="auto"/>
        </w:rPr>
      </w:pPr>
      <w:r>
        <w:rPr>
          <w:rFonts w:ascii="Courier New" w:cs="Courier New" w:eastAsia="Courier New" w:hAnsi="Courier New"/>
          <w:sz w:val="18"/>
          <w:szCs w:val="18"/>
          <w:color w:val="auto"/>
        </w:rPr>
        <w:t>The following table shows the compensation earned by two persons who served as the Chief Executive Officer (the "Named Executive Officers") of the Company during fiscal year 1999.</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SUMMARY</w:t>
            </w:r>
          </w:p>
        </w:tc>
        <w:tc>
          <w:tcPr>
            <w:tcW w:w="2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COMPENSATION TABLE</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810"/>
        </w:trPr>
        <w:tc>
          <w:tcPr>
            <w:tcW w:w="2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Long--Term</w:t>
            </w:r>
          </w:p>
        </w:tc>
        <w:tc>
          <w:tcPr>
            <w:tcW w:w="1480" w:type="dxa"/>
            <w:vAlign w:val="bottom"/>
          </w:tcPr>
          <w:p>
            <w:pPr>
              <w:spacing w:after="0"/>
              <w:rPr>
                <w:sz w:val="24"/>
                <w:szCs w:val="24"/>
                <w:color w:val="auto"/>
              </w:rPr>
            </w:pPr>
          </w:p>
        </w:tc>
      </w:tr>
      <w:tr>
        <w:trPr>
          <w:trHeight w:val="203"/>
        </w:trPr>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Annual</w:t>
            </w:r>
          </w:p>
        </w:tc>
        <w:tc>
          <w:tcPr>
            <w:tcW w:w="2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48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Compensation</w:t>
            </w:r>
          </w:p>
        </w:tc>
        <w:tc>
          <w:tcPr>
            <w:tcW w:w="13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5"/>
              </w:rPr>
              <w:t>Awards</w:t>
            </w:r>
          </w:p>
        </w:tc>
        <w:tc>
          <w:tcPr>
            <w:tcW w:w="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spacing w:after="0"/>
              <w:rPr>
                <w:sz w:val="17"/>
                <w:szCs w:val="17"/>
                <w:color w:val="auto"/>
              </w:rPr>
            </w:pPr>
          </w:p>
        </w:tc>
      </w:tr>
      <w:tr>
        <w:trPr>
          <w:trHeight w:val="203"/>
        </w:trPr>
        <w:tc>
          <w:tcPr>
            <w:tcW w:w="2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&amp; principal position</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Year</w:t>
            </w:r>
          </w:p>
        </w:tc>
        <w:tc>
          <w:tcPr>
            <w:tcW w:w="360" w:type="dxa"/>
            <w:vAlign w:val="bottom"/>
          </w:tcPr>
          <w:p>
            <w:pPr>
              <w:spacing w:after="0"/>
              <w:rPr>
                <w:sz w:val="17"/>
                <w:szCs w:val="17"/>
                <w:color w:val="auto"/>
              </w:rPr>
            </w:pPr>
          </w:p>
        </w:tc>
        <w:tc>
          <w:tcPr>
            <w:tcW w:w="10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Salary</w:t>
            </w:r>
          </w:p>
        </w:tc>
        <w:tc>
          <w:tcPr>
            <w:tcW w:w="35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underlying options compensation</w:t>
            </w:r>
          </w:p>
        </w:tc>
      </w:tr>
      <w:tr>
        <w:trPr>
          <w:trHeight w:val="203"/>
        </w:trPr>
        <w:tc>
          <w:tcPr>
            <w:tcW w:w="2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9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2840" w:type="dxa"/>
            <w:vAlign w:val="bottom"/>
          </w:tcPr>
          <w:p>
            <w:pPr>
              <w:spacing w:after="0"/>
              <w:rPr>
                <w:sz w:val="20"/>
                <w:szCs w:val="20"/>
                <w:color w:val="auto"/>
              </w:rPr>
            </w:pPr>
            <w:r>
              <w:rPr>
                <w:rFonts w:ascii="Courier New" w:cs="Courier New" w:eastAsia="Courier New" w:hAnsi="Courier New"/>
                <w:sz w:val="18"/>
                <w:szCs w:val="18"/>
                <w:color w:val="auto"/>
              </w:rPr>
              <w:t>Richard D. Smith..........</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176,481</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100,000</w:t>
            </w:r>
          </w:p>
        </w:tc>
        <w:tc>
          <w:tcPr>
            <w:tcW w:w="680" w:type="dxa"/>
            <w:vAlign w:val="bottom"/>
          </w:tcPr>
          <w:p>
            <w:pPr>
              <w:spacing w:after="0"/>
              <w:rPr>
                <w:sz w:val="24"/>
                <w:szCs w:val="2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$ 17,237 (2)</w:t>
            </w:r>
          </w:p>
        </w:tc>
      </w:tr>
      <w:tr>
        <w:trPr>
          <w:trHeight w:val="203"/>
        </w:trPr>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149,125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$ 15,628</w:t>
            </w:r>
          </w:p>
        </w:tc>
      </w:tr>
      <w:tr>
        <w:trPr>
          <w:trHeight w:val="203"/>
        </w:trPr>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(from August 13, 1998)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143,000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81,000</w:t>
            </w:r>
          </w:p>
        </w:tc>
        <w:tc>
          <w:tcPr>
            <w:tcW w:w="6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$ 15,590</w:t>
            </w:r>
          </w:p>
        </w:tc>
      </w:tr>
      <w:tr>
        <w:trPr>
          <w:trHeight w:val="405"/>
        </w:trPr>
        <w:tc>
          <w:tcPr>
            <w:tcW w:w="2840" w:type="dxa"/>
            <w:vAlign w:val="bottom"/>
          </w:tcPr>
          <w:p>
            <w:pPr>
              <w:spacing w:after="0"/>
              <w:rPr>
                <w:sz w:val="20"/>
                <w:szCs w:val="20"/>
                <w:color w:val="auto"/>
              </w:rPr>
            </w:pPr>
            <w:r>
              <w:rPr>
                <w:rFonts w:ascii="Courier New" w:cs="Courier New" w:eastAsia="Courier New" w:hAnsi="Courier New"/>
                <w:sz w:val="18"/>
                <w:szCs w:val="18"/>
                <w:color w:val="auto"/>
              </w:rPr>
              <w:t>Eugene E. Prince..........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1999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43,332</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12,000</w:t>
            </w:r>
          </w:p>
        </w:tc>
        <w:tc>
          <w:tcPr>
            <w:tcW w:w="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w:t>
            </w:r>
          </w:p>
        </w:tc>
        <w:tc>
          <w:tcPr>
            <w:tcW w:w="1480" w:type="dxa"/>
            <w:vAlign w:val="bottom"/>
          </w:tcPr>
          <w:p>
            <w:pPr>
              <w:ind w:left="220"/>
              <w:spacing w:after="0"/>
              <w:rPr>
                <w:sz w:val="20"/>
                <w:szCs w:val="20"/>
                <w:color w:val="auto"/>
              </w:rPr>
            </w:pPr>
            <w:r>
              <w:rPr>
                <w:rFonts w:ascii="Courier New" w:cs="Courier New" w:eastAsia="Courier New" w:hAnsi="Courier New"/>
                <w:sz w:val="18"/>
                <w:szCs w:val="18"/>
                <w:color w:val="auto"/>
                <w:w w:val="95"/>
              </w:rPr>
              <w:t>$138,879 (3)</w:t>
            </w:r>
          </w:p>
        </w:tc>
      </w:tr>
      <w:tr>
        <w:trPr>
          <w:trHeight w:val="203"/>
        </w:trPr>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and CEO</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1998</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$ 14,149</w:t>
            </w:r>
          </w:p>
        </w:tc>
      </w:tr>
      <w:tr>
        <w:trPr>
          <w:trHeight w:val="203"/>
        </w:trPr>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(through August 13, 1998)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1997</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260,000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67,500</w:t>
            </w:r>
          </w:p>
        </w:tc>
        <w:tc>
          <w:tcPr>
            <w:tcW w:w="680" w:type="dxa"/>
            <w:vAlign w:val="bottom"/>
          </w:tcPr>
          <w:p>
            <w:pPr>
              <w:spacing w:after="0"/>
              <w:rPr>
                <w:sz w:val="17"/>
                <w:szCs w:val="17"/>
                <w:color w:val="auto"/>
              </w:rPr>
            </w:pP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$ 14,939</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09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fiscal 1999, Mr. Prince was granted a stock option in his capacity as a non-employee director. See discussion under Compensation of Directors.</w:t>
      </w:r>
    </w:p>
    <w:p>
      <w:pPr>
        <w:spacing w:after="0" w:line="6" w:lineRule="exact"/>
        <w:rPr>
          <w:rFonts w:ascii="Courier New" w:cs="Courier New" w:eastAsia="Courier New" w:hAnsi="Courier New"/>
          <w:sz w:val="18"/>
          <w:szCs w:val="18"/>
          <w:color w:val="auto"/>
        </w:rPr>
      </w:pPr>
    </w:p>
    <w:p>
      <w:pPr>
        <w:ind w:left="420" w:right="2099" w:hanging="412"/>
        <w:spacing w:after="0" w:line="268" w:lineRule="auto"/>
        <w:tabs>
          <w:tab w:leader="none" w:pos="4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for Mr. Smith during fiscal year 1999 consists of Company contributions to defined contribution plans of $3,654, Company paid life insurance premiums of $10,845, and interest on a loan to Mr. Smith of $2,738 calculated as the difference between interest accrued and the fair market rate at the time the interest rate was determined.</w:t>
      </w:r>
    </w:p>
    <w:p>
      <w:pPr>
        <w:ind w:left="420" w:right="199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compensation for Mr. Prince during fiscal year 1999 consists of $137,750 for consulting services paid pursuant to his Consulting Agreement and $1,129 of contributions to defined-contribution plans.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Grants in Last Fiscal Year</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following table provides a summary of all stock options granted during the 1999 fiscal year to the Named Executive Officers. It also shows a calculation of the potential realizable value if the fair market value of the Company's shares were to appreciate at either a 5% or 10% annual rate over the period of the option term.</w:t>
      </w:r>
    </w:p>
    <w:p>
      <w:pPr>
        <w:sectPr>
          <w:pgSz w:w="11900" w:h="16838" w:orient="portrait"/>
          <w:cols w:equalWidth="0" w:num="1">
            <w:col w:w="10219"/>
          </w:cols>
          <w:pgMar w:left="240" w:top="717"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5260"/>
        <w:spacing w:after="0"/>
        <w:rPr>
          <w:sz w:val="20"/>
          <w:szCs w:val="20"/>
          <w:color w:val="auto"/>
        </w:rPr>
      </w:pPr>
      <w:r>
        <w:rPr>
          <w:rFonts w:ascii="Courier New" w:cs="Courier New" w:eastAsia="Courier New" w:hAnsi="Courier New"/>
          <w:sz w:val="18"/>
          <w:szCs w:val="18"/>
          <w:color w:val="auto"/>
        </w:rPr>
        <w:t>Potential realizable</w:t>
      </w:r>
    </w:p>
    <w:p>
      <w:pPr>
        <w:ind w:left="5480"/>
        <w:spacing w:after="0" w:line="238" w:lineRule="auto"/>
        <w:rPr>
          <w:sz w:val="20"/>
          <w:szCs w:val="20"/>
          <w:color w:val="auto"/>
        </w:rPr>
      </w:pPr>
      <w:r>
        <w:rPr>
          <w:rFonts w:ascii="Courier New" w:cs="Courier New" w:eastAsia="Courier New" w:hAnsi="Courier New"/>
          <w:sz w:val="18"/>
          <w:szCs w:val="18"/>
          <w:color w:val="auto"/>
        </w:rPr>
        <w:t>value at assumed</w:t>
      </w:r>
    </w:p>
    <w:p>
      <w:pPr>
        <w:ind w:left="5160"/>
        <w:spacing w:after="0"/>
        <w:rPr>
          <w:sz w:val="20"/>
          <w:szCs w:val="20"/>
          <w:color w:val="auto"/>
        </w:rPr>
      </w:pPr>
      <w:r>
        <w:rPr>
          <w:rFonts w:ascii="Courier New" w:cs="Courier New" w:eastAsia="Courier New" w:hAnsi="Courier New"/>
          <w:sz w:val="18"/>
          <w:szCs w:val="18"/>
          <w:color w:val="auto"/>
        </w:rPr>
        <w:t>annual rates of stock</w:t>
      </w:r>
    </w:p>
    <w:p>
      <w:pPr>
        <w:spacing w:after="0" w:line="3"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price appreciation for</w:t>
      </w:r>
    </w:p>
    <w:p>
      <w:pPr>
        <w:spacing w:after="0" w:line="16" w:lineRule="exact"/>
        <w:rPr>
          <w:sz w:val="20"/>
          <w:szCs w:val="20"/>
          <w:color w:val="auto"/>
        </w:rPr>
      </w:pPr>
    </w:p>
    <w:p>
      <w:pPr>
        <w:ind w:left="1580"/>
        <w:spacing w:after="0"/>
        <w:tabs>
          <w:tab w:leader="none" w:pos="5680" w:val="left"/>
        </w:tabs>
        <w:rPr>
          <w:sz w:val="20"/>
          <w:szCs w:val="20"/>
          <w:color w:val="auto"/>
        </w:rPr>
      </w:pPr>
      <w:r>
        <w:rPr>
          <w:rFonts w:ascii="Courier New" w:cs="Courier New" w:eastAsia="Courier New" w:hAnsi="Courier New"/>
          <w:sz w:val="18"/>
          <w:szCs w:val="18"/>
          <w:color w:val="auto"/>
        </w:rPr>
        <w:t>Individual Grants</w:t>
      </w:r>
      <w:r>
        <w:rPr>
          <w:sz w:val="20"/>
          <w:szCs w:val="20"/>
          <w:color w:val="auto"/>
        </w:rPr>
        <w:tab/>
      </w:r>
      <w:r>
        <w:rPr>
          <w:rFonts w:ascii="Courier New" w:cs="Courier New" w:eastAsia="Courier New" w:hAnsi="Courier New"/>
          <w:sz w:val="16"/>
          <w:szCs w:val="16"/>
          <w:color w:val="auto"/>
        </w:rPr>
        <w:t>option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Percent of</w:t>
      </w:r>
    </w:p>
    <w:p>
      <w:pPr>
        <w:spacing w:after="0"/>
        <w:tabs>
          <w:tab w:leader="none" w:pos="124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6"/>
          <w:szCs w:val="16"/>
          <w:color w:val="auto"/>
        </w:rPr>
        <w:t>total options</w:t>
      </w:r>
    </w:p>
    <w:p>
      <w:pPr>
        <w:spacing w:after="0"/>
        <w:tabs>
          <w:tab w:leader="none" w:pos="1360" w:val="left"/>
          <w:tab w:leader="none" w:pos="2720" w:val="left"/>
        </w:tabs>
        <w:rPr>
          <w:sz w:val="20"/>
          <w:szCs w:val="20"/>
          <w:color w:val="auto"/>
        </w:rPr>
      </w:pPr>
      <w:r>
        <w:rPr>
          <w:rFonts w:ascii="Courier New" w:cs="Courier New" w:eastAsia="Courier New" w:hAnsi="Courier New"/>
          <w:sz w:val="18"/>
          <w:szCs w:val="18"/>
          <w:color w:val="auto"/>
        </w:rPr>
        <w:t>underlying</w:t>
      </w:r>
      <w:r>
        <w:rPr>
          <w:sz w:val="20"/>
          <w:szCs w:val="20"/>
          <w:color w:val="auto"/>
        </w:rPr>
        <w:tab/>
      </w:r>
      <w:r>
        <w:rPr>
          <w:rFonts w:ascii="Courier New" w:cs="Courier New" w:eastAsia="Courier New" w:hAnsi="Courier New"/>
          <w:sz w:val="18"/>
          <w:szCs w:val="18"/>
          <w:color w:val="auto"/>
        </w:rPr>
        <w:t>granted to</w:t>
      </w:r>
      <w:r>
        <w:rPr>
          <w:sz w:val="20"/>
          <w:szCs w:val="20"/>
          <w:color w:val="auto"/>
        </w:rPr>
        <w:tab/>
      </w:r>
      <w:r>
        <w:rPr>
          <w:rFonts w:ascii="Courier New" w:cs="Courier New" w:eastAsia="Courier New" w:hAnsi="Courier New"/>
          <w:sz w:val="16"/>
          <w:szCs w:val="16"/>
          <w:color w:val="auto"/>
        </w:rPr>
        <w:t>Exercise or</w:t>
      </w:r>
    </w:p>
    <w:p>
      <w:pPr>
        <w:ind w:left="220"/>
        <w:spacing w:after="0"/>
        <w:tabs>
          <w:tab w:leader="none" w:pos="1240" w:val="left"/>
          <w:tab w:leader="none" w:pos="2720" w:val="left"/>
          <w:tab w:leader="none" w:pos="398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employees in</w:t>
        <w:tab/>
        <w:t>base price</w:t>
      </w:r>
      <w:r>
        <w:rPr>
          <w:sz w:val="20"/>
          <w:szCs w:val="20"/>
          <w:color w:val="auto"/>
        </w:rPr>
        <w:tab/>
      </w:r>
      <w:r>
        <w:rPr>
          <w:rFonts w:ascii="Courier New" w:cs="Courier New" w:eastAsia="Courier New" w:hAnsi="Courier New"/>
          <w:sz w:val="16"/>
          <w:szCs w:val="16"/>
          <w:color w:val="auto"/>
        </w:rPr>
        <w:t>Expiration</w:t>
      </w:r>
    </w:p>
    <w:p>
      <w:pPr>
        <w:spacing w:after="0"/>
        <w:tabs>
          <w:tab w:leader="none" w:pos="1360" w:val="left"/>
          <w:tab w:leader="none" w:pos="2720" w:val="left"/>
          <w:tab w:leader="none" w:pos="4300" w:val="left"/>
          <w:tab w:leader="none" w:pos="5360" w:val="left"/>
          <w:tab w:leader="none" w:pos="6520" w:val="left"/>
        </w:tabs>
        <w:rPr>
          <w:sz w:val="20"/>
          <w:szCs w:val="20"/>
          <w:color w:val="auto"/>
        </w:rPr>
      </w:pPr>
      <w:r>
        <w:rPr>
          <w:rFonts w:ascii="Courier New" w:cs="Courier New" w:eastAsia="Courier New" w:hAnsi="Courier New"/>
          <w:sz w:val="18"/>
          <w:szCs w:val="18"/>
          <w:color w:val="auto"/>
        </w:rPr>
        <w:t>granted (1)</w:t>
        <w:tab/>
        <w:t>fiscal year</w:t>
        <w:tab/>
        <w:t>($/Sh) (2)</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sectPr>
          <w:pgSz w:w="11900" w:h="16838" w:orient="portrait"/>
          <w:cols w:equalWidth="0" w:num="2">
            <w:col w:w="1920" w:space="720"/>
            <w:col w:w="7579"/>
          </w:cols>
          <w:pgMar w:left="240" w:top="717" w:right="1440" w:bottom="0" w:gutter="0" w:footer="0" w:header="0"/>
          <w:type w:val="continuous"/>
        </w:sectPr>
      </w:pPr>
    </w:p>
    <w:p>
      <w:pPr>
        <w:ind w:left="2640" w:hanging="1579"/>
        <w:spacing w:after="0"/>
        <w:tabs>
          <w:tab w:leader="none" w:pos="26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Richard D. Smith........</w:t>
            </w:r>
          </w:p>
        </w:tc>
        <w:tc>
          <w:tcPr>
            <w:tcW w:w="12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100,000</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40.1</w:t>
            </w:r>
          </w:p>
        </w:tc>
        <w:tc>
          <w:tcPr>
            <w:tcW w:w="12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$1.875</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08/13/2005</w:t>
            </w:r>
          </w:p>
        </w:tc>
        <w:tc>
          <w:tcPr>
            <w:tcW w:w="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76,331</w:t>
            </w:r>
          </w:p>
        </w:tc>
        <w:tc>
          <w:tcPr>
            <w:tcW w:w="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177,884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E. Prince........</w:t>
            </w:r>
          </w:p>
        </w:tc>
        <w:tc>
          <w:tcPr>
            <w:tcW w:w="12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12,000</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4.8</w:t>
            </w:r>
          </w:p>
        </w:tc>
        <w:tc>
          <w:tcPr>
            <w:tcW w:w="12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$1.875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08/13/2005</w:t>
            </w:r>
          </w:p>
        </w:tc>
        <w:tc>
          <w:tcPr>
            <w:tcW w:w="3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9,160</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21,346</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1999" w:hanging="412"/>
        <w:spacing w:after="0" w:line="237"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options granted have a seven year term and are exercisable over three years in cumulative equal annual segments, starting one year from the date of grant. Grants permit the exercise of options in exchange for shares of the Company's common stock as well as for cash. In connection with a merger, sale of assets, share exchange, or change of control of the Company, any unexercised options become exercisable or the Committee may allow surrender for cash, substitution or cancellation.</w:t>
      </w:r>
    </w:p>
    <w:p>
      <w:pPr>
        <w:spacing w:after="0" w:line="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price was established at quoted market price for company shares on the date of grant.</w:t>
      </w:r>
    </w:p>
    <w:p>
      <w:pPr>
        <w:spacing w:after="0" w:line="208"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See discussion under COMPENSATION COMMITTEE REPORT regarding acceleration of the vesting of Mr. Smith's options and new options granted to Mr. Smith subsequent to fiscal year 1999.</w:t>
      </w:r>
    </w:p>
    <w:p>
      <w:pPr>
        <w:sectPr>
          <w:pgSz w:w="11900" w:h="16838" w:orient="portrait"/>
          <w:cols w:equalWidth="0" w:num="1">
            <w:col w:w="10219"/>
          </w:cols>
          <w:pgMar w:left="240" w:top="717" w:right="1440" w:bottom="0" w:gutter="0" w:footer="0" w:header="0"/>
          <w:type w:val="continuous"/>
        </w:sectPr>
      </w:pPr>
    </w:p>
    <w:bookmarkStart w:id="10" w:name="page11"/>
    <w:bookmarkEnd w:id="10"/>
    <w:p>
      <w:pPr>
        <w:ind w:left="29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019"/>
          </w:cols>
          <w:pgMar w:left="1440" w:top="547" w:right="1440" w:bottom="1440" w:gutter="0" w:footer="0" w:header="0"/>
        </w:sectPr>
      </w:pPr>
    </w:p>
    <w:bookmarkStart w:id="11" w:name="page12"/>
    <w:bookmarkEnd w:id="11"/>
    <w:p>
      <w:pPr>
        <w:ind w:right="2420"/>
        <w:spacing w:after="0" w:line="235" w:lineRule="auto"/>
        <w:rPr>
          <w:sz w:val="20"/>
          <w:szCs w:val="20"/>
          <w:color w:val="auto"/>
        </w:rPr>
      </w:pPr>
      <w:r>
        <w:rPr>
          <w:rFonts w:ascii="Courier New" w:cs="Courier New" w:eastAsia="Courier New" w:hAnsi="Courier New"/>
          <w:sz w:val="18"/>
          <w:szCs w:val="18"/>
          <w:color w:val="auto"/>
        </w:rPr>
        <w:t>Aggregated Option Exercises in Last Fiscal Year and Fiscal Year-End Option Values</w:t>
      </w:r>
    </w:p>
    <w:p>
      <w:pPr>
        <w:spacing w:after="0" w:line="208" w:lineRule="exact"/>
        <w:rPr>
          <w:sz w:val="20"/>
          <w:szCs w:val="20"/>
          <w:color w:val="auto"/>
        </w:rPr>
      </w:pPr>
    </w:p>
    <w:p>
      <w:pPr>
        <w:ind w:right="2100" w:firstLine="316"/>
        <w:spacing w:after="0" w:line="236" w:lineRule="auto"/>
        <w:rPr>
          <w:sz w:val="20"/>
          <w:szCs w:val="20"/>
          <w:color w:val="auto"/>
        </w:rPr>
      </w:pPr>
      <w:r>
        <w:rPr>
          <w:rFonts w:ascii="Courier New" w:cs="Courier New" w:eastAsia="Courier New" w:hAnsi="Courier New"/>
          <w:sz w:val="18"/>
          <w:szCs w:val="18"/>
          <w:color w:val="auto"/>
        </w:rPr>
        <w:t>The following table sets forth information regarding option exercises during the 1999 fiscal year and unexercised stock options held as of the 1999 fiscal year end by each of the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ind w:left="360"/>
              <w:spacing w:after="0"/>
              <w:rPr>
                <w:sz w:val="20"/>
                <w:szCs w:val="20"/>
                <w:color w:val="auto"/>
              </w:rPr>
            </w:pPr>
            <w:r>
              <w:rPr>
                <w:rFonts w:ascii="Courier New" w:cs="Courier New" w:eastAsia="Courier New" w:hAnsi="Courier New"/>
                <w:sz w:val="18"/>
                <w:szCs w:val="18"/>
                <w:color w:val="auto"/>
              </w:rPr>
              <w:t>Value of</w:t>
            </w:r>
          </w:p>
        </w:tc>
        <w:tc>
          <w:tcPr>
            <w:tcW w:w="1460" w:type="dxa"/>
            <w:vAlign w:val="bottom"/>
          </w:tcPr>
          <w:p>
            <w:pPr>
              <w:jc w:val="right"/>
              <w:ind w:right="212"/>
              <w:spacing w:after="0"/>
              <w:rPr>
                <w:sz w:val="20"/>
                <w:szCs w:val="20"/>
                <w:color w:val="auto"/>
              </w:rPr>
            </w:pPr>
            <w:r>
              <w:rPr>
                <w:rFonts w:ascii="Courier New" w:cs="Courier New" w:eastAsia="Courier New" w:hAnsi="Courier New"/>
                <w:sz w:val="18"/>
                <w:szCs w:val="18"/>
                <w:color w:val="auto"/>
                <w:w w:val="95"/>
              </w:rPr>
              <w:t>Unexercised</w:t>
            </w:r>
          </w:p>
        </w:tc>
      </w:tr>
      <w:tr>
        <w:trPr>
          <w:trHeight w:val="203"/>
        </w:trPr>
        <w:tc>
          <w:tcPr>
            <w:tcW w:w="1000" w:type="dxa"/>
            <w:vAlign w:val="bottom"/>
          </w:tcPr>
          <w:p>
            <w:pPr>
              <w:spacing w:after="0"/>
              <w:rPr>
                <w:sz w:val="17"/>
                <w:szCs w:val="17"/>
                <w:color w:val="auto"/>
              </w:rPr>
            </w:pPr>
          </w:p>
        </w:tc>
        <w:tc>
          <w:tcPr>
            <w:tcW w:w="180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940" w:type="dxa"/>
            <w:vAlign w:val="bottom"/>
          </w:tcPr>
          <w:p>
            <w:pPr>
              <w:spacing w:after="0"/>
              <w:rPr>
                <w:sz w:val="17"/>
                <w:szCs w:val="17"/>
                <w:color w:val="auto"/>
              </w:rPr>
            </w:pPr>
          </w:p>
        </w:tc>
        <w:tc>
          <w:tcPr>
            <w:tcW w:w="10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Number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of</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Unexercised</w:t>
            </w:r>
          </w:p>
        </w:tc>
        <w:tc>
          <w:tcPr>
            <w:tcW w:w="27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00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7"/>
              </w:rPr>
              <w:t>Acquired on</w:t>
            </w:r>
          </w:p>
        </w:tc>
        <w:tc>
          <w:tcPr>
            <w:tcW w:w="9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Value</w:t>
            </w:r>
          </w:p>
        </w:tc>
        <w:tc>
          <w:tcPr>
            <w:tcW w:w="1000" w:type="dxa"/>
            <w:vAlign w:val="bottom"/>
          </w:tcPr>
          <w:p>
            <w:pPr>
              <w:jc w:val="right"/>
              <w:ind w:right="20"/>
              <w:spacing w:after="0" w:line="203" w:lineRule="exact"/>
              <w:rPr>
                <w:sz w:val="20"/>
                <w:szCs w:val="20"/>
                <w:color w:val="auto"/>
              </w:rPr>
            </w:pPr>
            <w:r>
              <w:rPr>
                <w:rFonts w:ascii="Courier New" w:cs="Courier New" w:eastAsia="Courier New" w:hAnsi="Courier New"/>
                <w:sz w:val="18"/>
                <w:szCs w:val="18"/>
                <w:color w:val="auto"/>
              </w:rPr>
              <w:t>Options</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at</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FY--End (#)</w:t>
            </w:r>
          </w:p>
        </w:tc>
        <w:tc>
          <w:tcPr>
            <w:tcW w:w="13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5"/>
              </w:rPr>
              <w:t>at FY--</w:t>
            </w:r>
          </w:p>
        </w:tc>
        <w:tc>
          <w:tcPr>
            <w:tcW w:w="14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End ($)(1)</w:t>
            </w:r>
          </w:p>
        </w:tc>
      </w:tr>
      <w:tr>
        <w:trPr>
          <w:trHeight w:val="203"/>
        </w:trPr>
        <w:tc>
          <w:tcPr>
            <w:tcW w:w="1000" w:type="dxa"/>
            <w:vAlign w:val="bottom"/>
          </w:tcPr>
          <w:p>
            <w:pPr>
              <w:spacing w:after="0"/>
              <w:rPr>
                <w:sz w:val="17"/>
                <w:szCs w:val="17"/>
                <w:color w:val="auto"/>
              </w:rPr>
            </w:pPr>
          </w:p>
        </w:tc>
        <w:tc>
          <w:tcPr>
            <w:tcW w:w="180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Exercise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Realized</w:t>
            </w:r>
          </w:p>
        </w:tc>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380" w:type="dxa"/>
            <w:vAlign w:val="bottom"/>
          </w:tcPr>
          <w:p>
            <w:pPr>
              <w:spacing w:after="0"/>
              <w:rPr>
                <w:sz w:val="17"/>
                <w:szCs w:val="17"/>
                <w:color w:val="auto"/>
              </w:rPr>
            </w:pPr>
          </w:p>
        </w:tc>
        <w:tc>
          <w:tcPr>
            <w:tcW w:w="2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8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Exercisable</w:t>
            </w:r>
          </w:p>
        </w:tc>
        <w:tc>
          <w:tcPr>
            <w:tcW w:w="4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6"/>
              </w:rPr>
              <w:t>Unexercisable Exercisable Unexercisable</w:t>
            </w:r>
          </w:p>
        </w:tc>
      </w:tr>
    </w:tbl>
    <w:p>
      <w:pPr>
        <w:spacing w:after="0" w:line="4" w:lineRule="exact"/>
        <w:rPr>
          <w:sz w:val="20"/>
          <w:szCs w:val="20"/>
          <w:color w:val="auto"/>
        </w:rPr>
      </w:pPr>
    </w:p>
    <w:p>
      <w:pPr>
        <w:ind w:left="2640" w:hanging="1579"/>
        <w:spacing w:after="0"/>
        <w:tabs>
          <w:tab w:leader="none" w:pos="2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rPr>
              <w:t>Richard D. Smith........</w:t>
            </w:r>
          </w:p>
        </w:tc>
        <w:tc>
          <w:tcPr>
            <w:tcW w:w="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54,000</w:t>
            </w:r>
          </w:p>
        </w:tc>
        <w:tc>
          <w:tcPr>
            <w:tcW w:w="15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127,000</w:t>
            </w:r>
          </w:p>
        </w:tc>
        <w:tc>
          <w:tcPr>
            <w:tcW w:w="1260" w:type="dxa"/>
            <w:vAlign w:val="bottom"/>
          </w:tcPr>
          <w:p>
            <w:pPr>
              <w:jc w:val="right"/>
              <w:ind w:right="472"/>
              <w:spacing w:after="0"/>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E. Prince........</w:t>
            </w: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w:t>
            </w:r>
          </w:p>
        </w:tc>
        <w:tc>
          <w:tcPr>
            <w:tcW w:w="13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45,000</w:t>
            </w:r>
          </w:p>
        </w:tc>
        <w:tc>
          <w:tcPr>
            <w:tcW w:w="15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34,500</w:t>
            </w:r>
          </w:p>
        </w:tc>
        <w:tc>
          <w:tcPr>
            <w:tcW w:w="1260" w:type="dxa"/>
            <w:vAlign w:val="bottom"/>
          </w:tcPr>
          <w:p>
            <w:pPr>
              <w:jc w:val="right"/>
              <w:ind w:right="472"/>
              <w:spacing w:after="0" w:line="203" w:lineRule="exact"/>
              <w:rPr>
                <w:sz w:val="20"/>
                <w:szCs w:val="20"/>
                <w:color w:val="auto"/>
              </w:rPr>
            </w:pPr>
            <w:r>
              <w:rPr>
                <w:rFonts w:ascii="Courier New" w:cs="Courier New" w:eastAsia="Courier New" w:hAnsi="Courier New"/>
                <w:sz w:val="18"/>
                <w:szCs w:val="18"/>
                <w:color w:val="auto"/>
              </w:rPr>
              <w:t>$0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420" w:right="2100" w:hanging="412"/>
        <w:spacing w:after="0" w:line="290" w:lineRule="auto"/>
        <w:tabs>
          <w:tab w:leader="none" w:pos="4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of unexercised in-the-money options at fiscal year end is based on the closing price of $1.875 of Common Stock on June 30, 1999.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 Plans--Awards In Last Fiscal Year</w:t>
      </w:r>
    </w:p>
    <w:p>
      <w:pPr>
        <w:spacing w:after="0" w:line="207" w:lineRule="exact"/>
        <w:rPr>
          <w:sz w:val="20"/>
          <w:szCs w:val="20"/>
          <w:color w:val="auto"/>
        </w:rPr>
      </w:pPr>
    </w:p>
    <w:p>
      <w:pPr>
        <w:ind w:right="2520" w:firstLine="316"/>
        <w:spacing w:after="0" w:line="236" w:lineRule="auto"/>
        <w:rPr>
          <w:sz w:val="20"/>
          <w:szCs w:val="20"/>
          <w:color w:val="auto"/>
        </w:rPr>
      </w:pPr>
      <w:r>
        <w:rPr>
          <w:rFonts w:ascii="Courier New" w:cs="Courier New" w:eastAsia="Courier New" w:hAnsi="Courier New"/>
          <w:sz w:val="18"/>
          <w:szCs w:val="18"/>
          <w:color w:val="auto"/>
        </w:rPr>
        <w:t>Long-term incentives are provided through stock option grants. See the table under Option Grants in Last Fiscal Year and the discussion under COMPENSATION COMMITTEE REPORT.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Agreements With Executive Officer</w:t>
      </w:r>
    </w:p>
    <w:p>
      <w:pPr>
        <w:spacing w:after="0" w:line="207" w:lineRule="exact"/>
        <w:rPr>
          <w:sz w:val="20"/>
          <w:szCs w:val="20"/>
          <w:color w:val="auto"/>
        </w:rPr>
      </w:pPr>
    </w:p>
    <w:p>
      <w:pPr>
        <w:ind w:right="2100" w:firstLine="316"/>
        <w:spacing w:after="0" w:line="237" w:lineRule="auto"/>
        <w:rPr>
          <w:sz w:val="20"/>
          <w:szCs w:val="20"/>
          <w:color w:val="auto"/>
        </w:rPr>
      </w:pPr>
      <w:r>
        <w:rPr>
          <w:rFonts w:ascii="Courier New" w:cs="Courier New" w:eastAsia="Courier New" w:hAnsi="Courier New"/>
          <w:sz w:val="18"/>
          <w:szCs w:val="18"/>
          <w:color w:val="auto"/>
        </w:rPr>
        <w:t>The Company has an Employment Agreement with Richard D. Smith which became effective August 13, 1998 for an initial term of five years and continues subsequently on a year-to-year basis unless the Company or the officer gives termination notice at least 60 days prior to expiration of the initial or subsequent terms.</w:t>
      </w:r>
    </w:p>
    <w:p>
      <w:pPr>
        <w:spacing w:after="0" w:line="209" w:lineRule="exact"/>
        <w:rPr>
          <w:sz w:val="20"/>
          <w:szCs w:val="20"/>
          <w:color w:val="auto"/>
        </w:rPr>
      </w:pPr>
    </w:p>
    <w:p>
      <w:pPr>
        <w:ind w:right="2000" w:firstLine="316"/>
        <w:spacing w:after="0" w:line="236" w:lineRule="auto"/>
        <w:rPr>
          <w:sz w:val="20"/>
          <w:szCs w:val="20"/>
          <w:color w:val="auto"/>
        </w:rPr>
      </w:pPr>
      <w:r>
        <w:rPr>
          <w:rFonts w:ascii="Courier New" w:cs="Courier New" w:eastAsia="Courier New" w:hAnsi="Courier New"/>
          <w:sz w:val="18"/>
          <w:szCs w:val="18"/>
          <w:color w:val="auto"/>
        </w:rPr>
        <w:t>Base Salary. The Agreement provides a base salary of not less than $180,000 for Mr. Smith, and may be reviewed annually for increase on a merit basis. In August 1999, Mr. Smith's salary was increased to $210,000.</w:t>
      </w:r>
    </w:p>
    <w:p>
      <w:pPr>
        <w:spacing w:after="0" w:line="209" w:lineRule="exact"/>
        <w:rPr>
          <w:sz w:val="20"/>
          <w:szCs w:val="20"/>
          <w:color w:val="auto"/>
        </w:rPr>
      </w:pPr>
    </w:p>
    <w:p>
      <w:pPr>
        <w:ind w:right="2000" w:firstLine="316"/>
        <w:spacing w:after="0" w:line="237" w:lineRule="auto"/>
        <w:rPr>
          <w:sz w:val="20"/>
          <w:szCs w:val="20"/>
          <w:color w:val="auto"/>
        </w:rPr>
      </w:pPr>
      <w:r>
        <w:rPr>
          <w:rFonts w:ascii="Courier New" w:cs="Courier New" w:eastAsia="Courier New" w:hAnsi="Courier New"/>
          <w:sz w:val="18"/>
          <w:szCs w:val="18"/>
          <w:color w:val="auto"/>
        </w:rPr>
        <w:t>Annual Incentive Plan. Annual incentive bonuses are paid based on achieving performance criteria established annually by the Board of Directors. The performance criteria will recognize the overall financial performance of the Company and the improvements made in financial results. See discussion under COMPENSATION COMMITTEE REPORT.</w:t>
      </w:r>
    </w:p>
    <w:p>
      <w:pPr>
        <w:spacing w:after="0" w:line="209" w:lineRule="exact"/>
        <w:rPr>
          <w:sz w:val="20"/>
          <w:szCs w:val="20"/>
          <w:color w:val="auto"/>
        </w:rPr>
      </w:pPr>
    </w:p>
    <w:p>
      <w:pPr>
        <w:ind w:right="2000" w:firstLine="316"/>
        <w:spacing w:after="0" w:line="236" w:lineRule="auto"/>
        <w:rPr>
          <w:sz w:val="20"/>
          <w:szCs w:val="20"/>
          <w:color w:val="auto"/>
        </w:rPr>
      </w:pPr>
      <w:r>
        <w:rPr>
          <w:rFonts w:ascii="Courier New" w:cs="Courier New" w:eastAsia="Courier New" w:hAnsi="Courier New"/>
          <w:sz w:val="18"/>
          <w:szCs w:val="18"/>
          <w:color w:val="auto"/>
        </w:rPr>
        <w:t>Long-Term Incentive Plan Payment. The Company utilizes stock options for long-term incentives based on criteria described in the COMPENSATION COMMITTEE REPORT.</w:t>
      </w:r>
    </w:p>
    <w:p>
      <w:pPr>
        <w:spacing w:after="0" w:line="209" w:lineRule="exact"/>
        <w:rPr>
          <w:sz w:val="20"/>
          <w:szCs w:val="20"/>
          <w:color w:val="auto"/>
        </w:rPr>
      </w:pPr>
    </w:p>
    <w:p>
      <w:pPr>
        <w:ind w:right="2320" w:firstLine="316"/>
        <w:spacing w:after="0" w:line="237" w:lineRule="auto"/>
        <w:rPr>
          <w:sz w:val="20"/>
          <w:szCs w:val="20"/>
          <w:color w:val="auto"/>
        </w:rPr>
      </w:pPr>
      <w:r>
        <w:rPr>
          <w:rFonts w:ascii="Courier New" w:cs="Courier New" w:eastAsia="Courier New" w:hAnsi="Courier New"/>
          <w:sz w:val="18"/>
          <w:szCs w:val="18"/>
          <w:color w:val="auto"/>
        </w:rPr>
        <w:t>Certain Dispositions. A separate cash bonus will be paid to Mr. Smith in the event of dispositions of equity interests, assets or product lines of a subsidiary or division of the Company. The bonus is an amount equal to a percentage ranging from 1% to 5% of the cumulative sales price received on dispositions that are consumated before September 30, 2000.</w:t>
      </w:r>
    </w:p>
    <w:p>
      <w:pPr>
        <w:spacing w:after="0" w:line="209" w:lineRule="exact"/>
        <w:rPr>
          <w:sz w:val="20"/>
          <w:szCs w:val="20"/>
          <w:color w:val="auto"/>
        </w:rPr>
      </w:pPr>
    </w:p>
    <w:p>
      <w:pPr>
        <w:ind w:right="2100" w:firstLine="316"/>
        <w:spacing w:after="0" w:line="279" w:lineRule="auto"/>
        <w:rPr>
          <w:sz w:val="20"/>
          <w:szCs w:val="20"/>
          <w:color w:val="auto"/>
        </w:rPr>
      </w:pPr>
      <w:r>
        <w:rPr>
          <w:rFonts w:ascii="Courier New" w:cs="Courier New" w:eastAsia="Courier New" w:hAnsi="Courier New"/>
          <w:sz w:val="16"/>
          <w:szCs w:val="16"/>
          <w:color w:val="auto"/>
        </w:rPr>
        <w:t>Other Provisions. Mr. Smith participates in other benefits and perquisites as are generally provided by the Company to its employees. In addition, the Company provides Mr. Smith with $500,000 of life insurance and an automobile.</w:t>
      </w:r>
    </w:p>
    <w:p>
      <w:pPr>
        <w:spacing w:after="0" w:line="178" w:lineRule="exact"/>
        <w:rPr>
          <w:sz w:val="20"/>
          <w:szCs w:val="20"/>
          <w:color w:val="auto"/>
        </w:rPr>
      </w:pPr>
    </w:p>
    <w:p>
      <w:pPr>
        <w:ind w:right="2000" w:firstLine="316"/>
        <w:spacing w:after="0" w:line="237" w:lineRule="auto"/>
        <w:rPr>
          <w:sz w:val="20"/>
          <w:szCs w:val="20"/>
          <w:color w:val="auto"/>
        </w:rPr>
      </w:pPr>
      <w:r>
        <w:rPr>
          <w:rFonts w:ascii="Courier New" w:cs="Courier New" w:eastAsia="Courier New" w:hAnsi="Courier New"/>
          <w:sz w:val="18"/>
          <w:szCs w:val="18"/>
          <w:color w:val="auto"/>
        </w:rPr>
        <w:t>In the event of death, disability or termination by the Company prior to a change in control, other than for cause, the Agreement with Mr. Smith provides for limited continuations of salary and insurance benefits and for bonus prorations or settlements.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 in Control Arrangements</w:t>
      </w:r>
    </w:p>
    <w:p>
      <w:pPr>
        <w:spacing w:after="0" w:line="207" w:lineRule="exact"/>
        <w:rPr>
          <w:sz w:val="20"/>
          <w:szCs w:val="20"/>
          <w:color w:val="auto"/>
        </w:rPr>
      </w:pPr>
    </w:p>
    <w:p>
      <w:pPr>
        <w:ind w:right="2000" w:firstLine="316"/>
        <w:spacing w:after="0" w:line="237" w:lineRule="auto"/>
        <w:rPr>
          <w:sz w:val="20"/>
          <w:szCs w:val="20"/>
          <w:color w:val="auto"/>
        </w:rPr>
      </w:pPr>
      <w:r>
        <w:rPr>
          <w:rFonts w:ascii="Courier New" w:cs="Courier New" w:eastAsia="Courier New" w:hAnsi="Courier New"/>
          <w:sz w:val="18"/>
          <w:szCs w:val="18"/>
          <w:color w:val="auto"/>
        </w:rPr>
        <w:t>In 1989 the Company entered into an agreement with Mr. Smith pursuant to which, upon termination by the Company (other than for cause as defined in the Agreement) or by Mr. Smith for good reason (as defined in the Agreement) within 90 days prior to or 24 months following a change in control of the Company, he is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20"/>
          </w:cols>
          <w:pgMar w:left="240" w:top="723" w:right="1439" w:bottom="362" w:gutter="0" w:footer="0" w:header="0"/>
        </w:sectPr>
      </w:pPr>
    </w:p>
    <w:bookmarkStart w:id="12" w:name="page13"/>
    <w:bookmarkEnd w:id="12"/>
    <w:p>
      <w:pPr>
        <w:ind w:right="1999"/>
        <w:spacing w:after="0" w:line="269" w:lineRule="auto"/>
        <w:rPr>
          <w:sz w:val="20"/>
          <w:szCs w:val="20"/>
          <w:color w:val="auto"/>
        </w:rPr>
      </w:pPr>
      <w:r>
        <w:rPr>
          <w:rFonts w:ascii="Courier New" w:cs="Courier New" w:eastAsia="Courier New" w:hAnsi="Courier New"/>
          <w:sz w:val="16"/>
          <w:szCs w:val="16"/>
          <w:color w:val="auto"/>
        </w:rPr>
        <w:t>entitled to receive a severance payment equal to 2.5 times the sum of current annual base salary plus the amount paid under the Incentive Compensation Plan for the preceding fiscal year, an allocation for incentive compensation for the current year up to the date of termination and two year continuation of insurance benefits. The agreement expires on December 31 of each year, however, it is extended automatically on January 1 of each year for a term of two years, unless notice of non-renewal is given by the Company not later than the September 30 immediately preceding renewal. A similar agreement with Eugene E. Prince was terminated on August 31, 1998 when his employment with the Company was terminated. The Company has similar agreements (providing lower severance multiples) with other key executives. The change in control agreements are applicable to a change in control of the Company or of the subsidiary or division for which the executive is employed and require the key executives to remain in the employ of the Company for a specified period in the event of a potential change in control of the Company and provide employment security to them in the face of current pressures to sell the Company or in the event of take-over threats, so that they can devote full time and attention to the Company's efforts free of concern about discharge in the event of a change in control of the Company. These agreements are common at other public companies. They are not excessive and are within industry standards. In 1999, the Board of Directors considered termination of these agreements and determined that the reasons for executing change in control agreements continue to be valid and concluded that notices of non-renewal would not be in the best interests of shareholders.</w:t>
      </w:r>
    </w:p>
    <w:p>
      <w:pPr>
        <w:spacing w:after="0" w:line="200" w:lineRule="exact"/>
        <w:rPr>
          <w:sz w:val="20"/>
          <w:szCs w:val="20"/>
          <w:color w:val="auto"/>
        </w:rPr>
      </w:pPr>
    </w:p>
    <w:p>
      <w:pPr>
        <w:spacing w:after="0" w:line="38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COMPENSATION COMMITTEE INTERLOCKS AND INSIDER PARTICIPATION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During fiscal year 1999 the Compensation Committee was comprised of Messrs. Pilmanis and Hock who are both non employees. See the caption EXECUTIVE COMPENSATION--Compensation of Directors for information concerning compensation paid to directors for attending and participating in board and committee meetings and special assignments.</w:t>
      </w:r>
    </w:p>
    <w:p>
      <w:pPr>
        <w:spacing w:after="0" w:line="209"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Notwithstanding anything to the contrary set forth in any of the Company's previous filings under the Securities Act of 1933 or the Securities Exchange Act of 1934 that might incorporate future filings, including this proxy statement, in whole or in part, the following report and the performance graph on page shall not be incorporated by reference into any such filings.</w:t>
      </w:r>
    </w:p>
    <w:p>
      <w:pPr>
        <w:spacing w:after="0" w:line="179"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COMPENSATION COMMITTEE REPORT</w:t>
      </w:r>
    </w:p>
    <w:p>
      <w:pPr>
        <w:spacing w:after="0" w:line="207" w:lineRule="exact"/>
        <w:rPr>
          <w:sz w:val="20"/>
          <w:szCs w:val="20"/>
          <w:color w:val="auto"/>
        </w:rPr>
      </w:pPr>
    </w:p>
    <w:p>
      <w:pPr>
        <w:ind w:right="2199" w:firstLine="316"/>
        <w:spacing w:after="0" w:line="275" w:lineRule="auto"/>
        <w:rPr>
          <w:sz w:val="20"/>
          <w:szCs w:val="20"/>
          <w:color w:val="auto"/>
        </w:rPr>
      </w:pPr>
      <w:r>
        <w:rPr>
          <w:rFonts w:ascii="Courier New" w:cs="Courier New" w:eastAsia="Courier New" w:hAnsi="Courier New"/>
          <w:sz w:val="16"/>
          <w:szCs w:val="16"/>
          <w:color w:val="auto"/>
        </w:rPr>
        <w:t>Base salary for the chief executive officer is reviewed for increase annually in relation to corporate performance and enlarged responsibilities. Increases of 20% and 17% to recognize increased responsibilities were recommended for Mr. Smith in August 1998 and July 1999, respectively.</w:t>
      </w:r>
    </w:p>
    <w:p>
      <w:pPr>
        <w:spacing w:after="0" w:line="18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recommending target levels of achievement for the Annual Incentive Plan, the Committee reviews past operating results and the forecasts and business plans of the Company for the ensuing year. For fiscal 1999 the Committee recommended target achievement levels to be based on two components of the Company's performance, one relating to the systems automation business and the other to the balance of the Company's operations. For systems automation, the target level was to achieve profitability during the last six months of the fiscal year. For the balance of the Company, the target level was to achieve a 15% improvement in pretax net income over 1998 results. No bonuses were paid under the plan for fiscal 1999, because threshold performance levels were not achieved.</w:t>
      </w:r>
    </w:p>
    <w:p>
      <w:pPr>
        <w:spacing w:after="0" w:line="21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Company's long-term incentive program is based on stock options. In making its recommendations for grants of stock options, the Committee considers, among other things, Mr. Smith's responsibilities and his efforts and performance in relation to the business plan and forecast, development of the Company's products and performance of the Company's products in the marketplace, impact of the Company's products and product development on future prospects for the Company, increase in the trading price per share of the Company's common stock, the relationship between the benefits of stock options and improving shareholder value, the</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3" w:name="page14"/>
    <w:bookmarkEnd w:id="13"/>
    <w:p>
      <w:pPr>
        <w:ind w:right="1879"/>
        <w:spacing w:after="0" w:line="271" w:lineRule="auto"/>
        <w:rPr>
          <w:sz w:val="20"/>
          <w:szCs w:val="20"/>
          <w:color w:val="auto"/>
        </w:rPr>
      </w:pPr>
      <w:r>
        <w:rPr>
          <w:rFonts w:ascii="Courier New" w:cs="Courier New" w:eastAsia="Courier New" w:hAnsi="Courier New"/>
          <w:sz w:val="16"/>
          <w:szCs w:val="16"/>
          <w:color w:val="auto"/>
        </w:rPr>
        <w:t>current level of stock options held, the shares available for option and the total shares under option grants. The Committee also considers customary business practices and long-term incentive plan benefits granted in comparison to such benefits provided to other executives in similar positions. In July 1999, Mr. Smith was granted an option to purchase 69,000 shares of the Company's Common Stock at the quoted market price on the date of grant ($1.75). In addition, the vesting of options previously granted to Mr. Smith was accelerated so that the total shares under option are immediately exercisable.</w:t>
      </w:r>
    </w:p>
    <w:p>
      <w:pPr>
        <w:spacing w:after="0" w:line="180"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GEORGE J. PILMANIS</w:t>
      </w:r>
    </w:p>
    <w:p>
      <w:pPr>
        <w:ind w:left="4320"/>
        <w:spacing w:after="0" w:line="238" w:lineRule="auto"/>
        <w:rPr>
          <w:sz w:val="20"/>
          <w:szCs w:val="20"/>
          <w:color w:val="auto"/>
        </w:rPr>
      </w:pPr>
      <w:r>
        <w:rPr>
          <w:rFonts w:ascii="Courier New" w:cs="Courier New" w:eastAsia="Courier New" w:hAnsi="Courier New"/>
          <w:sz w:val="18"/>
          <w:szCs w:val="18"/>
          <w:color w:val="auto"/>
        </w:rPr>
        <w:t>DELWIN D. HOCK</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1999.</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[Graph Appears</w:t>
            </w:r>
          </w:p>
        </w:tc>
        <w:tc>
          <w:tcPr>
            <w:tcW w:w="8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Here]</w:t>
            </w: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0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6/30/94 6/30/95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6/30/96</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6/30/97</w:t>
            </w:r>
          </w:p>
        </w:tc>
        <w:tc>
          <w:tcPr>
            <w:tcW w:w="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6/30/98</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6/30/99</w:t>
            </w:r>
          </w:p>
        </w:tc>
      </w:tr>
      <w:tr>
        <w:trPr>
          <w:trHeight w:val="203"/>
        </w:trPr>
        <w:tc>
          <w:tcPr>
            <w:tcW w:w="2800" w:type="dxa"/>
            <w:vAlign w:val="bottom"/>
          </w:tcPr>
          <w:p>
            <w:pPr>
              <w:jc w:val="right"/>
              <w:ind w:right="249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(US)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208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274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$393</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NASDAQ MEASURING DEVICES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279</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224</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HATHAWAY CORPORATION</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$ 50</w:t>
            </w:r>
          </w:p>
        </w:tc>
      </w:tr>
      <w:tr>
        <w:trPr>
          <w:trHeight w:val="405"/>
        </w:trPr>
        <w:tc>
          <w:tcPr>
            <w:tcW w:w="2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14" w:name="page15"/>
    <w:bookmarkEnd w:id="14"/>
    <w:p>
      <w:pPr>
        <w:ind w:left="2320"/>
        <w:spacing w:after="0"/>
        <w:rPr>
          <w:sz w:val="20"/>
          <w:szCs w:val="20"/>
          <w:color w:val="auto"/>
        </w:rPr>
      </w:pPr>
      <w:r>
        <w:rPr>
          <w:rFonts w:ascii="Courier New" w:cs="Courier New" w:eastAsia="Courier New" w:hAnsi="Courier New"/>
          <w:sz w:val="18"/>
          <w:szCs w:val="18"/>
          <w:color w:val="auto"/>
        </w:rPr>
        <w:t>SECTION 16 (a) BENEFICIAL OWNERSHIP</w:t>
      </w:r>
    </w:p>
    <w:p>
      <w:pPr>
        <w:ind w:left="3060"/>
        <w:spacing w:after="0" w:line="238" w:lineRule="auto"/>
        <w:rPr>
          <w:sz w:val="20"/>
          <w:szCs w:val="20"/>
          <w:color w:val="auto"/>
        </w:rPr>
      </w:pPr>
      <w:r>
        <w:rPr>
          <w:rFonts w:ascii="Courier New" w:cs="Courier New" w:eastAsia="Courier New" w:hAnsi="Courier New"/>
          <w:sz w:val="18"/>
          <w:szCs w:val="18"/>
          <w:color w:val="auto"/>
        </w:rPr>
        <w:t>REPORTING COMPLIANCE</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the Company's directors and executive officers and persons who own more than ten percent of the Company's Common Stock to report their ownership and any changes in that ownership to the Securities and Exchange Commission. The Company believes that all Section 16(a) filing requirements applicable to its directors, executive officers and greater than ten percent beneficial owners have been met except that Forms 5 for all six directors covering one transaction for each were filed late.</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ITEM 2: OTHER MATTERS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YEAR 2000 MATTERS</w:t>
      </w:r>
    </w:p>
    <w:p>
      <w:pPr>
        <w:spacing w:after="0" w:line="207" w:lineRule="exact"/>
        <w:rPr>
          <w:sz w:val="20"/>
          <w:szCs w:val="20"/>
          <w:color w:val="auto"/>
        </w:rPr>
      </w:pPr>
    </w:p>
    <w:p>
      <w:pPr>
        <w:ind w:right="2099" w:firstLine="316"/>
        <w:spacing w:after="0" w:line="271" w:lineRule="auto"/>
        <w:rPr>
          <w:sz w:val="20"/>
          <w:szCs w:val="20"/>
          <w:color w:val="auto"/>
        </w:rPr>
      </w:pPr>
      <w:r>
        <w:rPr>
          <w:rFonts w:ascii="Courier New" w:cs="Courier New" w:eastAsia="Courier New" w:hAnsi="Courier New"/>
          <w:sz w:val="16"/>
          <w:szCs w:val="16"/>
          <w:color w:val="auto"/>
        </w:rPr>
        <w:t>Some computers and computer-based systems use only the last two digits to identify a year in the date field and cannot distinguish the year 2000 from the year 1900. The Company recognizes that the Year 2000 poses a challenge to the proper functioning of computer systems included in its products, software systems used in its business and items purchased from its suppliers. The Company has adopted a "Y2K Readiness Program" and is taking what it believes to be appropriate steps necessary in preparation for Year 2000 issues.</w:t>
      </w:r>
    </w:p>
    <w:p>
      <w:pPr>
        <w:spacing w:after="0" w:line="188" w:lineRule="exact"/>
        <w:rPr>
          <w:sz w:val="20"/>
          <w:szCs w:val="20"/>
          <w:color w:val="auto"/>
        </w:rPr>
      </w:pPr>
    </w:p>
    <w:p>
      <w:pPr>
        <w:ind w:right="1999" w:firstLine="316"/>
        <w:spacing w:after="0" w:line="270" w:lineRule="auto"/>
        <w:rPr>
          <w:sz w:val="20"/>
          <w:szCs w:val="20"/>
          <w:color w:val="auto"/>
        </w:rPr>
      </w:pPr>
      <w:r>
        <w:rPr>
          <w:rFonts w:ascii="Courier New" w:cs="Courier New" w:eastAsia="Courier New" w:hAnsi="Courier New"/>
          <w:sz w:val="16"/>
          <w:szCs w:val="16"/>
          <w:color w:val="auto"/>
        </w:rPr>
        <w:t>The Company is completing an assessment of its products to determine which products will be affected by year 2000 issues. Test procedures have been modeled from the public document titled "Year 2000 Test Procedures", published by General Motors Corporation, and include a step by step method of date verification using each interface to the product. Testing of most products is completed or under way. Modifications and updates are being made as needed for products that are not Y2K compliant. With the possible exceptions of some of the older RTU protocol software, testing of all of the Company's current products will be complete before December 31, 1999. Some of the Company's older products that are no longer sold will not be tested for compliance. The Company will indicate on its Web site which products will not be tested.</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Company has completed assessment of its internal systems, processes and facilities for Year 2000 compliance and found them to be 97% compliant. The expected completion date to have all significant internal systems, processes and facilities compliant is October 31, 1999. The Company's assessment of its suppliers', service providers' and contractors' year 2000 compliance is also ongoing and is expected to be completed by October 31, 1999. Alternative sources will be pursued for any non-compliant sources. Additionally, alternative sources will be identified and qualified for all compliant sources so that a secondary supplier will be available in the event that disruptions in supply occurs from the primary supplier.</w:t>
      </w:r>
    </w:p>
    <w:p>
      <w:pPr>
        <w:spacing w:after="0" w:line="215" w:lineRule="exact"/>
        <w:rPr>
          <w:sz w:val="20"/>
          <w:szCs w:val="20"/>
          <w:color w:val="auto"/>
        </w:rPr>
      </w:pPr>
    </w:p>
    <w:p>
      <w:pPr>
        <w:ind w:right="1999" w:firstLine="316"/>
        <w:spacing w:after="0" w:line="238" w:lineRule="auto"/>
        <w:rPr>
          <w:sz w:val="20"/>
          <w:szCs w:val="20"/>
          <w:color w:val="auto"/>
        </w:rPr>
      </w:pPr>
      <w:r>
        <w:rPr>
          <w:rFonts w:ascii="Courier New" w:cs="Courier New" w:eastAsia="Courier New" w:hAnsi="Courier New"/>
          <w:sz w:val="18"/>
          <w:szCs w:val="18"/>
          <w:color w:val="auto"/>
        </w:rPr>
        <w:t>The failure to correct a material Year 2000 problem could result in an interruption in, or failure of, normal business activities or operations. There is inherent uncertainty regarding the Year 2000 problem primarily due to uncertainty of the readiness of suppliers and customers. Therefore, the Company is unable to predict with certainty whether the consequences of Year 2000 failures will have a material impact on the Company's business, results of operations or financial condition. The Company's Year 20000 efforts are expected to significantly reduce the Company's level of uncertainty about the Year 2000 problem and the Company currently believes it will be able to modify or offer alternative products as well as modify or replace its affected systems in time to minimize any detrimental effects on customer relationships or operations.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Activities related to Year 2000 compliance are being performed with internal resources. The Company is expensing as incurred all payroll and associated costs relate to the Year 2000 issues. It is not anticipated that Year 2000 activities will delay other projects or materially impact the Company's business. However, the Company will continue to review on an ongoing basis whether it needs to further address any anticipated costs. problems and uncertainties associated with Year 2000 consequences.</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362" w:gutter="0" w:footer="0" w:header="0"/>
        </w:sectPr>
      </w:pPr>
    </w:p>
    <w:bookmarkStart w:id="15" w:name="page16"/>
    <w:bookmarkEnd w:id="15"/>
    <w:p>
      <w:pPr>
        <w:jc w:val="center"/>
        <w:ind w:right="1999"/>
        <w:spacing w:after="0"/>
        <w:rPr>
          <w:sz w:val="20"/>
          <w:szCs w:val="20"/>
          <w:color w:val="auto"/>
        </w:rPr>
      </w:pPr>
      <w:r>
        <w:rPr>
          <w:rFonts w:ascii="Courier New" w:cs="Courier New" w:eastAsia="Courier New" w:hAnsi="Courier New"/>
          <w:sz w:val="18"/>
          <w:szCs w:val="18"/>
          <w:color w:val="auto"/>
        </w:rPr>
        <w:t>EXPIRATION OF RIGHTS AGREEMENT</w:t>
      </w:r>
    </w:p>
    <w:p>
      <w:pPr>
        <w:spacing w:after="0" w:line="207"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In 1989, the Company adopted a shareholder Rights Agreement (sometimes called a "Poison Pill"). The Rights Agreement expired by its term on June 25, 1999 and was not renewed.</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INDEPENDENT PUBLIC ACCOUNTANT</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Arthur Andersen LLP served as independent auditors of the Company for the fiscal year ended June 30, 1999. A representative of Arthur Andersen LLP is expected to be present at the Annual Meeting. He will have an opportunity to make a statement if he so desires, and is expected to be available to respond to appropriate questions.</w:t>
      </w:r>
    </w:p>
    <w:p>
      <w:pPr>
        <w:spacing w:after="0" w:line="209" w:lineRule="exact"/>
        <w:rPr>
          <w:sz w:val="20"/>
          <w:szCs w:val="20"/>
          <w:color w:val="auto"/>
        </w:rPr>
      </w:pPr>
    </w:p>
    <w:p>
      <w:pPr>
        <w:ind w:right="2519" w:firstLine="316"/>
        <w:spacing w:after="0" w:line="236" w:lineRule="auto"/>
        <w:rPr>
          <w:sz w:val="20"/>
          <w:szCs w:val="20"/>
          <w:color w:val="auto"/>
        </w:rPr>
      </w:pPr>
      <w:r>
        <w:rPr>
          <w:rFonts w:ascii="Courier New" w:cs="Courier New" w:eastAsia="Courier New" w:hAnsi="Courier New"/>
          <w:sz w:val="18"/>
          <w:szCs w:val="18"/>
          <w:color w:val="auto"/>
        </w:rPr>
        <w:t>The Audit Committee of the Board of Directors has not yet made a recommendation to the Board of Directors with respect to the selection of independent certified public accountants for fiscal 2000.</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ANNUAL REPORT</w:t>
      </w:r>
    </w:p>
    <w:p>
      <w:pPr>
        <w:spacing w:after="0" w:line="207"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The Company's Annual Report for the year ended June 30, 1999 has been mailed to shareholders with this Proxy statement.</w:t>
      </w:r>
    </w:p>
    <w:p>
      <w:pPr>
        <w:spacing w:after="0" w:line="200" w:lineRule="exact"/>
        <w:rPr>
          <w:sz w:val="20"/>
          <w:szCs w:val="20"/>
          <w:color w:val="auto"/>
        </w:rPr>
      </w:pPr>
    </w:p>
    <w:p>
      <w:pPr>
        <w:spacing w:after="0" w:line="20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SHAREHOLDER PROPOSALS FOR 2000 ANNUAL MEETING</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Shareholders' proposals for the 2000 annual meeting of shareholders must be submitted in writing to the Secretary of the Company at the address of the Company set forth on the first page of this Proxy Statement no later than May 20, 2000 in order to be presented at the annual meeting or be considered for inclusion in the Company's 2000 proxy statement and proxy card.</w:t>
      </w:r>
    </w:p>
    <w:p>
      <w:pPr>
        <w:spacing w:after="0" w:line="17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PLEASE SIGN, DATE AND MAIL PROMPTLY THE ENCLOSED PROXY.</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HATHAWAY CORPORATION</w:t>
      </w:r>
    </w:p>
    <w:p>
      <w:pPr>
        <w:spacing w:after="0" w:line="238" w:lineRule="auto"/>
        <w:rPr>
          <w:sz w:val="20"/>
          <w:szCs w:val="20"/>
          <w:color w:val="auto"/>
        </w:rPr>
      </w:pPr>
      <w:r>
        <w:rPr>
          <w:rFonts w:ascii="Courier New" w:cs="Courier New" w:eastAsia="Courier New" w:hAnsi="Courier New"/>
          <w:sz w:val="18"/>
          <w:szCs w:val="18"/>
          <w:color w:val="auto"/>
        </w:rPr>
        <w:t>September 21, 1999</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6" w:name="page17"/>
    <w:bookmarkEnd w:id="16"/>
    <w:p>
      <w:pPr>
        <w:ind w:left="3160"/>
        <w:spacing w:after="0"/>
        <w:rPr>
          <w:sz w:val="20"/>
          <w:szCs w:val="20"/>
          <w:color w:val="auto"/>
        </w:rPr>
      </w:pPr>
      <w:r>
        <w:rPr>
          <w:rFonts w:ascii="Courier New" w:cs="Courier New" w:eastAsia="Courier New" w:hAnsi="Courier New"/>
          <w:sz w:val="18"/>
          <w:szCs w:val="18"/>
          <w:color w:val="auto"/>
        </w:rPr>
        <w:t>HATHAWAY CORPORATION</w:t>
      </w:r>
    </w:p>
    <w:p>
      <w:pPr>
        <w:ind w:left="2960"/>
        <w:spacing w:after="0" w:line="238" w:lineRule="auto"/>
        <w:rPr>
          <w:sz w:val="20"/>
          <w:szCs w:val="20"/>
          <w:color w:val="auto"/>
        </w:rPr>
      </w:pPr>
      <w:r>
        <w:rPr>
          <w:rFonts w:ascii="Courier New" w:cs="Courier New" w:eastAsia="Courier New" w:hAnsi="Courier New"/>
          <w:sz w:val="18"/>
          <w:szCs w:val="18"/>
          <w:color w:val="auto"/>
        </w:rPr>
        <w:t>8228 Park Meadows Drive</w:t>
      </w:r>
    </w:p>
    <w:p>
      <w:pPr>
        <w:ind w:left="2860"/>
        <w:spacing w:after="0"/>
        <w:rPr>
          <w:sz w:val="20"/>
          <w:szCs w:val="20"/>
          <w:color w:val="auto"/>
        </w:rPr>
      </w:pPr>
      <w:r>
        <w:rPr>
          <w:rFonts w:ascii="Courier New" w:cs="Courier New" w:eastAsia="Courier New" w:hAnsi="Courier New"/>
          <w:sz w:val="18"/>
          <w:szCs w:val="18"/>
          <w:color w:val="auto"/>
        </w:rPr>
        <w:t>Littleton, Colorado 80124</w:t>
      </w:r>
    </w:p>
    <w:p>
      <w:pPr>
        <w:spacing w:after="0" w:line="20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28, 1999, and at all adjournments thereof, with respect to the following:</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ELECTION OF DIRECTORS--Nominees of the Board:</w:t>
      </w:r>
    </w:p>
    <w:p>
      <w:pPr>
        <w:spacing w:after="0" w:line="207" w:lineRule="exact"/>
        <w:rPr>
          <w:sz w:val="20"/>
          <w:szCs w:val="20"/>
          <w:color w:val="auto"/>
        </w:rPr>
      </w:pPr>
    </w:p>
    <w:p>
      <w:pPr>
        <w:jc w:val="center"/>
        <w:ind w:left="360"/>
        <w:spacing w:after="0" w:line="235" w:lineRule="auto"/>
        <w:rPr>
          <w:sz w:val="20"/>
          <w:szCs w:val="20"/>
          <w:color w:val="auto"/>
        </w:rPr>
      </w:pPr>
      <w:r>
        <w:rPr>
          <w:rFonts w:ascii="Courier New" w:cs="Courier New" w:eastAsia="Courier New" w:hAnsi="Courier New"/>
          <w:sz w:val="18"/>
          <w:szCs w:val="18"/>
          <w:color w:val="auto"/>
        </w:rPr>
        <w:t>E. E. Prince, R. D. Smith, C.H. Clarridge, D. D. Hock, G.D. Hubbard, and G. J. Pilmanis,</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40" w:hanging="104"/>
        <w:spacing w:after="0" w:line="279" w:lineRule="auto"/>
        <w:rPr>
          <w:sz w:val="20"/>
          <w:szCs w:val="20"/>
          <w:color w:val="auto"/>
        </w:rPr>
      </w:pPr>
      <w:r>
        <w:rPr>
          <w:rFonts w:ascii="Courier New" w:cs="Courier New" w:eastAsia="Courier New" w:hAnsi="Courier New"/>
          <w:sz w:val="16"/>
          <w:szCs w:val="16"/>
          <w:color w:val="auto"/>
        </w:rPr>
        <w:t>[_] FOR all nominees (except as indicated to the contrary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WITHHOLD AUTHORITY</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to vote for all</w:t>
      </w:r>
    </w:p>
    <w:p>
      <w:pPr>
        <w:ind w:left="100"/>
        <w:spacing w:after="0" w:line="238" w:lineRule="auto"/>
        <w:rPr>
          <w:sz w:val="20"/>
          <w:szCs w:val="20"/>
          <w:color w:val="auto"/>
        </w:rPr>
      </w:pPr>
      <w:r>
        <w:rPr>
          <w:rFonts w:ascii="Courier New" w:cs="Courier New" w:eastAsia="Courier New" w:hAnsi="Courier New"/>
          <w:sz w:val="18"/>
          <w:szCs w:val="18"/>
          <w:color w:val="auto"/>
        </w:rPr>
        <w:t>nominees.</w:t>
      </w:r>
    </w:p>
    <w:p>
      <w:pPr>
        <w:spacing w:after="0" w:line="229" w:lineRule="exact"/>
        <w:rPr>
          <w:sz w:val="20"/>
          <w:szCs w:val="20"/>
          <w:color w:val="auto"/>
        </w:rPr>
      </w:pPr>
    </w:p>
    <w:p>
      <w:pPr>
        <w:sectPr>
          <w:pgSz w:w="11900" w:h="16838" w:orient="portrait"/>
          <w:cols w:equalWidth="0" w:num="2">
            <w:col w:w="2960" w:space="100"/>
            <w:col w:w="7159"/>
          </w:cols>
          <w:pgMar w:left="240" w:top="919" w:right="1440" w:bottom="1440" w:gutter="0" w:footer="0" w:header="0"/>
          <w:type w:val="continuous"/>
        </w:sectPr>
      </w:pPr>
    </w:p>
    <w:p>
      <w:pPr>
        <w:spacing w:after="0" w:line="181" w:lineRule="exact"/>
        <w:rPr>
          <w:sz w:val="20"/>
          <w:szCs w:val="20"/>
          <w:color w:val="auto"/>
        </w:rPr>
      </w:pPr>
    </w:p>
    <w:p>
      <w:pPr>
        <w:ind w:left="220" w:right="2099"/>
        <w:spacing w:after="0" w:line="236" w:lineRule="auto"/>
        <w:rPr>
          <w:sz w:val="20"/>
          <w:szCs w:val="20"/>
          <w:color w:val="auto"/>
        </w:rPr>
      </w:pPr>
      <w:r>
        <w:rPr>
          <w:rFonts w:ascii="Courier New" w:cs="Courier New" w:eastAsia="Courier New" w:hAnsi="Courier New"/>
          <w:sz w:val="18"/>
          <w:szCs w:val="18"/>
          <w:color w:val="auto"/>
        </w:rPr>
        <w:t>INSTRUCTIONS: To withhold authority to vote for any individual nominee, print that nominee's name in the space provided below. IF AUTHORITY TO VOTE FOR NOMINEES IS NOT EXPRESSLY WITHHELD, IT SHALL BE DEEMED GRANTED.</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be signed and dated on other side)</w:t>
      </w:r>
    </w:p>
    <w:p>
      <w:pPr>
        <w:sectPr>
          <w:pgSz w:w="11900" w:h="16838" w:orient="portrait"/>
          <w:cols w:equalWidth="0" w:num="1">
            <w:col w:w="10219"/>
          </w:cols>
          <w:pgMar w:left="240" w:top="919" w:right="1440" w:bottom="1440" w:gutter="0" w:footer="0" w:header="0"/>
          <w:type w:val="continuous"/>
        </w:sectPr>
      </w:pPr>
    </w:p>
    <w:bookmarkStart w:id="17" w:name="page18"/>
    <w:bookmarkEnd w:id="17"/>
    <w:p>
      <w:pPr>
        <w:jc w:val="center"/>
        <w:ind w:right="1879"/>
        <w:spacing w:after="0"/>
        <w:rPr>
          <w:sz w:val="20"/>
          <w:szCs w:val="20"/>
          <w:color w:val="auto"/>
        </w:rPr>
      </w:pPr>
      <w:r>
        <w:rPr>
          <w:rFonts w:ascii="Courier New" w:cs="Courier New" w:eastAsia="Courier New" w:hAnsi="Courier New"/>
          <w:sz w:val="18"/>
          <w:szCs w:val="18"/>
          <w:color w:val="auto"/>
        </w:rPr>
        <w:t>(continued from other side)</w:t>
      </w:r>
    </w:p>
    <w:p>
      <w:pPr>
        <w:spacing w:after="0" w:line="207" w:lineRule="exact"/>
        <w:rPr>
          <w:sz w:val="20"/>
          <w:szCs w:val="20"/>
          <w:color w:val="auto"/>
        </w:rPr>
      </w:pPr>
    </w:p>
    <w:p>
      <w:pPr>
        <w:ind w:left="420" w:right="1879" w:hanging="420"/>
        <w:spacing w:after="0" w:line="235" w:lineRule="auto"/>
        <w:rPr>
          <w:sz w:val="20"/>
          <w:szCs w:val="20"/>
          <w:color w:val="auto"/>
        </w:rPr>
      </w:pPr>
      <w:r>
        <w:rPr>
          <w:rFonts w:ascii="Courier New" w:cs="Courier New" w:eastAsia="Courier New" w:hAnsi="Courier New"/>
          <w:sz w:val="18"/>
          <w:szCs w:val="18"/>
          <w:color w:val="auto"/>
        </w:rPr>
        <w:t>Item 2. OTHER MATTERS--In the proxies discretion on such other business matters as may properly come before the Annual Meeting.</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and in the proxies' discretion on such other business as may properly come before the annual meeting.</w:t>
      </w:r>
    </w:p>
    <w:p>
      <w:pPr>
        <w:spacing w:after="0" w:line="210"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By:...............................</w:t>
      </w:r>
    </w:p>
    <w:p>
      <w:pPr>
        <w:spacing w:after="0" w:line="218"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Your signature should appear</w:t>
      </w:r>
    </w:p>
    <w:p>
      <w:pPr>
        <w:ind w:left="4740"/>
        <w:spacing w:after="0" w:line="238" w:lineRule="auto"/>
        <w:rPr>
          <w:sz w:val="20"/>
          <w:szCs w:val="20"/>
          <w:color w:val="auto"/>
        </w:rPr>
      </w:pPr>
      <w:r>
        <w:rPr>
          <w:rFonts w:ascii="Courier New" w:cs="Courier New" w:eastAsia="Courier New" w:hAnsi="Courier New"/>
          <w:sz w:val="18"/>
          <w:szCs w:val="18"/>
          <w:color w:val="auto"/>
        </w:rPr>
        <w:t>exactly as your name appears in</w:t>
      </w:r>
    </w:p>
    <w:p>
      <w:pPr>
        <w:ind w:left="4740"/>
        <w:spacing w:after="0"/>
        <w:rPr>
          <w:sz w:val="20"/>
          <w:szCs w:val="20"/>
          <w:color w:val="auto"/>
        </w:rPr>
      </w:pPr>
      <w:r>
        <w:rPr>
          <w:rFonts w:ascii="Courier New" w:cs="Courier New" w:eastAsia="Courier New" w:hAnsi="Courier New"/>
          <w:sz w:val="18"/>
          <w:szCs w:val="18"/>
          <w:color w:val="auto"/>
        </w:rPr>
        <w:t>the space at the left. For joint</w:t>
      </w:r>
    </w:p>
    <w:p>
      <w:pPr>
        <w:ind w:left="4740"/>
        <w:spacing w:after="0" w:line="237" w:lineRule="auto"/>
        <w:rPr>
          <w:sz w:val="20"/>
          <w:szCs w:val="20"/>
          <w:color w:val="auto"/>
        </w:rPr>
      </w:pPr>
      <w:r>
        <w:rPr>
          <w:rFonts w:ascii="Courier New" w:cs="Courier New" w:eastAsia="Courier New" w:hAnsi="Courier New"/>
          <w:sz w:val="18"/>
          <w:szCs w:val="18"/>
          <w:color w:val="auto"/>
        </w:rPr>
        <w:t>accounts, all owners should sign.</w:t>
      </w:r>
    </w:p>
    <w:p>
      <w:pPr>
        <w:ind w:left="4740"/>
        <w:spacing w:after="0" w:line="238" w:lineRule="auto"/>
        <w:rPr>
          <w:sz w:val="20"/>
          <w:szCs w:val="20"/>
          <w:color w:val="auto"/>
        </w:rPr>
      </w:pPr>
      <w:r>
        <w:rPr>
          <w:rFonts w:ascii="Courier New" w:cs="Courier New" w:eastAsia="Courier New" w:hAnsi="Courier New"/>
          <w:sz w:val="18"/>
          <w:szCs w:val="18"/>
          <w:color w:val="auto"/>
        </w:rPr>
        <w:t>When signing in a fiduciary or</w:t>
      </w:r>
    </w:p>
    <w:p>
      <w:pPr>
        <w:ind w:left="4740"/>
        <w:spacing w:after="0"/>
        <w:rPr>
          <w:sz w:val="20"/>
          <w:szCs w:val="20"/>
          <w:color w:val="auto"/>
        </w:rPr>
      </w:pPr>
      <w:r>
        <w:rPr>
          <w:rFonts w:ascii="Courier New" w:cs="Courier New" w:eastAsia="Courier New" w:hAnsi="Courier New"/>
          <w:sz w:val="18"/>
          <w:szCs w:val="18"/>
          <w:color w:val="auto"/>
        </w:rPr>
        <w:t>representative capacity, please</w:t>
      </w:r>
    </w:p>
    <w:p>
      <w:pPr>
        <w:ind w:left="4740"/>
        <w:spacing w:after="0" w:line="237" w:lineRule="auto"/>
        <w:rPr>
          <w:sz w:val="20"/>
          <w:szCs w:val="20"/>
          <w:color w:val="auto"/>
        </w:rPr>
      </w:pPr>
      <w:r>
        <w:rPr>
          <w:rFonts w:ascii="Courier New" w:cs="Courier New" w:eastAsia="Courier New" w:hAnsi="Courier New"/>
          <w:sz w:val="18"/>
          <w:szCs w:val="18"/>
          <w:color w:val="auto"/>
        </w:rPr>
        <w:t>give your full title as such.</w:t>
      </w:r>
    </w:p>
    <w:p>
      <w:pPr>
        <w:spacing w:after="0" w:line="202" w:lineRule="exact"/>
        <w:rPr>
          <w:sz w:val="20"/>
          <w:szCs w:val="20"/>
          <w:color w:val="auto"/>
        </w:rPr>
      </w:pPr>
    </w:p>
    <w:p>
      <w:pPr>
        <w:jc w:val="right"/>
        <w:ind w:right="1879"/>
        <w:spacing w:after="0"/>
        <w:tabs>
          <w:tab w:leader="dot" w:pos="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1999</w:t>
      </w:r>
    </w:p>
    <w:p>
      <w:pPr>
        <w:spacing w:after="0" w:line="2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PLEASE SIGN AND RETURN THIS PROXY</w:t>
      </w:r>
    </w:p>
    <w:p>
      <w:pPr>
        <w:ind w:left="4740"/>
        <w:spacing w:after="0" w:line="238" w:lineRule="auto"/>
        <w:rPr>
          <w:sz w:val="20"/>
          <w:szCs w:val="20"/>
          <w:color w:val="auto"/>
        </w:rPr>
      </w:pPr>
      <w:r>
        <w:rPr>
          <w:rFonts w:ascii="Courier New" w:cs="Courier New" w:eastAsia="Courier New" w:hAnsi="Courier New"/>
          <w:sz w:val="18"/>
          <w:szCs w:val="18"/>
          <w:color w:val="auto"/>
        </w:rPr>
        <w:t>IN THE ENCLOSED POSTAGE PAID</w:t>
      </w:r>
    </w:p>
    <w:p>
      <w:pPr>
        <w:ind w:left="4740"/>
        <w:spacing w:after="0"/>
        <w:rPr>
          <w:sz w:val="20"/>
          <w:szCs w:val="20"/>
          <w:color w:val="auto"/>
        </w:rPr>
      </w:pPr>
      <w:r>
        <w:rPr>
          <w:rFonts w:ascii="Courier New" w:cs="Courier New" w:eastAsia="Courier New" w:hAnsi="Courier New"/>
          <w:sz w:val="18"/>
          <w:szCs w:val="18"/>
          <w:color w:val="auto"/>
        </w:rPr>
        <w:t>ENVELOPE AS PROMPTLY AS POSSIBLE.</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upperLetter"/>
      <w:start w:val="24"/>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4"/>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6"/>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2020-02-22T14:25:19Z</dcterms:created>
  <dcterms:modified xsi:type="dcterms:W3CDTF">2020-02-22T14:25:19Z</dcterms:modified>
</cp:coreProperties>
</file>