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Winter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ALLIENT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6400 MAIN STREET,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WILLIAMSVILLE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ALLIENT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ALNT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86"/>
        <w:gridCol w:w="911"/>
        <w:gridCol w:w="780"/>
        <w:gridCol w:w="605"/>
        <w:gridCol w:w="348"/>
        <w:gridCol w:w="796"/>
        <w:gridCol w:w="448"/>
        <w:gridCol w:w="756"/>
        <w:gridCol w:w="1155"/>
        <w:gridCol w:w="993"/>
        <w:gridCol w:w="11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291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93.25</w:t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39,985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Individual 401(k)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quarterly retainer shares pursuant to the Company's Non-Employee Director Compensation Policy under the 2017 Omnibus Incentive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C. Donlon, attorney-in-fact for Michael R. Winter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2951" TargetMode="External"/><Relationship Id="rId5" Type="http://schemas.openxmlformats.org/officeDocument/2006/relationships/hyperlink" Target="http://www.sec.gov/cgi-bin/browse-edgar?action=getcompany&amp;CIK=0000046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3249</Characters>
  <CharactersWithSpaces>3774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