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ind w:right="-79"/>
        <w:spacing w:after="0"/>
        <w:rPr>
          <w:sz w:val="20"/>
          <w:szCs w:val="20"/>
          <w:color w:val="auto"/>
        </w:rPr>
      </w:pPr>
      <w:r>
        <w:rPr>
          <w:rFonts w:ascii="Arial" w:cs="Arial" w:eastAsia="Arial" w:hAnsi="Arial"/>
          <w:sz w:val="23"/>
          <w:szCs w:val="23"/>
          <w:b w:val="1"/>
          <w:bCs w:val="1"/>
          <w:color w:val="auto"/>
        </w:rPr>
        <w:t>SCHEDULE 14A</w:t>
      </w:r>
    </w:p>
    <w:p>
      <w:pPr>
        <w:sectPr>
          <w:pgSz w:w="11900" w:h="16838" w:orient="portrait"/>
          <w:cols w:equalWidth="0" w:num="1">
            <w:col w:w="11160"/>
          </w:cols>
          <w:pgMar w:left="320" w:top="702" w:right="419" w:bottom="1440" w:gutter="0" w:footer="0" w:header="0"/>
        </w:sectPr>
      </w:pPr>
    </w:p>
    <w:p>
      <w:pPr>
        <w:spacing w:after="0" w:line="239" w:lineRule="exact"/>
        <w:rPr>
          <w:sz w:val="24"/>
          <w:szCs w:val="24"/>
          <w:color w:val="auto"/>
        </w:rPr>
      </w:pPr>
    </w:p>
    <w:p>
      <w:pPr>
        <w:jc w:val="both"/>
        <w:ind w:left="3340" w:firstLine="662"/>
        <w:spacing w:after="0" w:line="342" w:lineRule="auto"/>
        <w:rPr>
          <w:sz w:val="20"/>
          <w:szCs w:val="20"/>
          <w:color w:val="auto"/>
        </w:rPr>
      </w:pPr>
      <w:r>
        <w:rPr>
          <w:rFonts w:ascii="Arial" w:cs="Arial" w:eastAsia="Arial" w:hAnsi="Arial"/>
          <w:sz w:val="16"/>
          <w:szCs w:val="16"/>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2" w:lineRule="exact"/>
        <w:rPr>
          <w:sz w:val="24"/>
          <w:szCs w:val="24"/>
          <w:color w:val="auto"/>
        </w:rPr>
      </w:pPr>
    </w:p>
    <w:p>
      <w:pPr>
        <w:sectPr>
          <w:pgSz w:w="11900" w:h="16838" w:orient="portrait"/>
          <w:cols w:equalWidth="0" w:num="2">
            <w:col w:w="7280" w:space="580"/>
            <w:col w:w="3300"/>
          </w:cols>
          <w:pgMar w:left="320" w:top="702" w:right="419" w:bottom="1440" w:gutter="0" w:footer="0" w:header="0"/>
          <w:type w:val="continuous"/>
        </w:sectPr>
      </w:pPr>
    </w:p>
    <w:p>
      <w:pPr>
        <w:ind w:left="1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ind w:left="14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ind w:left="140"/>
        <w:spacing w:after="0"/>
        <w:rPr>
          <w:sz w:val="20"/>
          <w:szCs w:val="20"/>
          <w:color w:val="auto"/>
        </w:rPr>
      </w:pPr>
      <w:r>
        <w:rPr>
          <w:rFonts w:ascii="Arial" w:cs="Arial" w:eastAsia="Arial" w:hAnsi="Arial"/>
          <w:sz w:val="18"/>
          <w:szCs w:val="18"/>
          <w:color w:val="auto"/>
        </w:rPr>
        <w:t>Check the appropriate box:</w:t>
      </w:r>
    </w:p>
    <w:p>
      <w:pPr>
        <w:spacing w:after="0" w:line="2" w:lineRule="exact"/>
        <w:rPr>
          <w:sz w:val="24"/>
          <w:szCs w:val="24"/>
          <w:color w:val="auto"/>
        </w:rPr>
      </w:pPr>
    </w:p>
    <w:p>
      <w:pPr>
        <w:ind w:left="640" w:hanging="50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640" w:hanging="50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14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9" w:lineRule="exact"/>
        <w:rPr>
          <w:rFonts w:ascii="MS PGothic" w:cs="MS PGothic" w:eastAsia="MS PGothic" w:hAnsi="MS PGothic"/>
          <w:sz w:val="18"/>
          <w:szCs w:val="18"/>
          <w:color w:val="auto"/>
        </w:rPr>
      </w:pPr>
    </w:p>
    <w:p>
      <w:pPr>
        <w:ind w:left="640" w:hanging="50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640" w:hanging="50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Allied Motion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59"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640" w:hanging="632"/>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640" w:hanging="632"/>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180" w:hanging="540"/>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2" w:lineRule="exact"/>
        <w:rPr>
          <w:rFonts w:ascii="Arial" w:cs="Arial" w:eastAsia="Arial" w:hAnsi="Arial"/>
          <w:sz w:val="18"/>
          <w:szCs w:val="18"/>
          <w:color w:val="auto"/>
        </w:rPr>
      </w:pPr>
    </w:p>
    <w:p>
      <w:pPr>
        <w:ind w:left="1180" w:hanging="540"/>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80" w:right="180" w:hanging="540"/>
        <w:spacing w:after="0" w:line="277" w:lineRule="auto"/>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80" w:hanging="540"/>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80" w:hanging="540"/>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640" w:hanging="632"/>
        <w:spacing w:after="0" w:line="264" w:lineRule="auto"/>
        <w:tabs>
          <w:tab w:leader="none" w:pos="6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80" w:hanging="540"/>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180" w:hanging="540"/>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180" w:hanging="540"/>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180" w:hanging="540"/>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34" w:lineRule="exact"/>
        <w:rPr>
          <w:rFonts w:ascii="Arial" w:cs="Arial" w:eastAsia="Arial" w:hAnsi="Arial"/>
          <w:sz w:val="18"/>
          <w:szCs w:val="18"/>
          <w:color w:val="auto"/>
        </w:rPr>
      </w:pPr>
    </w:p>
    <w:p>
      <w:pPr>
        <w:ind w:left="1180" w:right="34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-305435</wp:posOffset>
            </wp:positionV>
            <wp:extent cx="64122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-588010</wp:posOffset>
            </wp:positionV>
            <wp:extent cx="641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-871220</wp:posOffset>
            </wp:positionV>
            <wp:extent cx="641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-1153795</wp:posOffset>
            </wp:positionV>
            <wp:extent cx="64122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-1839595</wp:posOffset>
            </wp:positionV>
            <wp:extent cx="6412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-2122805</wp:posOffset>
            </wp:positionV>
            <wp:extent cx="64122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-2405380</wp:posOffset>
            </wp:positionV>
            <wp:extent cx="64122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-2825750</wp:posOffset>
            </wp:positionV>
            <wp:extent cx="64122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-3108325</wp:posOffset>
            </wp:positionV>
            <wp:extent cx="64122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702" w:right="419" w:bottom="1440" w:gutter="0" w:footer="0" w:header="0"/>
          <w:type w:val="continuous"/>
        </w:sectPr>
      </w:pPr>
    </w:p>
    <w:bookmarkStart w:id="1" w:name="page2"/>
    <w:bookmarkEnd w:id="1"/>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2557145</wp:posOffset>
            </wp:positionH>
            <wp:positionV relativeFrom="page">
              <wp:posOffset>586105</wp:posOffset>
            </wp:positionV>
            <wp:extent cx="2434590" cy="386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434590" cy="38608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ALLIED MOTION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495 Commerce Drive, Suite 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Amherst, New York 14228</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6,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Allied Motion Technologies Inc.:</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 are hereby notified that the 2020 Annual Meeting of Shareholders of Allied Motion Technologies Inc. (the “Company”) will be held virtually on Wednesday, May 6, 2020 at 9:00 a.m. (Eastern Time). The meeting can be accessed by visiting www.virtualshareholdermeeting.com/AMOT2020, where you will be able to listen to the meeting live, submit questions and vote online.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this meeting, the shareholders will be asked to act on the following matters:</w:t>
      </w:r>
    </w:p>
    <w:p>
      <w:pPr>
        <w:spacing w:after="0" w:line="225"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seven directors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provide an advisory approval of the compensation of our named executive officers;</w:t>
      </w:r>
    </w:p>
    <w:p>
      <w:pPr>
        <w:spacing w:after="0" w:line="225"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the Company’s independent registered public accounting firm for the 2020 fiscal year;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2020 Annual Meeting or any adjournment thereof.</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Only shareholders of record at the close of business on March 11, 2020 are entitled to notice of and to vote at the 2020 Annual Meeting and any adjournment thereof.</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To attend the Annual Meeting, you will need the 16-digit control number included on your proxy card or on the instructions that accompanied your proxy materials. Shares held in your name as the shareholder of record may be voted electronically during the Annual Meeting. Shares for which you are the beneficial owner but not the shareholder of record also may be voted electronically during the Annual Meeting. Even if you plan to attend the Annual Meeting online, we recommend that you vote by proxy in advance so that your vote will be counted if you later decide not to participate in the Annual Meeting. The Annual Meeting will begin promptly at 9:00 a.m. (Eastern Time). Online check-in will begin at 8:45 a.m. (Eastern Time), and you should allow ample time for the online check-in procedures.</w:t>
      </w:r>
    </w:p>
    <w:p>
      <w:pPr>
        <w:spacing w:after="0" w:line="192"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 xml:space="preserve">If your shares are held in street name and YOU do not vote your shares, your broker or other nominee generally can no longer vote them for you and your shares will remain unvoted. </w:t>
      </w:r>
      <w:r>
        <w:rPr>
          <w:rFonts w:ascii="Arial" w:cs="Arial" w:eastAsia="Arial" w:hAnsi="Arial"/>
          <w:sz w:val="16"/>
          <w:szCs w:val="16"/>
          <w:b w:val="1"/>
          <w:bCs w:val="1"/>
          <w:color w:val="auto"/>
        </w:rPr>
        <w:t>THEREFORE, IT IS VERY IMPORTANT THAT YOU VOTE YOUR SHARES FOR ALL PROPOSALS.</w:t>
      </w:r>
    </w:p>
    <w:p>
      <w:pPr>
        <w:spacing w:after="0" w:line="1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1234440" cy="488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3444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Joseph P. Kubarek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3, 2020</w:t>
      </w:r>
    </w:p>
    <w:p>
      <w:pPr>
        <w:spacing w:after="0" w:line="22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Important Notice Regarding the Internet Availability of Proxy Materials: This Proxy Statement and the Company’s Annual Report are available on the Internet at https://materials.proxyvote.com/019330.</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10020" w:type="dxa"/>
            <w:vAlign w:val="bottom"/>
          </w:tcPr>
          <w:p>
            <w:pPr>
              <w:spacing w:after="0"/>
              <w:rPr>
                <w:sz w:val="24"/>
                <w:szCs w:val="24"/>
                <w:color w:val="auto"/>
              </w:rPr>
            </w:pPr>
          </w:p>
        </w:tc>
        <w:tc>
          <w:tcPr>
            <w:tcW w:w="1220" w:type="dxa"/>
            <w:vAlign w:val="bottom"/>
            <w:gridSpan w:val="2"/>
          </w:tcPr>
          <w:p>
            <w:pPr>
              <w:ind w:left="760"/>
              <w:spacing w:after="0"/>
              <w:rPr>
                <w:sz w:val="20"/>
                <w:szCs w:val="20"/>
                <w:color w:val="auto"/>
              </w:rPr>
            </w:pPr>
            <w:r>
              <w:rPr>
                <w:rFonts w:ascii="Arial" w:cs="Arial" w:eastAsia="Arial" w:hAnsi="Arial"/>
                <w:sz w:val="18"/>
                <w:szCs w:val="18"/>
                <w:color w:val="auto"/>
              </w:rPr>
              <w:t>Page</w:t>
            </w:r>
          </w:p>
        </w:tc>
      </w:tr>
      <w:tr>
        <w:trPr>
          <w:trHeight w:val="209"/>
        </w:trPr>
        <w:tc>
          <w:tcPr>
            <w:tcW w:w="10020" w:type="dxa"/>
            <w:vAlign w:val="bottom"/>
            <w:tcBorders>
              <w:top w:val="single" w:sz="8" w:color="CCEEFF"/>
            </w:tcBorders>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QUESTIONS AND ANSWERS ABOUT THE 2020 ANNUAL MEETING</w:t>
              </w:r>
            </w:hyperlink>
          </w:p>
        </w:tc>
        <w:tc>
          <w:tcPr>
            <w:tcW w:w="1120" w:type="dxa"/>
            <w:vAlign w:val="bottom"/>
            <w:tcBorders>
              <w:top w:val="single" w:sz="8" w:color="auto"/>
            </w:tcBorders>
            <w:shd w:val="clear" w:color="auto" w:fill="CCEEFF"/>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CORPORATE GOVERNANCE AND BOARD MATTERS</w:t>
              </w:r>
            </w:hyperlink>
          </w:p>
        </w:tc>
        <w:tc>
          <w:tcPr>
            <w:tcW w:w="1220" w:type="dxa"/>
            <w:vAlign w:val="bottom"/>
            <w:gridSpan w:val="2"/>
          </w:tcPr>
          <w:p>
            <w:pPr>
              <w:jc w:val="right"/>
              <w:ind w:right="1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4</w:t>
              </w:r>
            </w:hyperlink>
          </w:p>
        </w:tc>
      </w:tr>
      <w:tr>
        <w:trPr>
          <w:trHeight w:val="216"/>
        </w:trPr>
        <w:tc>
          <w:tcPr>
            <w:tcW w:w="10020" w:type="dxa"/>
            <w:vAlign w:val="bottom"/>
            <w:shd w:val="clear" w:color="auto" w:fill="CCEEFF"/>
          </w:tcPr>
          <w:p>
            <w:pPr>
              <w:ind w:left="3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Director Qualifications and Biographical Information</w:t>
              </w:r>
            </w:hyperlink>
          </w:p>
        </w:tc>
        <w:tc>
          <w:tcPr>
            <w:tcW w:w="1220" w:type="dxa"/>
            <w:vAlign w:val="bottom"/>
            <w:gridSpan w:val="2"/>
            <w:shd w:val="clear" w:color="auto" w:fill="CCEEFF"/>
          </w:tcPr>
          <w:p>
            <w:pPr>
              <w:jc w:val="right"/>
              <w:ind w:right="1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4</w:t>
              </w:r>
            </w:hyperlink>
          </w:p>
        </w:tc>
      </w:tr>
      <w:tr>
        <w:trPr>
          <w:trHeight w:val="216"/>
        </w:trPr>
        <w:tc>
          <w:tcPr>
            <w:tcW w:w="10020" w:type="dxa"/>
            <w:vAlign w:val="bottom"/>
          </w:tcPr>
          <w:p>
            <w:pPr>
              <w:ind w:left="3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Independent Directors</w:t>
              </w:r>
            </w:hyperlink>
          </w:p>
        </w:tc>
        <w:tc>
          <w:tcPr>
            <w:tcW w:w="1220" w:type="dxa"/>
            <w:vAlign w:val="bottom"/>
            <w:gridSpan w:val="2"/>
          </w:tcPr>
          <w:p>
            <w:pPr>
              <w:jc w:val="right"/>
              <w:ind w:right="10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5</w:t>
              </w:r>
            </w:hyperlink>
          </w:p>
        </w:tc>
      </w:tr>
      <w:tr>
        <w:trPr>
          <w:trHeight w:val="216"/>
        </w:trPr>
        <w:tc>
          <w:tcPr>
            <w:tcW w:w="10020" w:type="dxa"/>
            <w:vAlign w:val="bottom"/>
            <w:shd w:val="clear" w:color="auto" w:fill="CCEEFF"/>
          </w:tcPr>
          <w:p>
            <w:pPr>
              <w:ind w:left="3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Board Leadership Structure</w:t>
              </w:r>
            </w:hyperlink>
          </w:p>
        </w:tc>
        <w:tc>
          <w:tcPr>
            <w:tcW w:w="1220" w:type="dxa"/>
            <w:vAlign w:val="bottom"/>
            <w:gridSpan w:val="2"/>
            <w:shd w:val="clear" w:color="auto" w:fill="CCEEFF"/>
          </w:tcPr>
          <w:p>
            <w:pPr>
              <w:jc w:val="right"/>
              <w:ind w:right="10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5</w:t>
              </w:r>
            </w:hyperlink>
          </w:p>
        </w:tc>
      </w:tr>
      <w:tr>
        <w:trPr>
          <w:trHeight w:val="216"/>
        </w:trPr>
        <w:tc>
          <w:tcPr>
            <w:tcW w:w="10020" w:type="dxa"/>
            <w:vAlign w:val="bottom"/>
          </w:tcPr>
          <w:p>
            <w:pPr>
              <w:ind w:left="3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Shareholder Communication With the Board</w:t>
              </w:r>
            </w:hyperlink>
          </w:p>
        </w:tc>
        <w:tc>
          <w:tcPr>
            <w:tcW w:w="1220" w:type="dxa"/>
            <w:vAlign w:val="bottom"/>
            <w:gridSpan w:val="2"/>
          </w:tcPr>
          <w:p>
            <w:pPr>
              <w:jc w:val="right"/>
              <w:ind w:right="10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6</w:t>
              </w:r>
            </w:hyperlink>
          </w:p>
        </w:tc>
      </w:tr>
      <w:tr>
        <w:trPr>
          <w:trHeight w:val="216"/>
        </w:trPr>
        <w:tc>
          <w:tcPr>
            <w:tcW w:w="10020" w:type="dxa"/>
            <w:vAlign w:val="bottom"/>
            <w:shd w:val="clear" w:color="auto" w:fill="CCEEFF"/>
          </w:tcPr>
          <w:p>
            <w:pPr>
              <w:ind w:left="3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Committees and Meeting Data</w:t>
              </w:r>
            </w:hyperlink>
          </w:p>
        </w:tc>
        <w:tc>
          <w:tcPr>
            <w:tcW w:w="1220" w:type="dxa"/>
            <w:vAlign w:val="bottom"/>
            <w:gridSpan w:val="2"/>
            <w:shd w:val="clear" w:color="auto" w:fill="CCEEFF"/>
          </w:tcPr>
          <w:p>
            <w:pPr>
              <w:jc w:val="right"/>
              <w:ind w:right="10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6</w:t>
              </w:r>
            </w:hyperlink>
          </w:p>
        </w:tc>
      </w:tr>
      <w:tr>
        <w:trPr>
          <w:trHeight w:val="216"/>
        </w:trPr>
        <w:tc>
          <w:tcPr>
            <w:tcW w:w="10020" w:type="dxa"/>
            <w:vAlign w:val="bottom"/>
          </w:tcPr>
          <w:p>
            <w:pPr>
              <w:ind w:left="3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Board Oversight of Risk Management</w:t>
              </w:r>
            </w:hyperlink>
          </w:p>
        </w:tc>
        <w:tc>
          <w:tcPr>
            <w:tcW w:w="1220" w:type="dxa"/>
            <w:vAlign w:val="bottom"/>
            <w:gridSpan w:val="2"/>
          </w:tcPr>
          <w:p>
            <w:pPr>
              <w:jc w:val="right"/>
              <w:ind w:right="10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7</w:t>
              </w:r>
            </w:hyperlink>
          </w:p>
        </w:tc>
      </w:tr>
      <w:tr>
        <w:trPr>
          <w:trHeight w:val="216"/>
        </w:trPr>
        <w:tc>
          <w:tcPr>
            <w:tcW w:w="10020" w:type="dxa"/>
            <w:vAlign w:val="bottom"/>
            <w:shd w:val="clear" w:color="auto" w:fill="CCEEFF"/>
          </w:tcPr>
          <w:p>
            <w:pPr>
              <w:ind w:left="3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Nominating Procedures</w:t>
              </w:r>
            </w:hyperlink>
          </w:p>
        </w:tc>
        <w:tc>
          <w:tcPr>
            <w:tcW w:w="1220" w:type="dxa"/>
            <w:vAlign w:val="bottom"/>
            <w:gridSpan w:val="2"/>
            <w:shd w:val="clear" w:color="auto" w:fill="CCEEFF"/>
          </w:tcPr>
          <w:p>
            <w:pPr>
              <w:jc w:val="right"/>
              <w:ind w:right="10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7</w:t>
              </w:r>
            </w:hyperlink>
          </w:p>
        </w:tc>
      </w:tr>
      <w:tr>
        <w:trPr>
          <w:trHeight w:val="216"/>
        </w:trPr>
        <w:tc>
          <w:tcPr>
            <w:tcW w:w="10020" w:type="dxa"/>
            <w:vAlign w:val="bottom"/>
          </w:tcPr>
          <w:p>
            <w:pPr>
              <w:ind w:left="3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Board Attendance at Meetings</w:t>
              </w:r>
            </w:hyperlink>
          </w:p>
        </w:tc>
        <w:tc>
          <w:tcPr>
            <w:tcW w:w="1220" w:type="dxa"/>
            <w:vAlign w:val="bottom"/>
            <w:gridSpan w:val="2"/>
          </w:tcPr>
          <w:p>
            <w:pPr>
              <w:jc w:val="right"/>
              <w:ind w:right="10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7</w:t>
              </w:r>
            </w:hyperlink>
          </w:p>
        </w:tc>
      </w:tr>
      <w:tr>
        <w:trPr>
          <w:trHeight w:val="216"/>
        </w:trPr>
        <w:tc>
          <w:tcPr>
            <w:tcW w:w="10020" w:type="dxa"/>
            <w:vAlign w:val="bottom"/>
            <w:shd w:val="clear" w:color="auto" w:fill="CCEEFF"/>
          </w:tcPr>
          <w:p>
            <w:pPr>
              <w:ind w:left="3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Compensation Committee Interlocks</w:t>
              </w:r>
            </w:hyperlink>
          </w:p>
        </w:tc>
        <w:tc>
          <w:tcPr>
            <w:tcW w:w="1220" w:type="dxa"/>
            <w:vAlign w:val="bottom"/>
            <w:gridSpan w:val="2"/>
            <w:shd w:val="clear" w:color="auto" w:fill="CCEEFF"/>
          </w:tcPr>
          <w:p>
            <w:pPr>
              <w:jc w:val="right"/>
              <w:ind w:right="10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8</w:t>
              </w:r>
            </w:hyperlink>
          </w:p>
        </w:tc>
      </w:tr>
      <w:tr>
        <w:trPr>
          <w:trHeight w:val="216"/>
        </w:trPr>
        <w:tc>
          <w:tcPr>
            <w:tcW w:w="10020" w:type="dxa"/>
            <w:vAlign w:val="bottom"/>
          </w:tcPr>
          <w:p>
            <w:pPr>
              <w:ind w:left="3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Ownership Guidelines for Directors and Officers</w:t>
              </w:r>
            </w:hyperlink>
          </w:p>
        </w:tc>
        <w:tc>
          <w:tcPr>
            <w:tcW w:w="1220" w:type="dxa"/>
            <w:vAlign w:val="bottom"/>
            <w:gridSpan w:val="2"/>
          </w:tcPr>
          <w:p>
            <w:pPr>
              <w:jc w:val="right"/>
              <w:ind w:right="10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8</w:t>
              </w:r>
            </w:hyperlink>
          </w:p>
        </w:tc>
      </w:tr>
      <w:tr>
        <w:trPr>
          <w:trHeight w:val="216"/>
        </w:trPr>
        <w:tc>
          <w:tcPr>
            <w:tcW w:w="10020" w:type="dxa"/>
            <w:vAlign w:val="bottom"/>
            <w:shd w:val="clear" w:color="auto" w:fill="CCEEFF"/>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PROPOSALS TO BE VOTED ON</w:t>
              </w:r>
            </w:hyperlink>
          </w:p>
        </w:tc>
        <w:tc>
          <w:tcPr>
            <w:tcW w:w="1220" w:type="dxa"/>
            <w:vAlign w:val="bottom"/>
            <w:gridSpan w:val="2"/>
            <w:shd w:val="clear" w:color="auto" w:fill="CCEEFF"/>
          </w:tcPr>
          <w:p>
            <w:pPr>
              <w:jc w:val="right"/>
              <w:ind w:right="10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8</w:t>
              </w:r>
            </w:hyperlink>
          </w:p>
        </w:tc>
      </w:tr>
      <w:tr>
        <w:trPr>
          <w:trHeight w:val="216"/>
        </w:trPr>
        <w:tc>
          <w:tcPr>
            <w:tcW w:w="10020" w:type="dxa"/>
            <w:vAlign w:val="bottom"/>
          </w:tcPr>
          <w:p>
            <w:pPr>
              <w:ind w:left="3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Proposal 1 – Election of Directors</w:t>
              </w:r>
            </w:hyperlink>
          </w:p>
        </w:tc>
        <w:tc>
          <w:tcPr>
            <w:tcW w:w="1220" w:type="dxa"/>
            <w:vAlign w:val="bottom"/>
            <w:gridSpan w:val="2"/>
          </w:tcPr>
          <w:p>
            <w:pPr>
              <w:jc w:val="right"/>
              <w:ind w:right="10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8</w:t>
              </w:r>
            </w:hyperlink>
          </w:p>
        </w:tc>
      </w:tr>
      <w:tr>
        <w:trPr>
          <w:trHeight w:val="216"/>
        </w:trPr>
        <w:tc>
          <w:tcPr>
            <w:tcW w:w="10020" w:type="dxa"/>
            <w:vAlign w:val="bottom"/>
            <w:shd w:val="clear" w:color="auto" w:fill="CCEEFF"/>
          </w:tcPr>
          <w:p>
            <w:pPr>
              <w:ind w:left="3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Proposal 2 – Advisory Vote on Executive Compensation</w:t>
              </w:r>
            </w:hyperlink>
          </w:p>
        </w:tc>
        <w:tc>
          <w:tcPr>
            <w:tcW w:w="1220" w:type="dxa"/>
            <w:vAlign w:val="bottom"/>
            <w:gridSpan w:val="2"/>
            <w:shd w:val="clear" w:color="auto" w:fill="CCEEFF"/>
          </w:tcPr>
          <w:p>
            <w:pPr>
              <w:jc w:val="right"/>
              <w:ind w:right="10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8</w:t>
              </w:r>
            </w:hyperlink>
          </w:p>
        </w:tc>
      </w:tr>
      <w:tr>
        <w:trPr>
          <w:trHeight w:val="216"/>
        </w:trPr>
        <w:tc>
          <w:tcPr>
            <w:tcW w:w="10020" w:type="dxa"/>
            <w:vAlign w:val="bottom"/>
          </w:tcPr>
          <w:p>
            <w:pPr>
              <w:ind w:left="3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Proposal 3 – Advisory Vote on the Ratification of Independent Registered Public Accounting Firm</w:t>
              </w:r>
            </w:hyperlink>
          </w:p>
        </w:tc>
        <w:tc>
          <w:tcPr>
            <w:tcW w:w="1220" w:type="dxa"/>
            <w:vAlign w:val="bottom"/>
            <w:gridSpan w:val="2"/>
          </w:tcPr>
          <w:p>
            <w:pPr>
              <w:jc w:val="right"/>
              <w:ind w:right="10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9</w:t>
              </w:r>
            </w:hyperlink>
          </w:p>
        </w:tc>
      </w:tr>
      <w:tr>
        <w:trPr>
          <w:trHeight w:val="216"/>
        </w:trPr>
        <w:tc>
          <w:tcPr>
            <w:tcW w:w="10020" w:type="dxa"/>
            <w:vAlign w:val="bottom"/>
            <w:shd w:val="clear" w:color="auto" w:fill="CCEEFF"/>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EXECUTIVE OFFICERS</w:t>
              </w:r>
            </w:hyperlink>
          </w:p>
        </w:tc>
        <w:tc>
          <w:tcPr>
            <w:tcW w:w="1220" w:type="dxa"/>
            <w:vAlign w:val="bottom"/>
            <w:gridSpan w:val="2"/>
            <w:shd w:val="clear" w:color="auto" w:fill="CCEEFF"/>
          </w:tcPr>
          <w:p>
            <w:pPr>
              <w:jc w:val="right"/>
              <w:ind w:right="10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9</w:t>
              </w:r>
            </w:hyperlink>
          </w:p>
        </w:tc>
      </w:tr>
      <w:tr>
        <w:trPr>
          <w:trHeight w:val="216"/>
        </w:trPr>
        <w:tc>
          <w:tcPr>
            <w:tcW w:w="1002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COMPENSATION OF EXECUTIVE OFFICERS</w:t>
              </w:r>
            </w:hyperlink>
          </w:p>
        </w:tc>
        <w:tc>
          <w:tcPr>
            <w:tcW w:w="1220" w:type="dxa"/>
            <w:vAlign w:val="bottom"/>
            <w:gridSpan w:val="2"/>
          </w:tcPr>
          <w:p>
            <w:pPr>
              <w:jc w:val="right"/>
              <w:ind w:right="10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10</w:t>
              </w:r>
            </w:hyperlink>
          </w:p>
        </w:tc>
      </w:tr>
      <w:tr>
        <w:trPr>
          <w:trHeight w:val="216"/>
        </w:trPr>
        <w:tc>
          <w:tcPr>
            <w:tcW w:w="10020" w:type="dxa"/>
            <w:vAlign w:val="bottom"/>
            <w:shd w:val="clear" w:color="auto" w:fill="CCEEFF"/>
          </w:tcPr>
          <w:p>
            <w:pPr>
              <w:ind w:left="34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Compensation Discussion and Analysis</w:t>
              </w:r>
            </w:hyperlink>
          </w:p>
        </w:tc>
        <w:tc>
          <w:tcPr>
            <w:tcW w:w="1220" w:type="dxa"/>
            <w:vAlign w:val="bottom"/>
            <w:gridSpan w:val="2"/>
            <w:shd w:val="clear" w:color="auto" w:fill="CCEEFF"/>
          </w:tcPr>
          <w:p>
            <w:pPr>
              <w:jc w:val="right"/>
              <w:ind w:right="10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10</w:t>
              </w:r>
            </w:hyperlink>
          </w:p>
        </w:tc>
      </w:tr>
      <w:tr>
        <w:trPr>
          <w:trHeight w:val="216"/>
        </w:trPr>
        <w:tc>
          <w:tcPr>
            <w:tcW w:w="10020" w:type="dxa"/>
            <w:vAlign w:val="bottom"/>
          </w:tcPr>
          <w:p>
            <w:pPr>
              <w:ind w:left="3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Director Compensation in 2019</w:t>
              </w:r>
            </w:hyperlink>
          </w:p>
        </w:tc>
        <w:tc>
          <w:tcPr>
            <w:tcW w:w="1220" w:type="dxa"/>
            <w:vAlign w:val="bottom"/>
            <w:gridSpan w:val="2"/>
          </w:tcPr>
          <w:p>
            <w:pPr>
              <w:jc w:val="right"/>
              <w:ind w:right="10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17</w:t>
              </w:r>
            </w:hyperlink>
          </w:p>
        </w:tc>
      </w:tr>
      <w:tr>
        <w:trPr>
          <w:trHeight w:val="216"/>
        </w:trPr>
        <w:tc>
          <w:tcPr>
            <w:tcW w:w="10020" w:type="dxa"/>
            <w:vAlign w:val="bottom"/>
            <w:shd w:val="clear" w:color="auto" w:fill="CCEEFF"/>
          </w:tcPr>
          <w:p>
            <w:pPr>
              <w:ind w:left="3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Chief Executive Officer Employment Agreement</w:t>
              </w:r>
            </w:hyperlink>
          </w:p>
        </w:tc>
        <w:tc>
          <w:tcPr>
            <w:tcW w:w="1220" w:type="dxa"/>
            <w:vAlign w:val="bottom"/>
            <w:gridSpan w:val="2"/>
            <w:shd w:val="clear" w:color="auto" w:fill="CCEEFF"/>
          </w:tcPr>
          <w:p>
            <w:pPr>
              <w:jc w:val="right"/>
              <w:ind w:right="10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18</w:t>
              </w:r>
            </w:hyperlink>
          </w:p>
        </w:tc>
      </w:tr>
      <w:tr>
        <w:trPr>
          <w:trHeight w:val="216"/>
        </w:trPr>
        <w:tc>
          <w:tcPr>
            <w:tcW w:w="10020" w:type="dxa"/>
            <w:vAlign w:val="bottom"/>
          </w:tcPr>
          <w:p>
            <w:pPr>
              <w:ind w:left="34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Report of the Compensation Committee</w:t>
              </w:r>
            </w:hyperlink>
          </w:p>
        </w:tc>
        <w:tc>
          <w:tcPr>
            <w:tcW w:w="1220" w:type="dxa"/>
            <w:vAlign w:val="bottom"/>
            <w:gridSpan w:val="2"/>
          </w:tcPr>
          <w:p>
            <w:pPr>
              <w:jc w:val="right"/>
              <w:ind w:right="10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20</w:t>
              </w:r>
            </w:hyperlink>
          </w:p>
        </w:tc>
      </w:tr>
      <w:tr>
        <w:trPr>
          <w:trHeight w:val="216"/>
        </w:trPr>
        <w:tc>
          <w:tcPr>
            <w:tcW w:w="10020" w:type="dxa"/>
            <w:vAlign w:val="bottom"/>
            <w:shd w:val="clear" w:color="auto" w:fill="CCEEFF"/>
          </w:tcPr>
          <w:p>
            <w:pPr>
              <w:ind w:left="34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Pay Ratio Disclosure</w:t>
              </w:r>
            </w:hyperlink>
          </w:p>
        </w:tc>
        <w:tc>
          <w:tcPr>
            <w:tcW w:w="1220" w:type="dxa"/>
            <w:vAlign w:val="bottom"/>
            <w:gridSpan w:val="2"/>
            <w:shd w:val="clear" w:color="auto" w:fill="CCEEFF"/>
          </w:tcPr>
          <w:p>
            <w:pPr>
              <w:jc w:val="right"/>
              <w:ind w:right="10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20</w:t>
              </w:r>
            </w:hyperlink>
          </w:p>
        </w:tc>
      </w:tr>
      <w:tr>
        <w:trPr>
          <w:trHeight w:val="216"/>
        </w:trPr>
        <w:tc>
          <w:tcPr>
            <w:tcW w:w="10020" w:type="dxa"/>
            <w:vAlign w:val="bottom"/>
          </w:tcPr>
          <w:p>
            <w:pPr>
              <w:ind w:left="3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Summary Compensation Table</w:t>
              </w:r>
            </w:hyperlink>
          </w:p>
        </w:tc>
        <w:tc>
          <w:tcPr>
            <w:tcW w:w="1220" w:type="dxa"/>
            <w:vAlign w:val="bottom"/>
            <w:gridSpan w:val="2"/>
          </w:tcPr>
          <w:p>
            <w:pPr>
              <w:jc w:val="right"/>
              <w:ind w:right="10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21</w:t>
              </w:r>
            </w:hyperlink>
          </w:p>
        </w:tc>
      </w:tr>
      <w:tr>
        <w:trPr>
          <w:trHeight w:val="216"/>
        </w:trPr>
        <w:tc>
          <w:tcPr>
            <w:tcW w:w="10020" w:type="dxa"/>
            <w:vAlign w:val="bottom"/>
            <w:shd w:val="clear" w:color="auto" w:fill="CCEEFF"/>
          </w:tcPr>
          <w:p>
            <w:pPr>
              <w:ind w:left="3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Grants of Plan-Based Awards in 2019</w:t>
              </w:r>
            </w:hyperlink>
          </w:p>
        </w:tc>
        <w:tc>
          <w:tcPr>
            <w:tcW w:w="1220" w:type="dxa"/>
            <w:vAlign w:val="bottom"/>
            <w:gridSpan w:val="2"/>
            <w:shd w:val="clear" w:color="auto" w:fill="CCEEFF"/>
          </w:tcPr>
          <w:p>
            <w:pPr>
              <w:jc w:val="right"/>
              <w:ind w:right="10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21</w:t>
              </w:r>
            </w:hyperlink>
          </w:p>
        </w:tc>
      </w:tr>
      <w:tr>
        <w:trPr>
          <w:trHeight w:val="216"/>
        </w:trPr>
        <w:tc>
          <w:tcPr>
            <w:tcW w:w="10020" w:type="dxa"/>
            <w:vAlign w:val="bottom"/>
          </w:tcPr>
          <w:p>
            <w:pPr>
              <w:ind w:left="3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Outstanding Equity Awards at 2019 Fiscal Year End</w:t>
              </w:r>
            </w:hyperlink>
          </w:p>
        </w:tc>
        <w:tc>
          <w:tcPr>
            <w:tcW w:w="1220" w:type="dxa"/>
            <w:vAlign w:val="bottom"/>
            <w:gridSpan w:val="2"/>
          </w:tcPr>
          <w:p>
            <w:pPr>
              <w:jc w:val="right"/>
              <w:ind w:right="10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22</w:t>
              </w:r>
            </w:hyperlink>
          </w:p>
        </w:tc>
      </w:tr>
      <w:tr>
        <w:trPr>
          <w:trHeight w:val="216"/>
        </w:trPr>
        <w:tc>
          <w:tcPr>
            <w:tcW w:w="10020" w:type="dxa"/>
            <w:vAlign w:val="bottom"/>
            <w:shd w:val="clear" w:color="auto" w:fill="CCEEFF"/>
          </w:tcPr>
          <w:p>
            <w:pPr>
              <w:ind w:left="3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Option Exercises and Stock Vested in 2019</w:t>
              </w:r>
            </w:hyperlink>
          </w:p>
        </w:tc>
        <w:tc>
          <w:tcPr>
            <w:tcW w:w="1220" w:type="dxa"/>
            <w:vAlign w:val="bottom"/>
            <w:gridSpan w:val="2"/>
            <w:shd w:val="clear" w:color="auto" w:fill="CCEEFF"/>
          </w:tcPr>
          <w:p>
            <w:pPr>
              <w:jc w:val="right"/>
              <w:ind w:right="1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23</w:t>
              </w:r>
            </w:hyperlink>
          </w:p>
        </w:tc>
      </w:tr>
      <w:tr>
        <w:trPr>
          <w:trHeight w:val="216"/>
        </w:trPr>
        <w:tc>
          <w:tcPr>
            <w:tcW w:w="10020" w:type="dxa"/>
            <w:vAlign w:val="bottom"/>
          </w:tcPr>
          <w:p>
            <w:pPr>
              <w:ind w:left="3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Potential Payments upon Termination or Change in Control</w:t>
              </w:r>
            </w:hyperlink>
          </w:p>
        </w:tc>
        <w:tc>
          <w:tcPr>
            <w:tcW w:w="1220" w:type="dxa"/>
            <w:vAlign w:val="bottom"/>
            <w:gridSpan w:val="2"/>
          </w:tcPr>
          <w:p>
            <w:pPr>
              <w:jc w:val="right"/>
              <w:ind w:right="1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23</w:t>
              </w:r>
            </w:hyperlink>
          </w:p>
        </w:tc>
      </w:tr>
      <w:tr>
        <w:trPr>
          <w:trHeight w:val="216"/>
        </w:trPr>
        <w:tc>
          <w:tcPr>
            <w:tcW w:w="10020" w:type="dxa"/>
            <w:vAlign w:val="bottom"/>
            <w:shd w:val="clear" w:color="auto" w:fill="CCEEFF"/>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CERTAIN TRANSACTIONS AND RELATIONSHIPS</w:t>
              </w:r>
            </w:hyperlink>
          </w:p>
        </w:tc>
        <w:tc>
          <w:tcPr>
            <w:tcW w:w="1220" w:type="dxa"/>
            <w:vAlign w:val="bottom"/>
            <w:gridSpan w:val="2"/>
            <w:shd w:val="clear" w:color="auto" w:fill="CCEEFF"/>
          </w:tcPr>
          <w:p>
            <w:pPr>
              <w:jc w:val="right"/>
              <w:ind w:right="10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27</w:t>
              </w:r>
            </w:hyperlink>
          </w:p>
        </w:tc>
      </w:tr>
      <w:tr>
        <w:trPr>
          <w:trHeight w:val="216"/>
        </w:trPr>
        <w:tc>
          <w:tcPr>
            <w:tcW w:w="10020" w:type="dxa"/>
            <w:vAlign w:val="bottom"/>
          </w:tcPr>
          <w:p>
            <w:pPr>
              <w:ind w:left="34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Change in Control Agreement</w:t>
              </w:r>
            </w:hyperlink>
          </w:p>
        </w:tc>
        <w:tc>
          <w:tcPr>
            <w:tcW w:w="1220" w:type="dxa"/>
            <w:vAlign w:val="bottom"/>
            <w:gridSpan w:val="2"/>
          </w:tcPr>
          <w:p>
            <w:pPr>
              <w:jc w:val="right"/>
              <w:ind w:right="10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27</w:t>
              </w:r>
            </w:hyperlink>
          </w:p>
        </w:tc>
      </w:tr>
      <w:tr>
        <w:trPr>
          <w:trHeight w:val="216"/>
        </w:trPr>
        <w:tc>
          <w:tcPr>
            <w:tcW w:w="10020" w:type="dxa"/>
            <w:vAlign w:val="bottom"/>
            <w:shd w:val="clear" w:color="auto" w:fill="CCEEFF"/>
          </w:tcPr>
          <w:p>
            <w:pPr>
              <w:ind w:left="34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Related-Party Transactions Policies and Procedures.</w:t>
              </w:r>
            </w:hyperlink>
          </w:p>
        </w:tc>
        <w:tc>
          <w:tcPr>
            <w:tcW w:w="1220" w:type="dxa"/>
            <w:vAlign w:val="bottom"/>
            <w:gridSpan w:val="2"/>
            <w:shd w:val="clear" w:color="auto" w:fill="CCEEFF"/>
          </w:tcPr>
          <w:p>
            <w:pPr>
              <w:jc w:val="right"/>
              <w:ind w:right="10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27</w:t>
              </w:r>
            </w:hyperlink>
          </w:p>
        </w:tc>
      </w:tr>
      <w:tr>
        <w:trPr>
          <w:trHeight w:val="216"/>
        </w:trPr>
        <w:tc>
          <w:tcPr>
            <w:tcW w:w="1002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OWNERSHIP OF COMPANY STOCK</w:t>
              </w:r>
            </w:hyperlink>
          </w:p>
        </w:tc>
        <w:tc>
          <w:tcPr>
            <w:tcW w:w="1220" w:type="dxa"/>
            <w:vAlign w:val="bottom"/>
            <w:gridSpan w:val="2"/>
          </w:tcPr>
          <w:p>
            <w:pPr>
              <w:jc w:val="right"/>
              <w:ind w:right="10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27</w:t>
              </w:r>
            </w:hyperlink>
          </w:p>
        </w:tc>
      </w:tr>
      <w:tr>
        <w:trPr>
          <w:trHeight w:val="216"/>
        </w:trPr>
        <w:tc>
          <w:tcPr>
            <w:tcW w:w="10020" w:type="dxa"/>
            <w:vAlign w:val="bottom"/>
            <w:shd w:val="clear" w:color="auto" w:fill="CCEEFF"/>
          </w:tcPr>
          <w:p>
            <w:pPr>
              <w:ind w:left="34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Security Ownership of Certain Beneficial Owners</w:t>
              </w:r>
            </w:hyperlink>
          </w:p>
        </w:tc>
        <w:tc>
          <w:tcPr>
            <w:tcW w:w="1220" w:type="dxa"/>
            <w:vAlign w:val="bottom"/>
            <w:gridSpan w:val="2"/>
            <w:shd w:val="clear" w:color="auto" w:fill="CCEEFF"/>
          </w:tcPr>
          <w:p>
            <w:pPr>
              <w:jc w:val="right"/>
              <w:ind w:right="10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27</w:t>
              </w:r>
            </w:hyperlink>
          </w:p>
        </w:tc>
      </w:tr>
      <w:tr>
        <w:trPr>
          <w:trHeight w:val="216"/>
        </w:trPr>
        <w:tc>
          <w:tcPr>
            <w:tcW w:w="10020" w:type="dxa"/>
            <w:vAlign w:val="bottom"/>
          </w:tcPr>
          <w:p>
            <w:pPr>
              <w:ind w:left="34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Security Ownership of Management and Directors</w:t>
              </w:r>
            </w:hyperlink>
          </w:p>
        </w:tc>
        <w:tc>
          <w:tcPr>
            <w:tcW w:w="1220" w:type="dxa"/>
            <w:vAlign w:val="bottom"/>
            <w:gridSpan w:val="2"/>
          </w:tcPr>
          <w:p>
            <w:pPr>
              <w:jc w:val="right"/>
              <w:ind w:right="10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28</w:t>
              </w:r>
            </w:hyperlink>
          </w:p>
        </w:tc>
      </w:tr>
      <w:tr>
        <w:trPr>
          <w:trHeight w:val="216"/>
        </w:trPr>
        <w:tc>
          <w:tcPr>
            <w:tcW w:w="10020" w:type="dxa"/>
            <w:vAlign w:val="bottom"/>
            <w:shd w:val="clear" w:color="auto" w:fill="CCEEFF"/>
          </w:tcPr>
          <w:p>
            <w:pPr>
              <w:ind w:left="34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Delinquent Section 16(a) Reports</w:t>
              </w:r>
            </w:hyperlink>
          </w:p>
        </w:tc>
        <w:tc>
          <w:tcPr>
            <w:tcW w:w="1220" w:type="dxa"/>
            <w:vAlign w:val="bottom"/>
            <w:gridSpan w:val="2"/>
            <w:shd w:val="clear" w:color="auto" w:fill="CCEEFF"/>
          </w:tcPr>
          <w:p>
            <w:pPr>
              <w:jc w:val="right"/>
              <w:ind w:right="10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28</w:t>
              </w:r>
            </w:hyperlink>
          </w:p>
        </w:tc>
      </w:tr>
      <w:tr>
        <w:trPr>
          <w:trHeight w:val="216"/>
        </w:trPr>
        <w:tc>
          <w:tcPr>
            <w:tcW w:w="1002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AUDIT COMMITTEE MATTERS</w:t>
              </w:r>
            </w:hyperlink>
          </w:p>
        </w:tc>
        <w:tc>
          <w:tcPr>
            <w:tcW w:w="1220" w:type="dxa"/>
            <w:vAlign w:val="bottom"/>
            <w:gridSpan w:val="2"/>
          </w:tcPr>
          <w:p>
            <w:pPr>
              <w:jc w:val="right"/>
              <w:ind w:right="1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29</w:t>
              </w:r>
            </w:hyperlink>
          </w:p>
        </w:tc>
      </w:tr>
      <w:tr>
        <w:trPr>
          <w:trHeight w:val="216"/>
        </w:trPr>
        <w:tc>
          <w:tcPr>
            <w:tcW w:w="10020" w:type="dxa"/>
            <w:vAlign w:val="bottom"/>
            <w:shd w:val="clear" w:color="auto" w:fill="CCEEFF"/>
          </w:tcPr>
          <w:p>
            <w:pPr>
              <w:ind w:left="3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Audit Committee Report</w:t>
              </w:r>
            </w:hyperlink>
          </w:p>
        </w:tc>
        <w:tc>
          <w:tcPr>
            <w:tcW w:w="1220" w:type="dxa"/>
            <w:vAlign w:val="bottom"/>
            <w:gridSpan w:val="2"/>
            <w:shd w:val="clear" w:color="auto" w:fill="CCEEFF"/>
          </w:tcPr>
          <w:p>
            <w:pPr>
              <w:jc w:val="right"/>
              <w:ind w:right="1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29</w:t>
              </w:r>
            </w:hyperlink>
          </w:p>
        </w:tc>
      </w:tr>
      <w:tr>
        <w:trPr>
          <w:trHeight w:val="216"/>
        </w:trPr>
        <w:tc>
          <w:tcPr>
            <w:tcW w:w="10020" w:type="dxa"/>
            <w:vAlign w:val="bottom"/>
          </w:tcPr>
          <w:p>
            <w:pPr>
              <w:ind w:left="3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Change in Independent Registered Public Accounting Firm</w:t>
              </w:r>
            </w:hyperlink>
          </w:p>
        </w:tc>
        <w:tc>
          <w:tcPr>
            <w:tcW w:w="1220" w:type="dxa"/>
            <w:vAlign w:val="bottom"/>
            <w:gridSpan w:val="2"/>
          </w:tcPr>
          <w:p>
            <w:pPr>
              <w:jc w:val="right"/>
              <w:ind w:right="1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29</w:t>
              </w:r>
            </w:hyperlink>
          </w:p>
        </w:tc>
      </w:tr>
      <w:tr>
        <w:trPr>
          <w:trHeight w:val="216"/>
        </w:trPr>
        <w:tc>
          <w:tcPr>
            <w:tcW w:w="10020" w:type="dxa"/>
            <w:vAlign w:val="bottom"/>
            <w:shd w:val="clear" w:color="auto" w:fill="CCEEFF"/>
          </w:tcPr>
          <w:p>
            <w:pPr>
              <w:ind w:left="3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Policy For Pre-Approval of Audit and Permitted Non-Audit Services</w:t>
              </w:r>
            </w:hyperlink>
          </w:p>
        </w:tc>
        <w:tc>
          <w:tcPr>
            <w:tcW w:w="1220" w:type="dxa"/>
            <w:vAlign w:val="bottom"/>
            <w:gridSpan w:val="2"/>
            <w:shd w:val="clear" w:color="auto" w:fill="CCEEFF"/>
          </w:tcPr>
          <w:p>
            <w:pPr>
              <w:jc w:val="right"/>
              <w:ind w:right="10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30</w:t>
              </w:r>
            </w:hyperlink>
          </w:p>
        </w:tc>
      </w:tr>
      <w:tr>
        <w:trPr>
          <w:trHeight w:val="216"/>
        </w:trPr>
        <w:tc>
          <w:tcPr>
            <w:tcW w:w="10020" w:type="dxa"/>
            <w:vAlign w:val="bottom"/>
          </w:tcPr>
          <w:p>
            <w:pPr>
              <w:ind w:left="3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Auditor Fees and Services</w:t>
              </w:r>
            </w:hyperlink>
          </w:p>
        </w:tc>
        <w:tc>
          <w:tcPr>
            <w:tcW w:w="1220" w:type="dxa"/>
            <w:vAlign w:val="bottom"/>
            <w:gridSpan w:val="2"/>
          </w:tcPr>
          <w:p>
            <w:pPr>
              <w:jc w:val="right"/>
              <w:ind w:right="10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30</w:t>
              </w:r>
            </w:hyperlink>
          </w:p>
        </w:tc>
      </w:tr>
      <w:tr>
        <w:trPr>
          <w:trHeight w:val="216"/>
        </w:trPr>
        <w:tc>
          <w:tcPr>
            <w:tcW w:w="10020" w:type="dxa"/>
            <w:vAlign w:val="bottom"/>
            <w:shd w:val="clear" w:color="auto" w:fill="CCEEFF"/>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OTHER MATTERS</w:t>
              </w:r>
            </w:hyperlink>
          </w:p>
        </w:tc>
        <w:tc>
          <w:tcPr>
            <w:tcW w:w="1220" w:type="dxa"/>
            <w:vAlign w:val="bottom"/>
            <w:gridSpan w:val="2"/>
            <w:shd w:val="clear" w:color="auto" w:fill="CCEEFF"/>
          </w:tcPr>
          <w:p>
            <w:pPr>
              <w:jc w:val="right"/>
              <w:ind w:right="10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30</w:t>
              </w:r>
            </w:hyperlink>
          </w:p>
        </w:tc>
      </w:tr>
      <w:tr>
        <w:trPr>
          <w:trHeight w:val="216"/>
        </w:trPr>
        <w:tc>
          <w:tcPr>
            <w:tcW w:w="1002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SHAREHOLDER PROPOSALS FOR THE 2021 ANNUAL MEETING</w:t>
              </w:r>
            </w:hyperlink>
          </w:p>
        </w:tc>
        <w:tc>
          <w:tcPr>
            <w:tcW w:w="1220" w:type="dxa"/>
            <w:vAlign w:val="bottom"/>
            <w:gridSpan w:val="2"/>
          </w:tcPr>
          <w:p>
            <w:pPr>
              <w:jc w:val="right"/>
              <w:ind w:right="10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30</w:t>
              </w:r>
            </w:hyperlink>
          </w:p>
        </w:tc>
      </w:tr>
      <w:tr>
        <w:trPr>
          <w:trHeight w:val="216"/>
        </w:trPr>
        <w:tc>
          <w:tcPr>
            <w:tcW w:w="10020" w:type="dxa"/>
            <w:vAlign w:val="bottom"/>
            <w:shd w:val="clear" w:color="auto" w:fill="CCEEFF"/>
          </w:tcPr>
          <w:p>
            <w:pPr>
              <w:ind w:left="3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Proposals for the Company’s Proxy Material</w:t>
              </w:r>
            </w:hyperlink>
          </w:p>
        </w:tc>
        <w:tc>
          <w:tcPr>
            <w:tcW w:w="1220" w:type="dxa"/>
            <w:vAlign w:val="bottom"/>
            <w:gridSpan w:val="2"/>
            <w:shd w:val="clear" w:color="auto" w:fill="CCEEFF"/>
          </w:tcPr>
          <w:p>
            <w:pPr>
              <w:jc w:val="right"/>
              <w:ind w:right="10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30</w:t>
              </w:r>
            </w:hyperlink>
          </w:p>
        </w:tc>
      </w:tr>
      <w:tr>
        <w:trPr>
          <w:trHeight w:val="230"/>
        </w:trPr>
        <w:tc>
          <w:tcPr>
            <w:tcW w:w="10020" w:type="dxa"/>
            <w:vAlign w:val="bottom"/>
          </w:tcPr>
          <w:p>
            <w:pPr>
              <w:ind w:left="3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Proposals to be Introduced at the Annual Meeting but not Intended to be Included in the Company’s Proxy Material</w:t>
              </w:r>
            </w:hyperlink>
          </w:p>
        </w:tc>
        <w:tc>
          <w:tcPr>
            <w:tcW w:w="1220" w:type="dxa"/>
            <w:vAlign w:val="bottom"/>
            <w:gridSpan w:val="2"/>
          </w:tcPr>
          <w:p>
            <w:pPr>
              <w:jc w:val="right"/>
              <w:ind w:right="10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31</w:t>
              </w:r>
            </w:hyperlink>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2574290</wp:posOffset>
            </wp:positionH>
            <wp:positionV relativeFrom="page">
              <wp:posOffset>757555</wp:posOffset>
            </wp:positionV>
            <wp:extent cx="2434590" cy="386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434590" cy="38608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QUESTIONS AND ANSWERS ABOUT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2020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this proxy?</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Board of Directors of Allied Motion Technologies Inc. (the “Company”) is soliciting proxies to be voted at the Annual Meeting of Shareholders. The Annual Meeting will be held virtually on Wednesday, May 6, 2020, at 9:00 a.m. (Eastern Time). The meeting can be accessed by visiting www.virtualshareholdermeeting.com/AMOT2020, where you will be able to listen to the meeting live, submit questions and vote online. This proxy statement summarizes the information you need to know to vote by proxy or to virtually attend and vote your shares at the Annual Meeting. You do not need to virtually attend the Annual Meeting in order to vote.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shareholders of record as of the close of business on Tuesday, March 11, 2020 (the “Record Date”) are entitled to vote at the Annual Meeting.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for the Annual Meeting?</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 quorum at the Annual Meeting will consist of a majority of the votes entitled to be cast by the holders of all shares of Common Stock outstanding on the Record Date. No business may be conducted at the Annual Meeting if a quorum is not present. Broker non-votes (shares held in street name for which the broker indicates that instructions have not been received from the beneficial owners or other persons entitled to vote) and abstentions will be counted as shares present in determining whether a quorum is present. As of the Record Date, 9,642,428 shares of Common Stock were issued and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Each share of Common Stock outstanding on the Record Date is entitled to one vote on each item submitted to you for consideration.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shareholder of record and a beneficial owner of shares held in street name?</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Shareholder of Record. </w:t>
      </w:r>
      <w:r>
        <w:rPr>
          <w:rFonts w:ascii="Arial" w:cs="Arial" w:eastAsia="Arial" w:hAnsi="Arial"/>
          <w:sz w:val="18"/>
          <w:szCs w:val="18"/>
          <w:color w:val="auto"/>
        </w:rPr>
        <w:t>If your shares are registered directly in your name with the Company’s transfer agent, American Stock Transfer &amp; Trust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you are considered the shareholder of record with respect to those shares.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Beneficial Owner of Shares Held in Street Name. </w:t>
      </w:r>
      <w:r>
        <w:rPr>
          <w:rFonts w:ascii="Arial" w:cs="Arial" w:eastAsia="Arial" w:hAnsi="Arial"/>
          <w:sz w:val="18"/>
          <w:szCs w:val="18"/>
          <w:color w:val="auto"/>
        </w:rPr>
        <w:t>If your shares are held in an account at a brokerage firm, bank, broker-dealer or other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then you are the beneficial owner of shares held in “street name.” The organization holding your account is considered the shareholder of record for purposes of voting at the Annual Meeting. As a beneficial owner, you have the right to direct that organization on how to vote the shares held in your account.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am a shareholder of record of Common Stock, how do I vote?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If you are a shareholder of record, you may vote by mailing a completed proxy card, or you may vote 24 hours a day via the internet or telephone. To vote by mailing a proxy card, please sign and return the enclosed proxy card in the enclosed prepaid and self-addressed envelope. To vote via the internet or telephone, follow the instructions on the enclosed vote instruction form. Your shares will be voted at the Annual Meeting in the manner you directed. If you vote by proxy and do not provide direction on a proposal, the proxy will be voted with the Board’s recommendations. You may also attend the virtual Annual Meeting and vote your shares during the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am a beneficial owner of shares held in street name, how do I vote?</w:t>
      </w:r>
    </w:p>
    <w:p>
      <w:pPr>
        <w:spacing w:after="0" w:line="229"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If you are the beneficial owner of shares held in street name, you will receive instructions from the brokerage firm, bank, broker-dealer or other similar organization (the “shareholder of record”) that must be followed for the shareholder of record to vote your shares per your instructions. You may complete and return the voting instruction form in the self- addressed postage paid envelope provided, or you may vote 24 hours a day via the internet or telephone by following the instructions on the enclosed vote instruction form.</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ind w:firstLine="648"/>
        <w:spacing w:after="0" w:line="263" w:lineRule="auto"/>
        <w:rPr>
          <w:sz w:val="20"/>
          <w:szCs w:val="20"/>
          <w:color w:val="auto"/>
        </w:rPr>
      </w:pPr>
      <w:r>
        <w:rPr>
          <w:rFonts w:ascii="Arial" w:cs="Arial" w:eastAsia="Arial" w:hAnsi="Arial"/>
          <w:sz w:val="18"/>
          <w:szCs w:val="18"/>
          <w:color w:val="auto"/>
        </w:rPr>
        <w:t>If you hold your shares in street name and do not instruct your bank or broker how to vote in the election of directors, no votes will be cast on your behalf. Your bank or broker will, however, continue to have discretion to vote any uninstructed shares on the appointment of Deloitte &amp; Touche LLP (Proposal 3). Please ensure that you complete the voting instruction card sent by your bank or broker.</w:t>
      </w:r>
    </w:p>
    <w:p>
      <w:pPr>
        <w:spacing w:after="0" w:line="184"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If your shares are held in street name you also may attend the virtual Annual Meeting and vote your shares during the meeting. We recommend that you vote your shares in advance as described above so that your vote will be counted if you later decide not to attend the Annual Meeting.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attend the virtual meeting?</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You may attend the virtual Annual Meeting and vote your shares during the meeting by visiting our Annual Meeting website at www.virtualshareholdermeeting.com/AMOT2020. To attend the Annual Meeting, you will need the 16-digit control number included on your proxy card or on the instructions that accompanied your proxy materials. Shares held in your name as the shareholder of record may be voted electronically during the Annual Meeting. Shares for which you are the beneficial owner but not the shareholder of record also may be voted electronically during the Annual Meeting. Even if you plan to attend the Annual Meeting online, we recommend that you vote by proxy in advance as described above so that your vote will be counted if you later decide not to participate in the Annual Meeting. The Annual Meeting will begin promptly at 9:00 a.m. (Eastern Time). Online check-in will begin at 8:45 a.m. (Eastern Time), and you should allow ample time for the online check-in procedures.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be voting on the following proposals:</w:t>
      </w:r>
    </w:p>
    <w:p>
      <w:pPr>
        <w:spacing w:after="0" w:line="22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1: the election of seven Directors of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2: an advisory vote on the compensation of our named executive officers; and</w:t>
      </w:r>
    </w:p>
    <w:p>
      <w:pPr>
        <w:spacing w:after="0" w:line="225"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3: the ratification of Deloitte &amp; Touche LLP as the Company’s independent registered public accounting firm for the 2020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there be any other items of business on the agenda?</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We do not expect any other items of business because the deadline for shareholder proposals and nominations has passed. Nonetheless, in case there is an unforeseen need, your proxy gives discretionary authority to Richard S. Warzala and Richard D. Federico with respect to any other matters that might be brought before the Annual Meeting. Those persons intend to vote that proxy in accordance with their best judgment.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required to act on the proposals?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holder of each outstanding share of Common Stock is entitled to one vote for each share of Common Stock on each matter submitted to a vote at a meeting of shareholders.</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Pursuant to our Amended and Restated Articles of Incorporation and Bylaws, directors will be elected by the affirmative vote of the majority of the votes cast with respect to such director’s election.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Approval of Proposals 2 and 3 requires an affirmative vote by a majority of the votes cast on each proposal.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For purposes of each proposal, abstentions and broker non-votes, if any, will not be counted as votes cast and will have no effect on the result of the vote, although they will be considered present for the purpose of determining the presence of a quorum.</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Can I change my vote after I have voted?</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You can revoke your proxy and change your vote at any time prior to the voting thereof at the Annual Meeting, subject to the voting deadlines that are described on the proxy card or voting instruction form, as applicable. You can revoke your vote:</w:t>
      </w:r>
    </w:p>
    <w:p>
      <w:pPr>
        <w:spacing w:after="0" w:line="170"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By voting again by Internet or by telephone (only your last Internet or telephone proxy submitted prior to the meeting will be counted);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filing with the Secretary of the Company a written revocation or signing and submitting another proxy with a later date,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virtually attending the Annual Meeting, withdrawing the proxy and voting during the Annual Meeting.</w:t>
      </w:r>
    </w:p>
    <w:p>
      <w:pPr>
        <w:spacing w:after="0" w:line="225"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Your virtual attendance at the Annual Meeting will not automatically revoke your proxy unless you vote again. If your shares are held in street name, we also recommend that you contact your broker, bank or other nominee for instructions on how to change or revoke your vote.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anyone contact me regarding this vote?</w:t>
      </w:r>
    </w:p>
    <w:p>
      <w:pPr>
        <w:spacing w:after="0" w:line="22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Solicitation of proxies for use at the Annual Meeting may be made in person or by mail, telephone or telegram, by directors, officers and regular employees of the Company. Such persons will receive no special compensation for any solicitation activities. We will request banking institutions, brokerage firms, custodians, trustees, nominees and fiduciaries to forward solicitation materials to the beneficial owners of Common Stock held of record by such entities, and we will, upon the request of such record holders, reimburse reasonable forwarding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has paid for this proxy solicitation?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paid the entire expense of this proxy statement and any additional materials furnished to shareholders.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shareholders ask questions at the Annual Meeting?</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Shareholders as of our record date who attend and participate in our virtual Annual Meeting at www.virtualshareholdermeeting.com/AMOT2020 will have an opportunity to submit questions live via the Internet during a designated portion of the meeting. These shareholders may also submit a question in advance of the annual meeting at www.proxyvote.com. In both cases, shareholders must have available their control number provided on their proxy card, voting instruction form or Notice.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 copy of this year’s Annual Report on Form 10-K?</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A copy of the Company’s 2019 Annual Report to Shareholders, including financial statements for the fiscal year ended December 31, 2019, accompanies this Proxy Statement. The Annual Report, however, is not part of the proxy solicitation material. A copy of the Company’s Annual Report on Form 10-K filed with the Securities and Exchange Commission (“SEC”) may be obtained free of charge by writing to Allied Motion Technologies Inc., 495 Commerce Drive, Suite 3, Amherst, New York 14228, Attention: Secretary or by accessing the “SEC Filings” section of the Company’s website at www.alliedmotion.com. In addition, the Proxy Statement and Annual Report are available on the internet at https://materials.proxyvote.com/019330.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proxy card?</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It means that you have multiple accounts at the transfer agent or with stockbrokers. Please complete and vote </w:t>
      </w:r>
      <w:r>
        <w:rPr>
          <w:rFonts w:ascii="Arial" w:cs="Arial" w:eastAsia="Arial" w:hAnsi="Arial"/>
          <w:sz w:val="18"/>
          <w:szCs w:val="18"/>
          <w:i w:val="1"/>
          <w:iCs w:val="1"/>
          <w:color w:val="auto"/>
        </w:rPr>
        <w:t>ALL</w:t>
      </w:r>
      <w:r>
        <w:rPr>
          <w:rFonts w:ascii="Arial" w:cs="Arial" w:eastAsia="Arial" w:hAnsi="Arial"/>
          <w:sz w:val="18"/>
          <w:szCs w:val="18"/>
          <w:color w:val="auto"/>
        </w:rPr>
        <w:t xml:space="preserve"> proxy cards to ensure that all your shares are voted.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was this proxy statement mailed?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proxy statement, the enclosed proxy card and the Annual Report were mailed to shareholders beginning on or about April 3, 2020.</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Can I find additional information on the Company’s website?</w:t>
      </w:r>
    </w:p>
    <w:p>
      <w:pPr>
        <w:spacing w:after="0" w:line="229" w:lineRule="exact"/>
        <w:rPr>
          <w:sz w:val="20"/>
          <w:szCs w:val="20"/>
          <w:color w:val="auto"/>
        </w:rPr>
      </w:pPr>
    </w:p>
    <w:p>
      <w:pPr>
        <w:jc w:val="both"/>
        <w:ind w:right="80" w:firstLine="648"/>
        <w:spacing w:after="0" w:line="301" w:lineRule="auto"/>
        <w:rPr>
          <w:sz w:val="20"/>
          <w:szCs w:val="20"/>
          <w:color w:val="auto"/>
        </w:rPr>
      </w:pPr>
      <w:r>
        <w:rPr>
          <w:rFonts w:ascii="Arial" w:cs="Arial" w:eastAsia="Arial" w:hAnsi="Arial"/>
          <w:sz w:val="16"/>
          <w:szCs w:val="16"/>
          <w:color w:val="auto"/>
        </w:rPr>
        <w:t>Yes. Our website is located at www.alliedmotion.com. Although the information contained on our website is not part of this proxy statement, you can view additional information on the website, such as our code of ethics, corporate governance principles, charters of board committees and reports that we file with the SEC. A copy of our code of ethics, corporate governance principles and each of the charters of our board committees may be obtained free of charge by writing to Allied Motion Technologies Inc., 495 Commerce Drive, Suite 3, Amherst, New York 14228, Attention: Secretary.</w:t>
      </w:r>
    </w:p>
    <w:p>
      <w:pPr>
        <w:spacing w:after="0" w:line="153"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 and Biographical Information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biography of each director nominee below contains information regarding that person’s principal occupation, positions held with the Company, service as a director, business experience, other director positions currently held or held at any time during the past five years, involvement in certain legal or administrative proceeding, if applicable, and the experiences, qualifications, attributes or skills that caused our Governance and Nominating Committee to conclude that the person should serve as a member of our Board of Directors.</w:t>
      </w:r>
    </w:p>
    <w:p>
      <w:pPr>
        <w:spacing w:after="0" w:line="18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b w:val="1"/>
          <w:bCs w:val="1"/>
          <w:i w:val="1"/>
          <w:iCs w:val="1"/>
          <w:color w:val="auto"/>
        </w:rPr>
        <w:t>Linda P. Duch</w:t>
      </w:r>
      <w:r>
        <w:rPr>
          <w:rFonts w:ascii="Arial" w:cs="Arial" w:eastAsia="Arial" w:hAnsi="Arial"/>
          <w:sz w:val="18"/>
          <w:szCs w:val="18"/>
          <w:color w:val="auto"/>
        </w:rPr>
        <w:t>, age 65—Ms. Duch was appointed a director of the Company in September 2018. Since 2006, Ms. Duch has served as president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 for Business, a firm that invests in small to medium size companies looking for capital to expand or restructure their balance sheet. Ms. Duch also selectively engages in consulting assignments for strategic planning, executive coaching, and sales and marketing. Prior to Partners for Business, Ms. Duch was with KeyCorp for fourteen years. During her tenure, she served as President of the Bank’s Western New York district and later as the National Executive for District Management. That role involved coaching district presidents in major markets nationally and developing performance management systems and programs to profitably build market share. Prior to KeyCorp, she spent sixteen years at Empire of America, a multi-state financial institution. Before resigning in December 2019, Ms. Duch served on the Board of Directors of Merchants Mutual Insurance Company. Her broad business and director experience, along with the diversity she brings to the Board, provide her with the tools and perspective to make significant contributions as a Board member.</w:t>
      </w:r>
    </w:p>
    <w:p>
      <w:pPr>
        <w:spacing w:after="0" w:line="19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i w:val="1"/>
          <w:iCs w:val="1"/>
          <w:color w:val="auto"/>
        </w:rPr>
        <w:t>Robert B. Engel</w:t>
      </w:r>
      <w:r>
        <w:rPr>
          <w:rFonts w:ascii="Arial" w:cs="Arial" w:eastAsia="Arial" w:hAnsi="Arial"/>
          <w:sz w:val="17"/>
          <w:szCs w:val="17"/>
          <w:color w:val="auto"/>
        </w:rPr>
        <w:t>, age 66—Mr. Engel was appointed a director of the Company in October 2019. He currently serves as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Managing Director of BLT Advisory Services, LLC, a boutique advisory firm he joined in 2017 which provides guidance for business transformation, brand building and governance, as well as business and leadership development. Prior to BLT Advisory Services, Mr. Engel was in the banking industry for more than 30 years, including 17 years at CoBank, ACB in Denver, CO, serving first as President and Chief Operating Officer and subsequently promoted to President and Chief Executive Officer, responsible for leading the bank’s strategic and business initiatives. Prior to this, Mr. Engel was with HSBC Bank USA in Buffalo, NY for 14 years, where he served in positions of increasing responsibility, ultimately becoming the Chief Banking Officer. Prior to moving to the banking industry, Mr. Engel began his public accounting career with Deloitte &amp; Touche, and then KPMG, rising to the position of Senior Audit Manager. Mr. Engel is currently an Independent Director at Alaska Power &amp; Telephone, where he serves on the Audit Committee and as Chairman of the Compensation Committee, and Heartland Financial USA, Inc. where he serves on the Audit, Risk, and Compensation Committees. He is Chairman of the Board of Trustees at Regis University in Denver, CO. Mr. Engel is a recipient of the Ellis Island Medal of Honor. His experience in operations, risk management, business development, strategic planning, board leadership, and corporate governance matters gives him insight into the issues facing our company’s businesses.</w:t>
      </w:r>
    </w:p>
    <w:p>
      <w:pPr>
        <w:spacing w:after="0" w:line="17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b w:val="1"/>
          <w:bCs w:val="1"/>
          <w:i w:val="1"/>
          <w:iCs w:val="1"/>
          <w:color w:val="auto"/>
        </w:rPr>
        <w:t>Richard D. Federico</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age 65—Mr. Federico has over forty years of operational, strategy and investment experience. He has served as a director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February 2012 and as Lead Director for the past three years. Since March 2016 Mr. Federico has been the Chairman and CEO of Microsonic Solutions LLC, a science and technology company. In addition, from November 2012 he has been the Founder and Chairman at Cetan Partners, an investment and advisory firm. From June 2014 to April 2016 he was a Partner and later a Senior Advisor at TZP Group, a leading mid-market private equity firm, where he led the growth advisory practice. He spent the prior ten years as a Senior Advisor and Managing Director in private equity with Sterling Partners, where he served as an investment partner and additionally worked with a number of Sterling portfolio investments to build, capture and maximize best-in-class practices across the firm and instituted effective governance at the portfolio level. His background also includes senior management positions with companies including Thermo Fisher, The Millard Fillmore Health System, The Science Kit Group and KPMG. He currently is and has been involved with numerous private and non-profit boards. His operational, financial, technology and investment experience, knowledge of capital markets and experience on other public and private company boards prepare him to give the Board his views on strategic, operational, financial and advanced technology related matters.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right="200" w:firstLine="648"/>
        <w:spacing w:after="0" w:line="269" w:lineRule="auto"/>
        <w:rPr>
          <w:sz w:val="20"/>
          <w:szCs w:val="20"/>
          <w:color w:val="auto"/>
        </w:rPr>
      </w:pPr>
      <w:r>
        <w:rPr>
          <w:rFonts w:ascii="Arial" w:cs="Arial" w:eastAsia="Arial" w:hAnsi="Arial"/>
          <w:sz w:val="17"/>
          <w:szCs w:val="17"/>
          <w:b w:val="1"/>
          <w:bCs w:val="1"/>
          <w:i w:val="1"/>
          <w:iCs w:val="1"/>
          <w:color w:val="auto"/>
        </w:rPr>
        <w:t>Gerald J. (Bud) Laber</w:t>
      </w:r>
      <w:r>
        <w:rPr>
          <w:rFonts w:ascii="Arial" w:cs="Arial" w:eastAsia="Arial" w:hAnsi="Arial"/>
          <w:sz w:val="17"/>
          <w:szCs w:val="17"/>
          <w:color w:val="auto"/>
        </w:rPr>
        <w:t>, age 76—Mr. Laber has served as a director of the Company since November 2010. He has been a private investor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2000, when he retired after 33 years of service with Arthur Andersen LLP. He was an audit partner with Arthur Andersen LLP from 1980 until retiring in 2000. Mr. Laber is currently on the board of directors and chair of the audit committee and member of the compensation and governance committees of Scott’s Liquid Gold. He was on the board and chair of the audit committee and member of the compensation and governance and nominating committees for Boulder Brands Inc. from May 2005 through January 2016 when the company was acquired. He served as President of the Catholic Foundation of Northern Colorado from January 2008 until November 2012. He previously served on the Board of Directors and as Chair of the Audit Committee of Spectralink Corporation from April 2004 to March 2007 when the company was acquired, and served on the Board of Directors and Audit Committee of Applied Films Corporation from July 2004 to July 2007 when the company was acquired. He brings to the Board extensive experience in accounting, financial matters and strategic planning and his experience as a director of other public companies gives him insight into governance and related best practices which enable him to make significant contributions as a Board member.</w:t>
      </w:r>
    </w:p>
    <w:p>
      <w:pPr>
        <w:spacing w:after="0" w:line="18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b w:val="1"/>
          <w:bCs w:val="1"/>
          <w:i w:val="1"/>
          <w:iCs w:val="1"/>
          <w:color w:val="auto"/>
        </w:rPr>
        <w:t>James J. Tanous</w:t>
      </w:r>
      <w:r>
        <w:rPr>
          <w:rFonts w:ascii="Arial" w:cs="Arial" w:eastAsia="Arial" w:hAnsi="Arial"/>
          <w:sz w:val="16"/>
          <w:szCs w:val="16"/>
          <w:color w:val="auto"/>
        </w:rPr>
        <w:t>, age 72—Mr. Tanous has served as a director of the Company since May 2014. He is currently the Executive Director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Prentice Family Foundation, a not-for-profit foundation whose primary mission is to promote the economic development of the Western New York area, a position he has held since January 1, 2014. From April 2007 through June 2013 he served as Executive Vice President, Secretary and General Counsel of Erie Indemnity Company, a publicly traded Fortune 500 company that manages the property and casualty and life insurance companies that comprise the Erie Insurance Group. Prior to joining Erie Indemnity Company, Mr. Tanous was a Partner and Chairman of Jaeckle Fleischmann &amp; Mugel, LLP, a law firm headquartered in Buffalo, New York where he represented numerous public and private companies for over 30 years. His decades of experience as a counselor to public and private companies and broad based legal expertise are important to the Board of Directors.</w:t>
      </w:r>
    </w:p>
    <w:p>
      <w:pPr>
        <w:spacing w:after="0" w:line="16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b w:val="1"/>
          <w:bCs w:val="1"/>
          <w:i w:val="1"/>
          <w:iCs w:val="1"/>
          <w:color w:val="auto"/>
        </w:rPr>
        <w:t>Richard S. Warzala</w:t>
      </w:r>
      <w:r>
        <w:rPr>
          <w:rFonts w:ascii="Arial" w:cs="Arial" w:eastAsia="Arial" w:hAnsi="Arial"/>
          <w:sz w:val="17"/>
          <w:szCs w:val="17"/>
          <w:color w:val="auto"/>
        </w:rPr>
        <w:t>, age 66—Mr. Warzala has a strong management and technical background in the motion control industry and has served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the Company since August 2006 and as Chairman of the Board since February 2014. Mr. Warzala joined Allied Motion as President and Chief Operating Officer in May 2002 and was appointed President and Chief Executive Officer in May 2009. Prior to joining Allied Motion, Mr. Warzala was President of the Motion Components Group of Danaher Corporation and held various positions at American Precision Industries Inc., including Corporate Vice President and President of its API Motion Division. Pursuant to his employment agreement, as long as Mr. Warzala is Chief Executive Officer and is willing to serve, the Board of Directors will nominate him for election to the Board. His leadership experience and Company and industry knowledge, with 32 years of motion experience, provide valuable insight to the Board of Directors in formulating and executing the Company’s strategy. Mr. Warzala has also served on the Board of Directors of Astronova, Inc. since December 2017.</w:t>
      </w:r>
    </w:p>
    <w:p>
      <w:pPr>
        <w:spacing w:after="0" w:line="1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i w:val="1"/>
          <w:iCs w:val="1"/>
          <w:color w:val="auto"/>
        </w:rPr>
        <w:t>Michael R. Winter</w:t>
      </w:r>
      <w:r>
        <w:rPr>
          <w:rFonts w:ascii="Arial" w:cs="Arial" w:eastAsia="Arial" w:hAnsi="Arial"/>
          <w:sz w:val="18"/>
          <w:szCs w:val="18"/>
          <w:color w:val="auto"/>
        </w:rPr>
        <w:t>, age 66—Mr. Winter was appointed a director of the Company in July 2014. Mr. Winter is a former partner in the Buffalo,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office of PricewaterhouseCoopers LLP (“PwC”), serving in that role from 1987 until his retirement in June 2014. During his tenure, Mr. Winter was responsible for leading the delivery of assurance services to public entities with experience serving many sectors including Consumer and Industrial Products Manufacturing, Energy and Healthcare. Since 2010 he was also a member of the PwC National Office based in New Jersey, which serves as support for all PwC U.S. practice offices. Mr. Winter served on the Board of Directors of Gas Natural, Inc. (EGAS) from October 2014 through its sale in August 2017. His accounting and business expertise, including an in-depth understanding of the preparation and analysis of financial statements, makes him highly qualified to serve as a director.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2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Under the corporate governance standards of the Nasdaq Global Market, at least a majority of our Directors, and, except in limited circumstances, all of the members of our Audit Committee, Compensation Committee and Governance and Nominating Committee, must meet the test of “independence” as defined by Nasdaq. The Nasdaq standards provide that to qualify as an “independent” director, in addition to satisfying certain bright-line criteria, the Board of Directors must affirmatively determine that a director has no material relationship with the Company. The Board of Directors has determined that each director nominee, other than Mr. Warzala, satisfies the bright-line criteria and that no other director or nominee has a relationship with the Company that would interfere with such person’s ability to exercise independent judgment as a member of our Board.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Richard S. Warzala serves as the Company’s Chairman of the Board and also serves as President and Chief Executive Officer of the Company. The Company believes that having Mr. Warzala serve as both an executive officer and as Chairman demonstrates to the Company’s employees and other stakeholders that the Board of Directors is under strong leadership, with a single person setting the tone and having primary responsibility for leading the Board of Directors. The Company believes this unity of leadership eliminates the potential for confusion or duplication of efforts, and provides clear leadership for the Company. In addition, the Board of Directors recognizes that, given Mr. Warzala’s familiarity with the Company and his long-standing experience with the Company, it is valuable to have him lead board discussions.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right="80" w:firstLine="648"/>
        <w:spacing w:after="0" w:line="272" w:lineRule="auto"/>
        <w:rPr>
          <w:sz w:val="20"/>
          <w:szCs w:val="20"/>
          <w:color w:val="auto"/>
        </w:rPr>
      </w:pPr>
      <w:r>
        <w:rPr>
          <w:rFonts w:ascii="Arial" w:cs="Arial" w:eastAsia="Arial" w:hAnsi="Arial"/>
          <w:sz w:val="17"/>
          <w:szCs w:val="17"/>
          <w:color w:val="auto"/>
        </w:rPr>
        <w:t>To provide for an additional independent leadership role, the Board of Directors has designated Richard D. Federico, as Lead Director. The Lead Director is an independent director chosen by the Board. Under our Corporate Governance Principles, the Lead Director’s responsibilities include: providing leadership to ensure that the Board functions independently of management and the non-independent directors, presiding at meetings of the Board of Directors at which the Chairman is not present, including executive sessions of the independent directors; serving as liaison between the Chairman and the independent directors with respect to Board agenda items, the information provided to the independent directors, the resources available to Board members and similar matters; convening meetings of the independent directors; and consulting with the Chairman on matters relating to Board of Director performance and corporate governance.</w:t>
      </w:r>
    </w:p>
    <w:p>
      <w:pPr>
        <w:spacing w:after="0" w:line="17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Another component of our leadership structure is the active role played by our independent directors in overseeing the Company’s business, both at the Board and Committee level. Six of the seven director nominees are considered independent under the corporate governance standards of the Nasdaq Global Market. All of our Directors are encouraged to suggest the inclusion of items on the agenda for meetings of our Board of Directors or raise subjects that are not on the agenda for that meeting. In addition, our Board of Directors and each committee have complete and open access to any member of management and the authority to retain independent legal, financial and other advisors as they deem appropriate without consulting or obtaining the approval of any member of management. Our Board of Directors also holds regularly scheduled executive sessions of only independent Directors, led by the Lead Director, in order to promote discussion among the independent Directors and assure independent oversight of management. Moreover, our Audit Committee, Compensation Committee and Governance and Nominating Committee, all of which are comprised entirely of independent Directors, also perform oversight functions independent of management.</w:t>
      </w:r>
    </w:p>
    <w:p>
      <w:pPr>
        <w:spacing w:after="0" w:line="18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Company believes its leadership structure is the most effective leadership structure for the Board of Directors at this time. However, the Board of Directors recognizes that no single leadership model is appropriate for a board at all times. Accordingly, the Board of Directors may in the future consider a different leadership structure, including a structure providing for a Chairman of the Board who is not an executive officer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 With the Board</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provide an informal process for shareholders to send communications to the Board of Directors. Shareholders who wish to contact the Board of Directors or any of its members may do so in writing to Allied Motion Technologies Inc., 495 Commerce Drive, Suite 3, Amherst, New York 14228. Correspondence directed to an individual board member will be referred to that member. Correspondence not directed to a particular board member will be referred to the Lead Director.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and Meeting Data</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Board of Directors has a standing Audit Committee, Compensation Committee and Governance and Nominating Committee. Each member of each of these committees is “independent” as that term is defined in the Nasdaq listing standards. The Board has adopted a written charter for each of these committees, which is available on our web site at www.alliedmotion.com.</w:t>
      </w:r>
    </w:p>
    <w:p>
      <w:pPr>
        <w:spacing w:after="0" w:line="18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Audit Committee of our Board of Directors oversees the Company’s financial reporting on behalf of the Board and is responsible for the appointment, replacement, compensation and oversight of the work of the Company’s independent auditors. The Audit Committee also reviews the Company’s annual and quarterly reports filed with the SEC. The Audit Committee held eight meetings during 2019 and consisted of Messrs. Winter (Chair), Laber and Tanous and Ms. Duch. Mr. Engel joined the committee in October 2019. Each member of the Audit Committee meets the current independence and experience requirements of Nasdaq and the SEC. Mr. Winter has been designated as an “Audit Committee financial expert” in accordance with the SEC rules and regulations and qualifies as a financially sophisticated audit committee member under the Nasdaq listing standards. See “Report of the Audit Committee” below.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ind w:firstLine="648"/>
        <w:spacing w:after="0" w:line="273" w:lineRule="auto"/>
        <w:rPr>
          <w:sz w:val="20"/>
          <w:szCs w:val="20"/>
          <w:color w:val="auto"/>
        </w:rPr>
      </w:pPr>
      <w:r>
        <w:rPr>
          <w:rFonts w:ascii="Arial" w:cs="Arial" w:eastAsia="Arial" w:hAnsi="Arial"/>
          <w:sz w:val="17"/>
          <w:szCs w:val="17"/>
          <w:color w:val="auto"/>
        </w:rPr>
        <w:t>The Compensation Committee of our Board of Directors has the principal responsibility to oversee the compensation of the Company’s management employees including its executive officers, and to make recommendations to the Board concerning the compensation of the Board of Directors. The Compensation Committee also reviews and approves to the Board for their approval all awards granted under the Company’s stock incentive plan and performs other functions regarding compensation as the Board may delegate. In 2019, under the direction of the Compensation Committee, the Company retained The Burke Group, an independent compensation consultant, to report on peer compensation plans and provide feedback on compensation plan alternatives being considered by the Company and the Compensation Committee.</w:t>
      </w:r>
    </w:p>
    <w:p>
      <w:pPr>
        <w:spacing w:after="0" w:line="17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Compensation Committee met seven times during 2019 and consisted of Messrs. Federico (Chair) and Laber and Ms. Duch. Mr. Engel joined the committee in October 2019.</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Governance and Nominating Committee of our Board of Directors (i) monitors and oversees matters of corporate governance, including the evaluation of Board performance and processes and the “independence” of directors, and (ii) selects, evaluates and recommends to the Board qualified candidates for election or appointment to the Board and each Committee of the Board. The committee met seven times during 2019 and consisted of Messrs. Tanous (Chair), Federico and Winter.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 Management</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Board of Directors oversees our risk management process. This oversight is primarily accomplished through the Board’s committees and management’s reporting processes. We do not have a formal risk committee; however, our Audit Committee is responsible for overseeing risks arising out of accounting, financial reporting and related activities and is primarily responsible for ensuring that the Board exercises adequate oversight of the Company’s enterprise risk management process. Our Compensation Committee reviews compensation agreements to confirm that compensation, especially incentive pay arrangements, do not encourage or create opportunities for unnecessary risk-taking and our Governance and Nominating Committee assists the Board in its oversight of the Company’s process for management and communication of key risks facing the Company, as well as the guidelines, policies and processes for monitoring and mitigating such risks.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Procedures</w:t>
      </w:r>
    </w:p>
    <w:p>
      <w:pPr>
        <w:spacing w:after="0" w:line="229"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The Governance and Nominating Committee identifies nominees by first evaluating the current members of the Board of Directors willing to continue in service. Current members of the Board with skills and experience that are relevant to the Company’s business and who are willing to continue in service are considered for re-nomination. If any member of the Board does not wish to continue in service, or if the Governance and Nominating Committee decides not to nominate a member for re-election, the Governance and Nominating Committee first considers the appropriateness of the size of the board. If the Governance and Nominating Committee determines the board seat should be retained and a vacancy exists, the Governance and Nominating Committee considers factors that it deems are in the best interests of the Company and its shareholders in identifying and evaluating a new nominee. Skills and characteristics that are considered include judgment, accountability, integrity, reputation, relevant experience, including leadership roles and experience working in a collaborative environment, technical skills, financial literacy, mature confidence and emotional maturity, high performance standards, availability, other board appointments and outside commitments, industry knowledge, networking/contacts, and degree of independence from management.</w:t>
      </w:r>
    </w:p>
    <w:p>
      <w:pPr>
        <w:spacing w:after="0" w:line="194"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Our Corporate Governance Principles provide that directors may not be nominated to a new term if they will be age 75 or over at the expiration of his or her current term, unless the Board waives the mandatory retirement age for a specific director. Mr. Laber is being nominated for election to the Board at the 2020 Annual Meeting, although he is age 76. Based on the recommendation of the Governance and Nominating Committee, the Board has waived the mandatory retirement requirement for Mr. Laber for this year as he is a key Board member, serving on both our Audit and Compensation Committees.</w:t>
      </w:r>
    </w:p>
    <w:p>
      <w:pPr>
        <w:spacing w:after="0" w:line="157"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While we do not have a formal policy or guidelines regarding diversity of membership of our Board of Directors, our Corporate Governance Principles recognize the value of having a Board that encompasses a broad range of skills, expertise, contacts, industry knowledge and diversity of opinion. Our Board has not attempted to define “diversity,” or otherwise require that the composition of our Board include individuals from any particular background or who possess specific attributes. The Governance and Nominating Committee will continue to consider whether it would be appropriate to adopt a policy or guidelines regarding board diversity or define diversity as it relates to the composition of our Board of Directors.</w:t>
      </w:r>
    </w:p>
    <w:p>
      <w:pPr>
        <w:spacing w:after="0" w:line="17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Board of Directors will consider nominees recommended by shareholders. Any such person will be evaluated in the same manner as any other potential nominee for director. Any suggestion for a nominee for director by a shareholder should be sent to the Company’s Secretary within the time periods set forth under “Shareholder Proposals for the 2021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Attendance at Meetings</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Board of Directors held seven meetings in 2019. Our Independent Directors meet in executive session without management directors or management present. These sessions generally take place prior to or following regularly scheduled board meetings. The directors met in such sessions four times during 2019. Our Corporate Governance Principles provide that all directors are expected to regularly attend all meetings of the Board and the Board committees on which he serves. In 2019, each director attended 100% of the total number of meetings of the Board of Directors and substantially all (greater than 95%) of the total number of meetings held by committees of the Board of Directors on which he or she served. In addition, each director is expected to attend the Annual Meeting of Shareholders. In 2019, the Annual Meeting of Shareholders was attended by all of the directors then in office.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Compensation Committee Interlocks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noted above, the Compensation Committee is comprised of four independent Directors: Messrs. Engel, Federico, Laber and Ms. Duch. No member of the Compensation Committee is or was formerly an officer or an employee of the Company. No executive officer of the Company serves as a member of the board of directors or compensation committee of any entity that has one or more executive officers serving as a member of the Company’s Board of Directors, nor has such interlocking relationship existed in the past.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Guidelines for Directors and Officers</w:t>
      </w:r>
    </w:p>
    <w:p>
      <w:pPr>
        <w:spacing w:after="0" w:line="229"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In order to enhance the alignment of the interests of the directors and management with shareholders, the Company has instituted ownership guidelines for directors and officers. Each director who has served for at least five years should own shares of Common Stock with a market value of a minimum of three times the annual cash and stock retainer fee payable to a director. Within five years of their election, officers of the Company are required to own shares of Common Stock having a market value equal to or greater than the following multiples of their base salary: (1) President and Chief Executive Officer: five times annual base salary; (2) Chief Financial Officer and Vice President of Operational Excellence: three times annual base salary; and (3) all other Section 16 officers: one times annual base salary.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PROPOSALS TO BE VOTED 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229"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Our Articles of Incorporation and Bylaws provide for a Board consisting of not less than three and not more than nine persons, as such number is determined by the Board of Directors, all of whom will be elected annually to serve until the next annual meeting of shareholders and until their successors are elected and qualified, or until the Director resigns or is otherwise removed.</w:t>
      </w:r>
    </w:p>
    <w:p>
      <w:pPr>
        <w:spacing w:after="0" w:line="18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Board of Directors currently has eight members: Linda P. Duch, Robert B. Engel, Richard D. Federico, Gerald J. (Bud) Laber, Richard D. Smith, James J. Tanous, Richard S. Warzala and Michael R. Winter. Mr. Smith is not standing for re-election to the Board after his current term expires immediately prior to the Annual Meeting. Accordingly, the number of authorized directors will be reduced to seven and all seven positions on the Board are to be filled by vote of the shareholders at the Annual Meeting. The affirmative vote of a majority of the votes cast is required for the election of directors. Unless instructed otherwise, it is intended that the shares represented by proxy at the Annual Meeting will be voted in favor of the seven nominees named above, each of whom was nominated by the Board based on the recommendation of our Governance and Nominating Committee. Each nominee is an incumbent director standing for re-election and all nominees have agreed to serve if elected.</w:t>
      </w:r>
    </w:p>
    <w:p>
      <w:pPr>
        <w:spacing w:after="0" w:line="177"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If, at the time of the Annual Meeting, any nominee is unable or declines to serve, the discretionary authority provided in the proxy may be exercised to vote for a substitute or substitutes. The Board of Directors has no reason to believe that any substitute nominee or nominees will be required.</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Information regarding the director nominees can be found under “Corporate Governance and Board Matters – Director Qualifications and Biographical Information.”</w:t>
      </w:r>
    </w:p>
    <w:p>
      <w:pPr>
        <w:spacing w:after="0" w:line="166"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THE BOARD OF DIRECTORS UNANIMOUSLY RECOMMENDS THAT SHAREHOLDERS VOTE “FOR” THE ELECTION OF EACH OF THE NOMINEES.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 Advisory Vote on Executive Compensation</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Shareholders are being asked to approve, on an advisory, non-binding basis, the compensation of our Named Executive Officers, as disclosed in this proxy statement in accordance with Securities and Exchange Commission rules. This proposal, commonly known as a “Say-on-Pay” proposal, gives you, as a shareholder, the opportunity to express your views on our Named Executive Officers’ compensation. Your vote is not intended to address any specific item of our compensation program, but rather to address our overall approach to the compensation of our Named Executive Officers described in this proxy statement.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 w:name="page12"/>
    <w:bookmarkEnd w:id="11"/>
    <w:p>
      <w:pPr>
        <w:ind w:right="20" w:firstLine="648"/>
        <w:spacing w:after="0" w:line="279" w:lineRule="auto"/>
        <w:rPr>
          <w:sz w:val="20"/>
          <w:szCs w:val="20"/>
          <w:color w:val="auto"/>
        </w:rPr>
      </w:pPr>
      <w:r>
        <w:rPr>
          <w:rFonts w:ascii="Arial" w:cs="Arial" w:eastAsia="Arial" w:hAnsi="Arial"/>
          <w:sz w:val="17"/>
          <w:szCs w:val="17"/>
          <w:color w:val="auto"/>
        </w:rPr>
        <w:t>As described in detail under the heading “Compensation Discussion and Analysis,” our executive compensation programs are designed to attract, motivate, and retain our executive officers, who are critical to our success. Under these programs, our Named Executive Officers are rewarded for the achievement of our shorter and longer-term financial and strategic goals and for driving corporate performance. The programs contain elements of cash and equity-based compensation and are designed to align the interests of our executives with those of our shareholders.</w:t>
      </w:r>
    </w:p>
    <w:p>
      <w:pPr>
        <w:spacing w:after="0" w:line="17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You may vote for or against the following resolution, or you may abstain. This vote is not intended to address any specific item of compensation, but rather the overall compensation of our Named Executive Officers and the philosophy, policies and procedures described in this Proxy Statement.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is asking shareholders to vote on the following resolution at the Meeting:</w:t>
      </w:r>
    </w:p>
    <w:p>
      <w:pPr>
        <w:spacing w:after="0" w:line="225" w:lineRule="exact"/>
        <w:rPr>
          <w:sz w:val="20"/>
          <w:szCs w:val="20"/>
          <w:color w:val="auto"/>
        </w:rPr>
      </w:pPr>
    </w:p>
    <w:p>
      <w:pPr>
        <w:ind w:left="660" w:right="160"/>
        <w:spacing w:after="0" w:line="263" w:lineRule="auto"/>
        <w:rPr>
          <w:sz w:val="20"/>
          <w:szCs w:val="20"/>
          <w:color w:val="auto"/>
        </w:rPr>
      </w:pPr>
      <w:r>
        <w:rPr>
          <w:rFonts w:ascii="Arial" w:cs="Arial" w:eastAsia="Arial" w:hAnsi="Arial"/>
          <w:sz w:val="18"/>
          <w:szCs w:val="18"/>
          <w:color w:val="auto"/>
        </w:rPr>
        <w:t>RESOLVED, that Allied Motion Technologies Inc.’s shareholders approve, on an advisory basis, the compensation paid to the Named Executive Officers, as disclosed under SEC rules, including the Compensation Discussion and Analysis, the compensation tables and related material included in this Proxy Statement.</w:t>
      </w:r>
    </w:p>
    <w:p>
      <w:pPr>
        <w:spacing w:after="0" w:line="184"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This vote on the Named Executive Officer compensation is advisory, and therefore will not be binding on the Company and will not affect any existing compensation or award programs. However, we value the opinions expressed by our shareholders and the Board of Directors and the Compensation Committee expect to consider the outcome of the vote, along with other relevant factors, when considering future compensation programs.</w:t>
      </w:r>
    </w:p>
    <w:p>
      <w:pPr>
        <w:spacing w:after="0" w:line="145"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THE APPROVAL OF THE FOREGOING RESOLUTION. UNLESS OTHERWISE INSTRUCTED, PROXIES WILL BE VOTED “FOR” THE APPROVAL.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 Advisory Vote on the Ratification of Independent Registered Public Accounting Firm</w:t>
      </w:r>
    </w:p>
    <w:p>
      <w:pPr>
        <w:spacing w:after="0" w:line="229"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Deloitte &amp; Touche LLP has served as the independent registered public accounting firm for the Company since August 2018. Representatives of Deloitte &amp; Touche LLP are expected to be present at the Annual Meeting, will have the opportunity to make a statement if they desire to do so and are expected to be available to respond to appropriate questions.</w:t>
      </w:r>
    </w:p>
    <w:p>
      <w:pPr>
        <w:spacing w:after="0" w:line="184" w:lineRule="exact"/>
        <w:rPr>
          <w:sz w:val="20"/>
          <w:szCs w:val="20"/>
          <w:color w:val="auto"/>
        </w:rPr>
      </w:pPr>
    </w:p>
    <w:p>
      <w:pPr>
        <w:jc w:val="both"/>
        <w:ind w:right="220" w:firstLine="648"/>
        <w:spacing w:after="0" w:line="342" w:lineRule="auto"/>
        <w:rPr>
          <w:sz w:val="20"/>
          <w:szCs w:val="20"/>
          <w:color w:val="auto"/>
        </w:rPr>
      </w:pPr>
      <w:r>
        <w:rPr>
          <w:rFonts w:ascii="Arial" w:cs="Arial" w:eastAsia="Arial" w:hAnsi="Arial"/>
          <w:sz w:val="16"/>
          <w:szCs w:val="16"/>
          <w:color w:val="auto"/>
        </w:rPr>
        <w:t>The “Audit Committee Matters” section of this Proxy Statement contains additional information regarding the independent auditors, including a description of the Audit Committee’s Policy for Pre-Approval of Audit and Permitted Non-Audit Services and a summary of Auditor Fees and Services.</w:t>
      </w:r>
    </w:p>
    <w:p>
      <w:pPr>
        <w:spacing w:after="0" w:line="12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At the Annual Meeting, the shareholders will be asked to ratify the selection of Deloitte &amp; Touche LLP as the Company’s independent registered public accounting firm. Pursuant to the Rules and Regulations of the Securities and Exchange Commission, the Audit Committee has the direct responsibility to appoint, retain, fix the compensation and oversee the work of the Company’s independent registered public accounting firm. Consequently, the Audit Committee will consider the results of the shareholder vote on ratification, but will exercise its judgment, consistent with its primary responsibility, on the appointment and retention of the Company’s independent auditors.</w:t>
      </w:r>
    </w:p>
    <w:p>
      <w:pPr>
        <w:spacing w:after="0" w:line="188"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affirmative vote of a majority of the votes cast on the proposal, assuming a quorum is present at the Meeting, is required to ratify the appointment of Deloitte &amp; Touche LLP as the Company’s independent public accounting firm for 2020.</w:t>
      </w:r>
    </w:p>
    <w:p>
      <w:pPr>
        <w:spacing w:after="0" w:line="166"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THE RATIFICATION. UNLESS OTHERWISE INSTRUCTED, PROXIES WILL BE VOTED “FOR” THE RATIFICATION.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following provides certain information regarding our executive officers. Each individual’s name and position with the Company is indicated. In addition, the principal occupation and business experience for the past five years is provided for each executive officer. There are no family relationships between any of our directors or executive officers.</w:t>
      </w:r>
    </w:p>
    <w:p>
      <w:pPr>
        <w:spacing w:after="0" w:line="184"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b w:val="1"/>
          <w:bCs w:val="1"/>
          <w:i w:val="1"/>
          <w:iCs w:val="1"/>
          <w:color w:val="auto"/>
        </w:rPr>
        <w:t>Richard S. Warzala</w:t>
      </w:r>
      <w:r>
        <w:rPr>
          <w:rFonts w:ascii="Arial" w:cs="Arial" w:eastAsia="Arial" w:hAnsi="Arial"/>
          <w:sz w:val="17"/>
          <w:szCs w:val="17"/>
          <w:color w:val="auto"/>
        </w:rPr>
        <w:t>, age 66—Mr. Warzala has served as director of the Company since August 2006 and as Chairman of the Board since February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2014. Mr. Warzala joined Allied Motion as President and Chief Operating Officer in May 2002 and was appointed President and Chief Executive Officer in May 2009. Prior to joining Allied Motion, Mr. Warzala was President of the Motion Components Group of Danaher Corporation and held various positions at American Precision Industries Inc., including Corporate Vice President and President of its API Motion Division.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right="20" w:firstLine="648"/>
        <w:spacing w:after="0" w:line="279" w:lineRule="auto"/>
        <w:rPr>
          <w:sz w:val="20"/>
          <w:szCs w:val="20"/>
          <w:color w:val="auto"/>
        </w:rPr>
      </w:pPr>
      <w:r>
        <w:rPr>
          <w:rFonts w:ascii="Arial" w:cs="Arial" w:eastAsia="Arial" w:hAnsi="Arial"/>
          <w:sz w:val="17"/>
          <w:szCs w:val="17"/>
          <w:b w:val="1"/>
          <w:bCs w:val="1"/>
          <w:i w:val="1"/>
          <w:iCs w:val="1"/>
          <w:color w:val="auto"/>
        </w:rPr>
        <w:t>Michael R. Leach</w:t>
      </w:r>
      <w:r>
        <w:rPr>
          <w:rFonts w:ascii="Arial" w:cs="Arial" w:eastAsia="Arial" w:hAnsi="Arial"/>
          <w:sz w:val="17"/>
          <w:szCs w:val="17"/>
          <w:color w:val="auto"/>
        </w:rPr>
        <w:t>, age 51—Mr. Leach was named Chief Financial Officer of the Company in August 2015. Prior to joining Allied Motion,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Leach served for six years as the Executive Vice President and Chief Financial Officer for Osmose Holdings, Inc. Previously, he was with Cytec Industries for eight years where he progressed to the position of North American Operations Controller for Cytec Specialty Chemicals and eight years with Belko Corporation, a division of Alco Industries, where he was the Vice President of Finance and Administration.</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b w:val="1"/>
          <w:bCs w:val="1"/>
          <w:i w:val="1"/>
          <w:iCs w:val="1"/>
          <w:color w:val="auto"/>
        </w:rPr>
        <w:t xml:space="preserve">Robert P. Maida, </w:t>
      </w:r>
      <w:r>
        <w:rPr>
          <w:rFonts w:ascii="Arial" w:cs="Arial" w:eastAsia="Arial" w:hAnsi="Arial"/>
          <w:sz w:val="16"/>
          <w:szCs w:val="16"/>
          <w:color w:val="auto"/>
        </w:rPr>
        <w:t>age 55—Mr. Maida was named Vice President of Operational Excellence of the Company in August 2015. Mr. Maida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Financial Officer from December 2012 until August 2015. Prior to joining Allied Motion he worked for over two years as the Director of Finance for Avox Systems, Inc., a subsidiary of Zodiac Aerospace. For the ten years prior to that, Mr. Maida held several positions with API Motion / Danaher Motion where he progressed to the position of Director of Finance for the Applied Products Group of Danaher Motion, a subsidiary of Danaher Corporation. Prior to that, he was the Vice President of Finance for Great Lakes Industries, Inc. and the Director of Finance of BRC, a division of Bryce Corporation.</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COMPENSATION OF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This Compensation Discussion and Analysis (“CD&amp;A”) reports on the Company’s performance in 2019, the executive compensation earned in light of that performance, and the performance metrics and other relevant factors the Compensation Committee used in making its compensation decisions with respect to our Chief Executive Officer and President, Chief Financial Officer and our Vice President of Operational Excellence (collectively, the “Named Executive Officers”).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Philosophy and Objectives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goals of the Company’s compensation philosophy for Named Executive Officers is as follows:</w:t>
      </w:r>
    </w:p>
    <w:p>
      <w:pPr>
        <w:spacing w:after="0" w:line="225" w:lineRule="exact"/>
        <w:rPr>
          <w:sz w:val="20"/>
          <w:szCs w:val="20"/>
          <w:color w:val="auto"/>
        </w:rPr>
      </w:pPr>
    </w:p>
    <w:p>
      <w:pPr>
        <w:ind w:left="980" w:right="4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provide total compensation opportunities for Named Executive Officers which are sufficient to attract and retain individuals whose talents and abilities allow the Company to accomplish its strategies within the Company’s risk parameters.</w:t>
      </w:r>
    </w:p>
    <w:p>
      <w:pPr>
        <w:spacing w:after="0" w:line="170" w:lineRule="exact"/>
        <w:rPr>
          <w:rFonts w:ascii="Arial" w:cs="Arial" w:eastAsia="Arial" w:hAnsi="Arial"/>
          <w:sz w:val="18"/>
          <w:szCs w:val="18"/>
          <w:color w:val="auto"/>
        </w:rPr>
      </w:pPr>
    </w:p>
    <w:p>
      <w:pPr>
        <w:ind w:left="980" w:right="760" w:hanging="324"/>
        <w:spacing w:after="0" w:line="34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align the interests of the Named Executive Officers with shareholders using incentive compensation directly related to corporate performance and through the use of stock-based incentives that result in increased Company stock ownership by management.</w:t>
      </w:r>
    </w:p>
    <w:p>
      <w:pPr>
        <w:spacing w:after="0" w:line="12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Our Compensation Committee seeks to develop a well-balanced compensation program that not only contains a competitive fixed pay element through annual base salary, but that is weighted more towards variable at-risk pay elements through the use of our annual cash incentive and short- and long-term equity-based compensation. We foster a culture where our Named Executive Officers may increase their compensation by requiring meaningful value creation for our shareholders. Each element of our compensation program is discussed in more detail below.</w:t>
      </w:r>
    </w:p>
    <w:p>
      <w:pPr>
        <w:spacing w:after="0" w:line="171"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Board maintains governance standards and oversight of our executive compensation philosophy. The following governance practices were in place during fiscal 2019, and these practices, among other elements of our compensation program, aid in mitigating risk associated with our compensation program.</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What We Do:</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22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rPr>
              <w:t>What We Don’t Do:</w:t>
            </w:r>
          </w:p>
        </w:tc>
      </w:t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ü</w:t>
            </w:r>
          </w:p>
        </w:tc>
        <w:tc>
          <w:tcPr>
            <w:tcW w:w="5240" w:type="dxa"/>
            <w:vAlign w:val="bottom"/>
            <w:gridSpan w:val="2"/>
          </w:tcPr>
          <w:p>
            <w:pPr>
              <w:ind w:left="180"/>
              <w:spacing w:after="0"/>
              <w:rPr>
                <w:sz w:val="20"/>
                <w:szCs w:val="20"/>
                <w:color w:val="auto"/>
              </w:rPr>
            </w:pPr>
            <w:r>
              <w:rPr>
                <w:rFonts w:ascii="Arial" w:cs="Arial" w:eastAsia="Arial" w:hAnsi="Arial"/>
                <w:sz w:val="18"/>
                <w:szCs w:val="18"/>
                <w:b w:val="1"/>
                <w:bCs w:val="1"/>
                <w:color w:val="auto"/>
                <w:w w:val="91"/>
              </w:rPr>
              <w:t>Pay for performance</w:t>
            </w:r>
            <w:r>
              <w:rPr>
                <w:rFonts w:ascii="Arial" w:cs="Arial" w:eastAsia="Arial" w:hAnsi="Arial"/>
                <w:sz w:val="18"/>
                <w:szCs w:val="18"/>
                <w:color w:val="auto"/>
                <w:w w:val="91"/>
              </w:rPr>
              <w:t>. As demonstrated in the Elements of Executive</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û</w:t>
            </w:r>
          </w:p>
        </w:tc>
        <w:tc>
          <w:tcPr>
            <w:tcW w:w="5220" w:type="dxa"/>
            <w:vAlign w:val="bottom"/>
          </w:tcPr>
          <w:p>
            <w:pPr>
              <w:ind w:left="180"/>
              <w:spacing w:after="0"/>
              <w:rPr>
                <w:sz w:val="20"/>
                <w:szCs w:val="20"/>
                <w:color w:val="auto"/>
              </w:rPr>
            </w:pPr>
            <w:r>
              <w:rPr>
                <w:rFonts w:ascii="Arial" w:cs="Arial" w:eastAsia="Arial" w:hAnsi="Arial"/>
                <w:sz w:val="18"/>
                <w:szCs w:val="18"/>
                <w:b w:val="1"/>
                <w:bCs w:val="1"/>
                <w:i w:val="1"/>
                <w:iCs w:val="1"/>
                <w:color w:val="auto"/>
                <w:w w:val="99"/>
              </w:rPr>
              <w:t xml:space="preserve">No significant perquisites. </w:t>
            </w:r>
            <w:r>
              <w:rPr>
                <w:rFonts w:ascii="Arial" w:cs="Arial" w:eastAsia="Arial" w:hAnsi="Arial"/>
                <w:sz w:val="18"/>
                <w:szCs w:val="18"/>
                <w:color w:val="auto"/>
                <w:w w:val="99"/>
              </w:rPr>
              <w:t>The benefits our Named Executive</w:t>
            </w:r>
          </w:p>
        </w:tc>
      </w:tr>
      <w:tr>
        <w:trPr>
          <w:trHeight w:val="216"/>
        </w:trPr>
        <w:tc>
          <w:tcPr>
            <w:tcW w:w="280" w:type="dxa"/>
            <w:vAlign w:val="bottom"/>
          </w:tcPr>
          <w:p>
            <w:pPr>
              <w:spacing w:after="0"/>
              <w:rPr>
                <w:sz w:val="18"/>
                <w:szCs w:val="18"/>
                <w:color w:val="auto"/>
              </w:rPr>
            </w:pPr>
          </w:p>
        </w:tc>
        <w:tc>
          <w:tcPr>
            <w:tcW w:w="5240" w:type="dxa"/>
            <w:vAlign w:val="bottom"/>
            <w:gridSpan w:val="2"/>
          </w:tcPr>
          <w:p>
            <w:pPr>
              <w:ind w:left="180"/>
              <w:spacing w:after="0"/>
              <w:rPr>
                <w:sz w:val="20"/>
                <w:szCs w:val="20"/>
                <w:color w:val="auto"/>
              </w:rPr>
            </w:pPr>
            <w:r>
              <w:rPr>
                <w:rFonts w:ascii="Arial" w:cs="Arial" w:eastAsia="Arial" w:hAnsi="Arial"/>
                <w:sz w:val="18"/>
                <w:szCs w:val="18"/>
                <w:color w:val="auto"/>
              </w:rPr>
              <w:t>Compensation, a significant portion of executive pay is not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Pr>
          <w:p>
            <w:pPr>
              <w:ind w:left="180"/>
              <w:spacing w:after="0"/>
              <w:rPr>
                <w:sz w:val="20"/>
                <w:szCs w:val="20"/>
                <w:color w:val="auto"/>
              </w:rPr>
            </w:pPr>
            <w:r>
              <w:rPr>
                <w:rFonts w:ascii="Arial" w:cs="Arial" w:eastAsia="Arial" w:hAnsi="Arial"/>
                <w:sz w:val="18"/>
                <w:szCs w:val="18"/>
                <w:color w:val="auto"/>
                <w:w w:val="95"/>
              </w:rPr>
              <w:t>Officers receive in the form of health insurance, life insurance, and</w:t>
            </w:r>
          </w:p>
        </w:tc>
      </w:tr>
      <w:tr>
        <w:trPr>
          <w:trHeight w:val="216"/>
        </w:trPr>
        <w:tc>
          <w:tcPr>
            <w:tcW w:w="280" w:type="dxa"/>
            <w:vAlign w:val="bottom"/>
          </w:tcPr>
          <w:p>
            <w:pPr>
              <w:spacing w:after="0"/>
              <w:rPr>
                <w:sz w:val="18"/>
                <w:szCs w:val="18"/>
                <w:color w:val="auto"/>
              </w:rPr>
            </w:pPr>
          </w:p>
        </w:tc>
        <w:tc>
          <w:tcPr>
            <w:tcW w:w="5240" w:type="dxa"/>
            <w:vAlign w:val="bottom"/>
            <w:gridSpan w:val="2"/>
          </w:tcPr>
          <w:p>
            <w:pPr>
              <w:ind w:left="180"/>
              <w:spacing w:after="0"/>
              <w:rPr>
                <w:sz w:val="20"/>
                <w:szCs w:val="20"/>
                <w:color w:val="auto"/>
              </w:rPr>
            </w:pPr>
            <w:r>
              <w:rPr>
                <w:rFonts w:ascii="Arial" w:cs="Arial" w:eastAsia="Arial" w:hAnsi="Arial"/>
                <w:sz w:val="18"/>
                <w:szCs w:val="18"/>
                <w:color w:val="auto"/>
                <w:w w:val="93"/>
              </w:rPr>
              <w:t>guaranteed, but rather tied to key financial metrics that measure our</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Pr>
          <w:p>
            <w:pPr>
              <w:ind w:left="180"/>
              <w:spacing w:after="0"/>
              <w:rPr>
                <w:sz w:val="20"/>
                <w:szCs w:val="20"/>
                <w:color w:val="auto"/>
              </w:rPr>
            </w:pPr>
            <w:r>
              <w:rPr>
                <w:rFonts w:ascii="Arial" w:cs="Arial" w:eastAsia="Arial" w:hAnsi="Arial"/>
                <w:sz w:val="18"/>
                <w:szCs w:val="18"/>
                <w:color w:val="auto"/>
                <w:w w:val="96"/>
              </w:rPr>
              <w:t>Company matching contributions to the 401(k) Plan are the same</w:t>
            </w:r>
          </w:p>
        </w:tc>
      </w:tr>
      <w:tr>
        <w:trPr>
          <w:trHeight w:val="216"/>
        </w:trPr>
        <w:tc>
          <w:tcPr>
            <w:tcW w:w="280" w:type="dxa"/>
            <w:vAlign w:val="bottom"/>
          </w:tcPr>
          <w:p>
            <w:pPr>
              <w:spacing w:after="0"/>
              <w:rPr>
                <w:sz w:val="18"/>
                <w:szCs w:val="18"/>
                <w:color w:val="auto"/>
              </w:rPr>
            </w:pPr>
          </w:p>
        </w:tc>
        <w:tc>
          <w:tcPr>
            <w:tcW w:w="5240" w:type="dxa"/>
            <w:vAlign w:val="bottom"/>
            <w:gridSpan w:val="2"/>
          </w:tcPr>
          <w:p>
            <w:pPr>
              <w:ind w:left="180"/>
              <w:spacing w:after="0"/>
              <w:rPr>
                <w:sz w:val="20"/>
                <w:szCs w:val="20"/>
                <w:color w:val="auto"/>
              </w:rPr>
            </w:pPr>
            <w:r>
              <w:rPr>
                <w:rFonts w:ascii="Arial" w:cs="Arial" w:eastAsia="Arial" w:hAnsi="Arial"/>
                <w:sz w:val="18"/>
                <w:szCs w:val="18"/>
                <w:color w:val="auto"/>
              </w:rPr>
              <w:t>performance and are disclosed to our shareholders.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Pr>
          <w:p>
            <w:pPr>
              <w:ind w:left="180"/>
              <w:spacing w:after="0"/>
              <w:rPr>
                <w:sz w:val="20"/>
                <w:szCs w:val="20"/>
                <w:color w:val="auto"/>
              </w:rPr>
            </w:pPr>
            <w:r>
              <w:rPr>
                <w:rFonts w:ascii="Arial" w:cs="Arial" w:eastAsia="Arial" w:hAnsi="Arial"/>
                <w:sz w:val="18"/>
                <w:szCs w:val="18"/>
                <w:color w:val="auto"/>
                <w:w w:val="99"/>
              </w:rPr>
              <w:t>benefits generally available to all our employees. The CEO also</w:t>
            </w:r>
          </w:p>
        </w:tc>
      </w:tr>
      <w:tr>
        <w:trPr>
          <w:trHeight w:val="216"/>
        </w:trPr>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Pr>
          <w:p>
            <w:pPr>
              <w:ind w:left="180"/>
              <w:spacing w:after="0"/>
              <w:rPr>
                <w:sz w:val="20"/>
                <w:szCs w:val="20"/>
                <w:color w:val="auto"/>
              </w:rPr>
            </w:pPr>
            <w:r>
              <w:rPr>
                <w:rFonts w:ascii="Arial" w:cs="Arial" w:eastAsia="Arial" w:hAnsi="Arial"/>
                <w:sz w:val="18"/>
                <w:szCs w:val="18"/>
                <w:color w:val="auto"/>
              </w:rPr>
              <w:t>receives a life insurance benefit, a physical exam and use of a</w:t>
            </w:r>
          </w:p>
        </w:tc>
      </w:tr>
      <w:tr>
        <w:trPr>
          <w:trHeight w:val="230"/>
        </w:trPr>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20" w:type="dxa"/>
            <w:vAlign w:val="bottom"/>
          </w:tcPr>
          <w:p>
            <w:pPr>
              <w:ind w:left="180"/>
              <w:spacing w:after="0"/>
              <w:rPr>
                <w:sz w:val="20"/>
                <w:szCs w:val="20"/>
                <w:color w:val="auto"/>
              </w:rPr>
            </w:pPr>
            <w:r>
              <w:rPr>
                <w:rFonts w:ascii="Arial" w:cs="Arial" w:eastAsia="Arial" w:hAnsi="Arial"/>
                <w:sz w:val="18"/>
                <w:szCs w:val="18"/>
                <w:color w:val="auto"/>
              </w:rPr>
              <w:t>Company car.</w:t>
            </w:r>
          </w:p>
        </w:tc>
      </w:tr>
      <w:tr>
        <w:trPr>
          <w:trHeight w:val="283"/>
        </w:trPr>
        <w:tc>
          <w:tcPr>
            <w:tcW w:w="280" w:type="dxa"/>
            <w:vAlign w:val="bottom"/>
          </w:tcPr>
          <w:p>
            <w:pPr>
              <w:spacing w:after="0"/>
              <w:rPr>
                <w:sz w:val="20"/>
                <w:szCs w:val="20"/>
                <w:color w:val="auto"/>
              </w:rPr>
            </w:pPr>
            <w:r>
              <w:rPr>
                <w:rFonts w:ascii="Arial" w:cs="Arial" w:eastAsia="Arial" w:hAnsi="Arial"/>
                <w:sz w:val="18"/>
                <w:szCs w:val="18"/>
                <w:color w:val="auto"/>
              </w:rPr>
              <w:t>ü</w:t>
            </w:r>
          </w:p>
        </w:tc>
        <w:tc>
          <w:tcPr>
            <w:tcW w:w="524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 xml:space="preserve">Target </w:t>
            </w:r>
            <w:r>
              <w:rPr>
                <w:rFonts w:ascii="Arial" w:cs="Arial" w:eastAsia="Arial" w:hAnsi="Arial"/>
                <w:sz w:val="18"/>
                <w:szCs w:val="18"/>
                <w:color w:val="auto"/>
              </w:rPr>
              <w:t>the</w:t>
            </w:r>
            <w:r>
              <w:rPr>
                <w:rFonts w:ascii="Arial" w:cs="Arial" w:eastAsia="Arial" w:hAnsi="Arial"/>
                <w:sz w:val="18"/>
                <w:szCs w:val="18"/>
                <w:b w:val="1"/>
                <w:bCs w:val="1"/>
                <w:i w:val="1"/>
                <w:iCs w:val="1"/>
                <w:color w:val="auto"/>
              </w:rPr>
              <w:t xml:space="preserve"> following market positions for Named Executive</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û</w:t>
            </w:r>
          </w:p>
        </w:tc>
        <w:tc>
          <w:tcPr>
            <w:tcW w:w="5220" w:type="dxa"/>
            <w:vAlign w:val="bottom"/>
          </w:tcPr>
          <w:p>
            <w:pPr>
              <w:ind w:left="180"/>
              <w:spacing w:after="0"/>
              <w:rPr>
                <w:sz w:val="20"/>
                <w:szCs w:val="20"/>
                <w:color w:val="auto"/>
              </w:rPr>
            </w:pPr>
            <w:r>
              <w:rPr>
                <w:rFonts w:ascii="Arial" w:cs="Arial" w:eastAsia="Arial" w:hAnsi="Arial"/>
                <w:sz w:val="18"/>
                <w:szCs w:val="18"/>
                <w:b w:val="1"/>
                <w:bCs w:val="1"/>
                <w:i w:val="1"/>
                <w:iCs w:val="1"/>
                <w:color w:val="auto"/>
                <w:w w:val="90"/>
              </w:rPr>
              <w:t xml:space="preserve">No hedging, pledging, or short sales transactions permitted. </w:t>
            </w:r>
            <w:r>
              <w:rPr>
                <w:rFonts w:ascii="Arial" w:cs="Arial" w:eastAsia="Arial" w:hAnsi="Arial"/>
                <w:sz w:val="18"/>
                <w:szCs w:val="18"/>
                <w:color w:val="auto"/>
                <w:w w:val="90"/>
              </w:rPr>
              <w:t>The</w:t>
            </w:r>
          </w:p>
        </w:tc>
      </w:tr>
      <w:tr>
        <w:trPr>
          <w:trHeight w:val="216"/>
        </w:trPr>
        <w:tc>
          <w:tcPr>
            <w:tcW w:w="280" w:type="dxa"/>
            <w:vAlign w:val="bottom"/>
          </w:tcPr>
          <w:p>
            <w:pPr>
              <w:spacing w:after="0"/>
              <w:rPr>
                <w:sz w:val="18"/>
                <w:szCs w:val="18"/>
                <w:color w:val="auto"/>
              </w:rPr>
            </w:pPr>
          </w:p>
        </w:tc>
        <w:tc>
          <w:tcPr>
            <w:tcW w:w="15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Officers:</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Pr>
          <w:p>
            <w:pPr>
              <w:ind w:left="180"/>
              <w:spacing w:after="0"/>
              <w:rPr>
                <w:sz w:val="20"/>
                <w:szCs w:val="20"/>
                <w:color w:val="auto"/>
              </w:rPr>
            </w:pPr>
            <w:r>
              <w:rPr>
                <w:rFonts w:ascii="Arial" w:cs="Arial" w:eastAsia="Arial" w:hAnsi="Arial"/>
                <w:sz w:val="18"/>
                <w:szCs w:val="18"/>
                <w:color w:val="auto"/>
                <w:w w:val="99"/>
              </w:rPr>
              <w:t>Board of Directors has adopted a policy that prohibits Company</w:t>
            </w:r>
          </w:p>
        </w:tc>
      </w:tr>
      <w:tr>
        <w:trPr>
          <w:trHeight w:val="216"/>
        </w:trPr>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Pr>
          <w:p>
            <w:pPr>
              <w:ind w:left="180"/>
              <w:spacing w:after="0"/>
              <w:rPr>
                <w:sz w:val="20"/>
                <w:szCs w:val="20"/>
                <w:color w:val="auto"/>
              </w:rPr>
            </w:pPr>
            <w:r>
              <w:rPr>
                <w:rFonts w:ascii="Arial" w:cs="Arial" w:eastAsia="Arial" w:hAnsi="Arial"/>
                <w:sz w:val="18"/>
                <w:szCs w:val="18"/>
                <w:color w:val="auto"/>
                <w:w w:val="90"/>
              </w:rPr>
              <w:t>directors, officers and certain designated employees from (i) engaging</w:t>
            </w:r>
          </w:p>
        </w:tc>
      </w:tr>
      <w:tr>
        <w:trPr>
          <w:trHeight w:val="216"/>
        </w:trPr>
        <w:tc>
          <w:tcPr>
            <w:tcW w:w="280" w:type="dxa"/>
            <w:vAlign w:val="bottom"/>
          </w:tcPr>
          <w:p>
            <w:pPr>
              <w:spacing w:after="0"/>
              <w:rPr>
                <w:sz w:val="18"/>
                <w:szCs w:val="18"/>
                <w:color w:val="auto"/>
              </w:rPr>
            </w:pPr>
          </w:p>
        </w:tc>
        <w:tc>
          <w:tcPr>
            <w:tcW w:w="1540" w:type="dxa"/>
            <w:vAlign w:val="bottom"/>
          </w:tcPr>
          <w:p>
            <w:pPr>
              <w:ind w:left="220"/>
              <w:spacing w:after="0"/>
              <w:rPr>
                <w:sz w:val="20"/>
                <w:szCs w:val="20"/>
                <w:color w:val="auto"/>
              </w:rPr>
            </w:pPr>
            <w:r>
              <w:rPr>
                <w:rFonts w:ascii="Arial" w:cs="Arial" w:eastAsia="Arial" w:hAnsi="Arial"/>
                <w:sz w:val="18"/>
                <w:szCs w:val="18"/>
                <w:color w:val="auto"/>
              </w:rPr>
              <w:t>Base Salary</w:t>
            </w:r>
          </w:p>
        </w:tc>
        <w:tc>
          <w:tcPr>
            <w:tcW w:w="3700" w:type="dxa"/>
            <w:vAlign w:val="bottom"/>
          </w:tcPr>
          <w:p>
            <w:pPr>
              <w:ind w:left="180"/>
              <w:spacing w:after="0"/>
              <w:rPr>
                <w:sz w:val="20"/>
                <w:szCs w:val="20"/>
                <w:color w:val="auto"/>
              </w:rPr>
            </w:pPr>
            <w:r>
              <w:rPr>
                <w:rFonts w:ascii="Arial" w:cs="Arial" w:eastAsia="Arial" w:hAnsi="Arial"/>
                <w:sz w:val="18"/>
                <w:szCs w:val="18"/>
                <w:color w:val="auto"/>
              </w:rPr>
              <w:t>-  At Market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Pr>
          <w:p>
            <w:pPr>
              <w:ind w:left="180"/>
              <w:spacing w:after="0"/>
              <w:rPr>
                <w:sz w:val="20"/>
                <w:szCs w:val="20"/>
                <w:color w:val="auto"/>
              </w:rPr>
            </w:pPr>
            <w:r>
              <w:rPr>
                <w:rFonts w:ascii="Arial" w:cs="Arial" w:eastAsia="Arial" w:hAnsi="Arial"/>
                <w:sz w:val="18"/>
                <w:szCs w:val="18"/>
                <w:color w:val="auto"/>
                <w:w w:val="99"/>
              </w:rPr>
              <w:t>in any hedging or monetization transactions involving Company</w:t>
            </w:r>
          </w:p>
        </w:tc>
      </w:tr>
      <w:tr>
        <w:trPr>
          <w:trHeight w:val="216"/>
        </w:trPr>
        <w:tc>
          <w:tcPr>
            <w:tcW w:w="280" w:type="dxa"/>
            <w:vAlign w:val="bottom"/>
          </w:tcPr>
          <w:p>
            <w:pPr>
              <w:spacing w:after="0"/>
              <w:rPr>
                <w:sz w:val="18"/>
                <w:szCs w:val="18"/>
                <w:color w:val="auto"/>
              </w:rPr>
            </w:pPr>
          </w:p>
        </w:tc>
        <w:tc>
          <w:tcPr>
            <w:tcW w:w="1540" w:type="dxa"/>
            <w:vAlign w:val="bottom"/>
          </w:tcPr>
          <w:p>
            <w:pPr>
              <w:ind w:left="180"/>
              <w:spacing w:after="0"/>
              <w:rPr>
                <w:sz w:val="20"/>
                <w:szCs w:val="20"/>
                <w:color w:val="auto"/>
              </w:rPr>
            </w:pPr>
            <w:r>
              <w:rPr>
                <w:rFonts w:ascii="Arial" w:cs="Arial" w:eastAsia="Arial" w:hAnsi="Arial"/>
                <w:sz w:val="18"/>
                <w:szCs w:val="18"/>
                <w:color w:val="auto"/>
              </w:rPr>
              <w:t>Annual Incentive</w:t>
            </w:r>
          </w:p>
        </w:tc>
        <w:tc>
          <w:tcPr>
            <w:tcW w:w="3700" w:type="dxa"/>
            <w:vAlign w:val="bottom"/>
          </w:tcPr>
          <w:p>
            <w:pPr>
              <w:ind w:left="120"/>
              <w:spacing w:after="0"/>
              <w:rPr>
                <w:sz w:val="20"/>
                <w:szCs w:val="20"/>
                <w:color w:val="auto"/>
              </w:rPr>
            </w:pPr>
            <w:r>
              <w:rPr>
                <w:rFonts w:ascii="Arial" w:cs="Arial" w:eastAsia="Arial" w:hAnsi="Arial"/>
                <w:sz w:val="18"/>
                <w:szCs w:val="18"/>
                <w:color w:val="auto"/>
              </w:rPr>
              <w:t>-  At Market for the achievement of target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Pr>
          <w:p>
            <w:pPr>
              <w:ind w:left="180"/>
              <w:spacing w:after="0"/>
              <w:rPr>
                <w:sz w:val="20"/>
                <w:szCs w:val="20"/>
                <w:color w:val="auto"/>
              </w:rPr>
            </w:pPr>
            <w:r>
              <w:rPr>
                <w:rFonts w:ascii="Arial" w:cs="Arial" w:eastAsia="Arial" w:hAnsi="Arial"/>
                <w:sz w:val="18"/>
                <w:szCs w:val="18"/>
                <w:color w:val="auto"/>
                <w:w w:val="91"/>
              </w:rPr>
              <w:t>securities or from purchasing or selling any put or call option contract</w:t>
            </w:r>
          </w:p>
        </w:tc>
      </w:tr>
      <w:tr>
        <w:trPr>
          <w:trHeight w:val="216"/>
        </w:trPr>
        <w:tc>
          <w:tcPr>
            <w:tcW w:w="280" w:type="dxa"/>
            <w:vAlign w:val="bottom"/>
          </w:tcPr>
          <w:p>
            <w:pPr>
              <w:spacing w:after="0"/>
              <w:rPr>
                <w:sz w:val="18"/>
                <w:szCs w:val="18"/>
                <w:color w:val="auto"/>
              </w:rPr>
            </w:pPr>
          </w:p>
        </w:tc>
        <w:tc>
          <w:tcPr>
            <w:tcW w:w="1540" w:type="dxa"/>
            <w:vAlign w:val="bottom"/>
          </w:tcPr>
          <w:p>
            <w:pPr>
              <w:ind w:left="180"/>
              <w:spacing w:after="0"/>
              <w:rPr>
                <w:sz w:val="20"/>
                <w:szCs w:val="20"/>
                <w:color w:val="auto"/>
              </w:rPr>
            </w:pPr>
            <w:r>
              <w:rPr>
                <w:rFonts w:ascii="Arial" w:cs="Arial" w:eastAsia="Arial" w:hAnsi="Arial"/>
                <w:sz w:val="18"/>
                <w:szCs w:val="18"/>
                <w:color w:val="auto"/>
              </w:rPr>
              <w:t>Equity Program</w:t>
            </w:r>
          </w:p>
        </w:tc>
        <w:tc>
          <w:tcPr>
            <w:tcW w:w="3700" w:type="dxa"/>
            <w:vAlign w:val="bottom"/>
          </w:tcPr>
          <w:p>
            <w:pPr>
              <w:ind w:left="200"/>
              <w:spacing w:after="0"/>
              <w:rPr>
                <w:sz w:val="20"/>
                <w:szCs w:val="20"/>
                <w:color w:val="auto"/>
              </w:rPr>
            </w:pPr>
            <w:r>
              <w:rPr>
                <w:rFonts w:ascii="Arial" w:cs="Arial" w:eastAsia="Arial" w:hAnsi="Arial"/>
                <w:sz w:val="18"/>
                <w:szCs w:val="18"/>
                <w:color w:val="auto"/>
                <w:w w:val="96"/>
              </w:rPr>
              <w:t>-  Slightly Above Market when performance is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Pr>
          <w:p>
            <w:pPr>
              <w:ind w:left="180"/>
              <w:spacing w:after="0"/>
              <w:rPr>
                <w:sz w:val="20"/>
                <w:szCs w:val="20"/>
                <w:color w:val="auto"/>
              </w:rPr>
            </w:pPr>
            <w:r>
              <w:rPr>
                <w:rFonts w:ascii="Arial" w:cs="Arial" w:eastAsia="Arial" w:hAnsi="Arial"/>
                <w:sz w:val="18"/>
                <w:szCs w:val="18"/>
                <w:color w:val="auto"/>
              </w:rPr>
              <w:t>or similar instrument with respect to Company securities and</w:t>
            </w:r>
          </w:p>
        </w:tc>
      </w:tr>
      <w:tr>
        <w:trPr>
          <w:trHeight w:val="216"/>
        </w:trPr>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700" w:type="dxa"/>
            <w:vAlign w:val="bottom"/>
          </w:tcPr>
          <w:p>
            <w:pPr>
              <w:ind w:left="220"/>
              <w:spacing w:after="0"/>
              <w:rPr>
                <w:sz w:val="20"/>
                <w:szCs w:val="20"/>
                <w:color w:val="auto"/>
              </w:rPr>
            </w:pPr>
            <w:r>
              <w:rPr>
                <w:rFonts w:ascii="Arial" w:cs="Arial" w:eastAsia="Arial" w:hAnsi="Arial"/>
                <w:sz w:val="18"/>
                <w:szCs w:val="18"/>
                <w:color w:val="auto"/>
              </w:rPr>
              <w:t>achieved</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Pr>
          <w:p>
            <w:pPr>
              <w:ind w:left="180"/>
              <w:spacing w:after="0"/>
              <w:rPr>
                <w:sz w:val="20"/>
                <w:szCs w:val="20"/>
                <w:color w:val="auto"/>
              </w:rPr>
            </w:pPr>
            <w:r>
              <w:rPr>
                <w:rFonts w:ascii="Arial" w:cs="Arial" w:eastAsia="Arial" w:hAnsi="Arial"/>
                <w:sz w:val="18"/>
                <w:szCs w:val="18"/>
                <w:color w:val="auto"/>
                <w:w w:val="96"/>
              </w:rPr>
              <w:t>(ii) pledging Company securities as collateral for a loan or holding</w:t>
            </w:r>
          </w:p>
        </w:tc>
      </w:tr>
      <w:tr>
        <w:trPr>
          <w:trHeight w:val="230"/>
        </w:trPr>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20" w:type="dxa"/>
            <w:vAlign w:val="bottom"/>
          </w:tcPr>
          <w:p>
            <w:pPr>
              <w:ind w:left="180"/>
              <w:spacing w:after="0"/>
              <w:rPr>
                <w:sz w:val="20"/>
                <w:szCs w:val="20"/>
                <w:color w:val="auto"/>
              </w:rPr>
            </w:pPr>
            <w:r>
              <w:rPr>
                <w:rFonts w:ascii="Arial" w:cs="Arial" w:eastAsia="Arial" w:hAnsi="Arial"/>
                <w:sz w:val="18"/>
                <w:szCs w:val="18"/>
                <w:color w:val="auto"/>
              </w:rPr>
              <w:t>such shares in a margin account.</w:t>
            </w:r>
          </w:p>
        </w:tc>
      </w:tr>
      <w:tr>
        <w:trPr>
          <w:trHeight w:val="283"/>
        </w:trPr>
        <w:tc>
          <w:tcPr>
            <w:tcW w:w="280" w:type="dxa"/>
            <w:vAlign w:val="bottom"/>
          </w:tcPr>
          <w:p>
            <w:pPr>
              <w:spacing w:after="0"/>
              <w:rPr>
                <w:sz w:val="20"/>
                <w:szCs w:val="20"/>
                <w:color w:val="auto"/>
              </w:rPr>
            </w:pPr>
            <w:r>
              <w:rPr>
                <w:rFonts w:ascii="Arial" w:cs="Arial" w:eastAsia="Arial" w:hAnsi="Arial"/>
                <w:sz w:val="18"/>
                <w:szCs w:val="18"/>
                <w:color w:val="auto"/>
              </w:rPr>
              <w:t>ü</w:t>
            </w:r>
          </w:p>
        </w:tc>
        <w:tc>
          <w:tcPr>
            <w:tcW w:w="524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w w:val="96"/>
              </w:rPr>
              <w:t xml:space="preserve">Mitigate undue risk in compensation programs. </w:t>
            </w:r>
            <w:r>
              <w:rPr>
                <w:rFonts w:ascii="Arial" w:cs="Arial" w:eastAsia="Arial" w:hAnsi="Arial"/>
                <w:sz w:val="18"/>
                <w:szCs w:val="18"/>
                <w:color w:val="auto"/>
                <w:w w:val="96"/>
              </w:rPr>
              <w:t>The executive</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û</w:t>
            </w:r>
          </w:p>
        </w:tc>
        <w:tc>
          <w:tcPr>
            <w:tcW w:w="522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No excessive Severance Benefits.</w:t>
            </w:r>
          </w:p>
        </w:tc>
      </w:tr>
      <w:tr>
        <w:trPr>
          <w:trHeight w:val="216"/>
        </w:trPr>
        <w:tc>
          <w:tcPr>
            <w:tcW w:w="280" w:type="dxa"/>
            <w:vAlign w:val="bottom"/>
          </w:tcPr>
          <w:p>
            <w:pPr>
              <w:spacing w:after="0"/>
              <w:rPr>
                <w:sz w:val="18"/>
                <w:szCs w:val="18"/>
                <w:color w:val="auto"/>
              </w:rPr>
            </w:pPr>
          </w:p>
        </w:tc>
        <w:tc>
          <w:tcPr>
            <w:tcW w:w="5240" w:type="dxa"/>
            <w:vAlign w:val="bottom"/>
            <w:gridSpan w:val="2"/>
          </w:tcPr>
          <w:p>
            <w:pPr>
              <w:ind w:left="180"/>
              <w:spacing w:after="0"/>
              <w:rPr>
                <w:sz w:val="20"/>
                <w:szCs w:val="20"/>
                <w:color w:val="auto"/>
              </w:rPr>
            </w:pPr>
            <w:r>
              <w:rPr>
                <w:rFonts w:ascii="Arial" w:cs="Arial" w:eastAsia="Arial" w:hAnsi="Arial"/>
                <w:sz w:val="18"/>
                <w:szCs w:val="18"/>
                <w:color w:val="auto"/>
                <w:w w:val="91"/>
              </w:rPr>
              <w:t>compensation program includes features that reduce the possibility of</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5240" w:type="dxa"/>
            <w:vAlign w:val="bottom"/>
            <w:gridSpan w:val="2"/>
          </w:tcPr>
          <w:p>
            <w:pPr>
              <w:ind w:left="180"/>
              <w:spacing w:after="0"/>
              <w:rPr>
                <w:sz w:val="20"/>
                <w:szCs w:val="20"/>
                <w:color w:val="auto"/>
              </w:rPr>
            </w:pPr>
            <w:r>
              <w:rPr>
                <w:rFonts w:ascii="Arial" w:cs="Arial" w:eastAsia="Arial" w:hAnsi="Arial"/>
                <w:sz w:val="18"/>
                <w:szCs w:val="18"/>
                <w:color w:val="auto"/>
              </w:rPr>
              <w:t>the Named Executive Officers, either individually or as a group,</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5240" w:type="dxa"/>
            <w:vAlign w:val="bottom"/>
            <w:gridSpan w:val="2"/>
          </w:tcPr>
          <w:p>
            <w:pPr>
              <w:ind w:left="180"/>
              <w:spacing w:after="0"/>
              <w:rPr>
                <w:sz w:val="20"/>
                <w:szCs w:val="20"/>
                <w:color w:val="auto"/>
              </w:rPr>
            </w:pPr>
            <w:r>
              <w:rPr>
                <w:rFonts w:ascii="Arial" w:cs="Arial" w:eastAsia="Arial" w:hAnsi="Arial"/>
                <w:sz w:val="18"/>
                <w:szCs w:val="18"/>
                <w:color w:val="auto"/>
                <w:w w:val="97"/>
              </w:rPr>
              <w:t>making excessively risky business decisions that could maximize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5240" w:type="dxa"/>
            <w:vAlign w:val="bottom"/>
            <w:gridSpan w:val="2"/>
          </w:tcPr>
          <w:p>
            <w:pPr>
              <w:ind w:left="180"/>
              <w:spacing w:after="0"/>
              <w:rPr>
                <w:sz w:val="20"/>
                <w:szCs w:val="20"/>
                <w:color w:val="auto"/>
              </w:rPr>
            </w:pPr>
            <w:r>
              <w:rPr>
                <w:rFonts w:ascii="Arial" w:cs="Arial" w:eastAsia="Arial" w:hAnsi="Arial"/>
                <w:sz w:val="18"/>
                <w:szCs w:val="18"/>
                <w:color w:val="auto"/>
              </w:rPr>
              <w:t>short-term results at the expense of long-term value.</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20" w:type="dxa"/>
            <w:vAlign w:val="bottom"/>
          </w:tcPr>
          <w:p>
            <w:pPr>
              <w:spacing w:after="0"/>
              <w:rPr>
                <w:sz w:val="20"/>
                <w:szCs w:val="20"/>
                <w:color w:val="auto"/>
              </w:rPr>
            </w:pPr>
          </w:p>
        </w:tc>
      </w:tr>
      <w:tr>
        <w:trPr>
          <w:trHeight w:val="283"/>
        </w:trPr>
        <w:tc>
          <w:tcPr>
            <w:tcW w:w="280" w:type="dxa"/>
            <w:vAlign w:val="bottom"/>
          </w:tcPr>
          <w:p>
            <w:pPr>
              <w:spacing w:after="0"/>
              <w:rPr>
                <w:sz w:val="20"/>
                <w:szCs w:val="20"/>
                <w:color w:val="auto"/>
              </w:rPr>
            </w:pPr>
            <w:r>
              <w:rPr>
                <w:rFonts w:ascii="Arial" w:cs="Arial" w:eastAsia="Arial" w:hAnsi="Arial"/>
                <w:sz w:val="18"/>
                <w:szCs w:val="18"/>
                <w:color w:val="auto"/>
              </w:rPr>
              <w:t>ü</w:t>
            </w:r>
          </w:p>
        </w:tc>
        <w:tc>
          <w:tcPr>
            <w:tcW w:w="524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w w:val="96"/>
              </w:rPr>
              <w:t xml:space="preserve">Balance of short-term and long-term incentives. </w:t>
            </w:r>
            <w:r>
              <w:rPr>
                <w:rFonts w:ascii="Arial" w:cs="Arial" w:eastAsia="Arial" w:hAnsi="Arial"/>
                <w:sz w:val="18"/>
                <w:szCs w:val="18"/>
                <w:color w:val="auto"/>
                <w:w w:val="96"/>
              </w:rPr>
              <w:t>Our incentive</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û</w:t>
            </w:r>
          </w:p>
        </w:tc>
        <w:tc>
          <w:tcPr>
            <w:tcW w:w="5220" w:type="dxa"/>
            <w:vAlign w:val="bottom"/>
          </w:tcPr>
          <w:p>
            <w:pPr>
              <w:ind w:left="180"/>
              <w:spacing w:after="0"/>
              <w:rPr>
                <w:sz w:val="20"/>
                <w:szCs w:val="20"/>
                <w:color w:val="auto"/>
              </w:rPr>
            </w:pPr>
            <w:r>
              <w:rPr>
                <w:rFonts w:ascii="Arial" w:cs="Arial" w:eastAsia="Arial" w:hAnsi="Arial"/>
                <w:sz w:val="18"/>
                <w:szCs w:val="18"/>
                <w:b w:val="1"/>
                <w:bCs w:val="1"/>
                <w:i w:val="1"/>
                <w:iCs w:val="1"/>
                <w:color w:val="auto"/>
                <w:w w:val="89"/>
              </w:rPr>
              <w:t>No use of non-performance based pay other than base salary and</w:t>
            </w:r>
          </w:p>
        </w:tc>
      </w:tr>
      <w:tr>
        <w:trPr>
          <w:trHeight w:val="216"/>
        </w:trPr>
        <w:tc>
          <w:tcPr>
            <w:tcW w:w="280" w:type="dxa"/>
            <w:vAlign w:val="bottom"/>
          </w:tcPr>
          <w:p>
            <w:pPr>
              <w:spacing w:after="0"/>
              <w:rPr>
                <w:sz w:val="18"/>
                <w:szCs w:val="18"/>
                <w:color w:val="auto"/>
              </w:rPr>
            </w:pPr>
          </w:p>
        </w:tc>
        <w:tc>
          <w:tcPr>
            <w:tcW w:w="5240" w:type="dxa"/>
            <w:vAlign w:val="bottom"/>
            <w:gridSpan w:val="2"/>
          </w:tcPr>
          <w:p>
            <w:pPr>
              <w:ind w:left="180"/>
              <w:spacing w:after="0"/>
              <w:rPr>
                <w:sz w:val="20"/>
                <w:szCs w:val="20"/>
                <w:color w:val="auto"/>
              </w:rPr>
            </w:pPr>
            <w:r>
              <w:rPr>
                <w:rFonts w:ascii="Arial" w:cs="Arial" w:eastAsia="Arial" w:hAnsi="Arial"/>
                <w:sz w:val="18"/>
                <w:szCs w:val="18"/>
                <w:color w:val="auto"/>
                <w:w w:val="96"/>
              </w:rPr>
              <w:t>programs provide an appropriate balance of annual and long-term</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limited perquisites.</w:t>
            </w:r>
          </w:p>
        </w:tc>
      </w:tr>
      <w:tr>
        <w:trPr>
          <w:trHeight w:val="230"/>
        </w:trPr>
        <w:tc>
          <w:tcPr>
            <w:tcW w:w="280" w:type="dxa"/>
            <w:vAlign w:val="bottom"/>
          </w:tcPr>
          <w:p>
            <w:pPr>
              <w:spacing w:after="0"/>
              <w:rPr>
                <w:sz w:val="20"/>
                <w:szCs w:val="20"/>
                <w:color w:val="auto"/>
              </w:rPr>
            </w:pPr>
          </w:p>
        </w:tc>
        <w:tc>
          <w:tcPr>
            <w:tcW w:w="1540" w:type="dxa"/>
            <w:vAlign w:val="bottom"/>
          </w:tcPr>
          <w:p>
            <w:pPr>
              <w:ind w:left="180"/>
              <w:spacing w:after="0"/>
              <w:rPr>
                <w:sz w:val="20"/>
                <w:szCs w:val="20"/>
                <w:color w:val="auto"/>
              </w:rPr>
            </w:pPr>
            <w:r>
              <w:rPr>
                <w:rFonts w:ascii="Arial" w:cs="Arial" w:eastAsia="Arial" w:hAnsi="Arial"/>
                <w:sz w:val="18"/>
                <w:szCs w:val="18"/>
                <w:color w:val="auto"/>
              </w:rPr>
              <w:t>incentives.</w:t>
            </w:r>
          </w:p>
        </w:tc>
        <w:tc>
          <w:tcPr>
            <w:tcW w:w="3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20" w:type="dxa"/>
            <w:vAlign w:val="bottom"/>
          </w:tcPr>
          <w:p>
            <w:pPr>
              <w:spacing w:after="0"/>
              <w:rPr>
                <w:sz w:val="20"/>
                <w:szCs w:val="20"/>
                <w:color w:val="auto"/>
              </w:rPr>
            </w:pPr>
          </w:p>
        </w:tc>
      </w:tr>
    </w:tbl>
    <w:p>
      <w:pPr>
        <w:spacing w:after="0" w:line="67" w:lineRule="exact"/>
        <w:rPr>
          <w:sz w:val="20"/>
          <w:szCs w:val="20"/>
          <w:color w:val="auto"/>
        </w:rPr>
      </w:pPr>
    </w:p>
    <w:p>
      <w:pPr>
        <w:ind w:left="460" w:right="5860" w:hanging="452"/>
        <w:spacing w:after="0" w:line="290"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Stock Ownership Guidelines. </w:t>
      </w:r>
      <w:r>
        <w:rPr>
          <w:rFonts w:ascii="Arial" w:cs="Arial" w:eastAsia="Arial" w:hAnsi="Arial"/>
          <w:sz w:val="16"/>
          <w:szCs w:val="16"/>
          <w:color w:val="auto"/>
        </w:rPr>
        <w:t>The Company has stock ownership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guidelines for Named Executive Officers. The President and CEO must have ownership of five times base salary, and the Chief Financial Officer and Vice President of Operational Excellence of at least three times base salary. Each subject individual must meet or exceed his or her requisite threshold immediately prior to any disposition of shares obtained through an equity grant, other than shares used to pay applicable withholding taxes.</w:t>
      </w:r>
    </w:p>
    <w:p>
      <w:pPr>
        <w:spacing w:after="0" w:line="30" w:lineRule="exact"/>
        <w:rPr>
          <w:rFonts w:ascii="Arial" w:cs="Arial" w:eastAsia="Arial" w:hAnsi="Arial"/>
          <w:sz w:val="16"/>
          <w:szCs w:val="16"/>
          <w:color w:val="auto"/>
        </w:rPr>
      </w:pPr>
    </w:p>
    <w:p>
      <w:pPr>
        <w:ind w:left="460" w:right="5880" w:hanging="452"/>
        <w:spacing w:after="0" w:line="271"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Include recoupment and other forfeiture provisions in our annual incentive programs and equity-award provisions. </w:t>
      </w:r>
      <w:r>
        <w:rPr>
          <w:rFonts w:ascii="Arial" w:cs="Arial" w:eastAsia="Arial" w:hAnsi="Arial"/>
          <w:sz w:val="17"/>
          <w:szCs w:val="17"/>
          <w:color w:val="auto"/>
        </w:rPr>
        <w:t>Our annual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incentive program and equity-based compensation agreements contain certain recoupment, non-compete, and other forfeiture provisions that will allow the Company to cancel all or any outstanding portion of equity awards and recover the payouts under the annual incentive program, gross value of any vested restricted shares, or profits from exercises of options.</w:t>
      </w:r>
    </w:p>
    <w:p>
      <w:pPr>
        <w:spacing w:after="0" w:line="43" w:lineRule="exact"/>
        <w:rPr>
          <w:rFonts w:ascii="Arial" w:cs="Arial" w:eastAsia="Arial" w:hAnsi="Arial"/>
          <w:sz w:val="17"/>
          <w:szCs w:val="17"/>
          <w:color w:val="auto"/>
        </w:rPr>
      </w:pPr>
    </w:p>
    <w:p>
      <w:pPr>
        <w:ind w:left="460" w:right="574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Utilize an independent compensation consulting firm. </w:t>
      </w:r>
      <w:r>
        <w:rPr>
          <w:rFonts w:ascii="Arial" w:cs="Arial" w:eastAsia="Arial" w:hAnsi="Arial"/>
          <w:sz w:val="18"/>
          <w:szCs w:val="18"/>
          <w:color w:val="auto"/>
        </w:rPr>
        <w:t>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benefits from its use of an independent compensation consulting firm, which provides minimal other services to the Company.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Compensation Program and Design</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We use a combination of compensation elements, including base salary, the annual incentive program and an equity program. Each element and the related compensation decisions and results for fiscal 2019 are summarized below and detailed summaries follow in the CD&amp;A.</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060" w:type="dxa"/>
            <w:vAlign w:val="bottom"/>
            <w:tcBorders>
              <w:top w:val="single" w:sz="8" w:color="auto"/>
              <w:left w:val="single" w:sz="8" w:color="auto"/>
              <w:bottom w:val="single" w:sz="8" w:color="auto"/>
              <w:right w:val="single" w:sz="8" w:color="auto"/>
            </w:tcBorders>
            <w:vMerge w:val="restart"/>
            <w:shd w:val="clear" w:color="auto" w:fill="D0CECE"/>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1580" w:type="dxa"/>
            <w:vAlign w:val="bottom"/>
            <w:tcBorders>
              <w:top w:val="single" w:sz="8" w:color="auto"/>
              <w:bottom w:val="single" w:sz="8" w:color="auto"/>
              <w:right w:val="single" w:sz="8" w:color="auto"/>
            </w:tcBorders>
            <w:vMerge w:val="restart"/>
            <w:shd w:val="clear" w:color="auto" w:fill="D0CECE"/>
          </w:tcPr>
          <w:p>
            <w:pPr>
              <w:jc w:val="center"/>
              <w:ind w:right="10"/>
              <w:spacing w:after="0"/>
              <w:rPr>
                <w:sz w:val="20"/>
                <w:szCs w:val="20"/>
                <w:color w:val="auto"/>
              </w:rPr>
            </w:pPr>
            <w:r>
              <w:rPr>
                <w:rFonts w:ascii="Arial" w:cs="Arial" w:eastAsia="Arial" w:hAnsi="Arial"/>
                <w:sz w:val="18"/>
                <w:szCs w:val="18"/>
                <w:b w:val="1"/>
                <w:bCs w:val="1"/>
                <w:color w:val="auto"/>
                <w:w w:val="83"/>
              </w:rPr>
              <w:t>Base</w:t>
            </w:r>
          </w:p>
        </w:tc>
        <w:tc>
          <w:tcPr>
            <w:tcW w:w="1580" w:type="dxa"/>
            <w:vAlign w:val="bottom"/>
            <w:tcBorders>
              <w:top w:val="single" w:sz="8" w:color="auto"/>
              <w:bottom w:val="single" w:sz="8" w:color="D0CECE"/>
              <w:right w:val="single" w:sz="8" w:color="auto"/>
            </w:tcBorders>
            <w:shd w:val="clear" w:color="auto" w:fill="D0CECE"/>
          </w:tcPr>
          <w:p>
            <w:pPr>
              <w:spacing w:after="0"/>
              <w:rPr>
                <w:sz w:val="19"/>
                <w:szCs w:val="19"/>
                <w:color w:val="auto"/>
              </w:rPr>
            </w:pPr>
          </w:p>
        </w:tc>
        <w:tc>
          <w:tcPr>
            <w:tcW w:w="1440" w:type="dxa"/>
            <w:vAlign w:val="bottom"/>
            <w:tcBorders>
              <w:top w:val="single" w:sz="8" w:color="auto"/>
              <w:bottom w:val="single" w:sz="8" w:color="auto"/>
              <w:right w:val="single" w:sz="8" w:color="auto"/>
            </w:tcBorders>
            <w:gridSpan w:val="2"/>
            <w:vMerge w:val="restart"/>
            <w:shd w:val="clear" w:color="auto" w:fill="D0CECE"/>
          </w:tcPr>
          <w:p>
            <w:pPr>
              <w:jc w:val="center"/>
              <w:spacing w:after="0"/>
              <w:rPr>
                <w:sz w:val="20"/>
                <w:szCs w:val="20"/>
                <w:color w:val="auto"/>
              </w:rPr>
            </w:pPr>
            <w:r>
              <w:rPr>
                <w:rFonts w:ascii="Arial" w:cs="Arial" w:eastAsia="Arial" w:hAnsi="Arial"/>
                <w:sz w:val="18"/>
                <w:szCs w:val="18"/>
                <w:b w:val="1"/>
                <w:bCs w:val="1"/>
                <w:color w:val="auto"/>
                <w:w w:val="93"/>
              </w:rPr>
              <w:t>ROE Incentive</w:t>
            </w:r>
          </w:p>
        </w:tc>
        <w:tc>
          <w:tcPr>
            <w:tcW w:w="1320" w:type="dxa"/>
            <w:vAlign w:val="bottom"/>
            <w:tcBorders>
              <w:top w:val="single" w:sz="8" w:color="auto"/>
              <w:bottom w:val="single" w:sz="8" w:color="auto"/>
            </w:tcBorders>
            <w:shd w:val="clear" w:color="auto" w:fill="D0CECE"/>
          </w:tcPr>
          <w:p>
            <w:pPr>
              <w:spacing w:after="0"/>
              <w:rPr>
                <w:sz w:val="19"/>
                <w:szCs w:val="19"/>
                <w:color w:val="auto"/>
              </w:rPr>
            </w:pPr>
          </w:p>
        </w:tc>
        <w:tc>
          <w:tcPr>
            <w:tcW w:w="140" w:type="dxa"/>
            <w:vAlign w:val="bottom"/>
            <w:tcBorders>
              <w:top w:val="single" w:sz="8" w:color="auto"/>
              <w:bottom w:val="single" w:sz="8" w:color="auto"/>
              <w:right w:val="single" w:sz="8" w:color="D0CECE"/>
            </w:tcBorders>
            <w:shd w:val="clear" w:color="auto" w:fill="D0CECE"/>
          </w:tcPr>
          <w:p>
            <w:pPr>
              <w:spacing w:after="0"/>
              <w:rPr>
                <w:sz w:val="19"/>
                <w:szCs w:val="19"/>
                <w:color w:val="auto"/>
              </w:rPr>
            </w:pPr>
          </w:p>
        </w:tc>
        <w:tc>
          <w:tcPr>
            <w:tcW w:w="1780" w:type="dxa"/>
            <w:vAlign w:val="bottom"/>
            <w:tcBorders>
              <w:top w:val="single" w:sz="8" w:color="auto"/>
              <w:bottom w:val="single" w:sz="8" w:color="auto"/>
            </w:tcBorders>
            <w:gridSpan w:val="2"/>
            <w:shd w:val="clear" w:color="auto" w:fill="D0CECE"/>
          </w:tcPr>
          <w:p>
            <w:pPr>
              <w:jc w:val="center"/>
              <w:ind w:right="140"/>
              <w:spacing w:after="0"/>
              <w:rPr>
                <w:sz w:val="20"/>
                <w:szCs w:val="20"/>
                <w:color w:val="auto"/>
              </w:rPr>
            </w:pPr>
            <w:r>
              <w:rPr>
                <w:rFonts w:ascii="Arial" w:cs="Arial" w:eastAsia="Arial" w:hAnsi="Arial"/>
                <w:sz w:val="18"/>
                <w:szCs w:val="18"/>
                <w:b w:val="1"/>
                <w:bCs w:val="1"/>
                <w:color w:val="auto"/>
                <w:w w:val="91"/>
              </w:rPr>
              <w:t>Equity Programs</w:t>
            </w:r>
          </w:p>
        </w:tc>
        <w:tc>
          <w:tcPr>
            <w:tcW w:w="1340" w:type="dxa"/>
            <w:vAlign w:val="bottom"/>
            <w:tcBorders>
              <w:top w:val="single" w:sz="8" w:color="auto"/>
              <w:bottom w:val="single" w:sz="8" w:color="auto"/>
              <w:right w:val="single" w:sz="8" w:color="auto"/>
            </w:tcBorders>
            <w:shd w:val="clear" w:color="auto" w:fill="D0CEC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60" w:type="dxa"/>
            <w:vAlign w:val="bottom"/>
            <w:tcBorders>
              <w:left w:val="single" w:sz="8" w:color="auto"/>
              <w:right w:val="single" w:sz="8" w:color="auto"/>
            </w:tcBorders>
            <w:vMerge w:val="continue"/>
            <w:shd w:val="clear" w:color="auto" w:fill="D0CECE"/>
          </w:tcPr>
          <w:p>
            <w:pPr>
              <w:spacing w:after="0"/>
              <w:rPr>
                <w:sz w:val="16"/>
                <w:szCs w:val="16"/>
                <w:color w:val="auto"/>
              </w:rPr>
            </w:pPr>
          </w:p>
        </w:tc>
        <w:tc>
          <w:tcPr>
            <w:tcW w:w="1580" w:type="dxa"/>
            <w:vAlign w:val="bottom"/>
            <w:tcBorders>
              <w:right w:val="single" w:sz="8" w:color="auto"/>
            </w:tcBorders>
            <w:vMerge w:val="continue"/>
            <w:shd w:val="clear" w:color="auto" w:fill="D0CECE"/>
          </w:tcPr>
          <w:p>
            <w:pPr>
              <w:spacing w:after="0"/>
              <w:rPr>
                <w:sz w:val="16"/>
                <w:szCs w:val="16"/>
                <w:color w:val="auto"/>
              </w:rPr>
            </w:pPr>
          </w:p>
        </w:tc>
        <w:tc>
          <w:tcPr>
            <w:tcW w:w="1580" w:type="dxa"/>
            <w:vAlign w:val="bottom"/>
            <w:tcBorders>
              <w:right w:val="single" w:sz="8" w:color="auto"/>
            </w:tcBorders>
            <w:shd w:val="clear" w:color="auto" w:fill="D0CECE"/>
          </w:tcPr>
          <w:p>
            <w:pPr>
              <w:spacing w:after="0"/>
              <w:rPr>
                <w:sz w:val="16"/>
                <w:szCs w:val="16"/>
                <w:color w:val="auto"/>
              </w:rPr>
            </w:pPr>
          </w:p>
        </w:tc>
        <w:tc>
          <w:tcPr>
            <w:tcW w:w="1440" w:type="dxa"/>
            <w:vAlign w:val="bottom"/>
            <w:tcBorders>
              <w:right w:val="single" w:sz="8" w:color="auto"/>
            </w:tcBorders>
            <w:gridSpan w:val="2"/>
            <w:vMerge w:val="continue"/>
            <w:shd w:val="clear" w:color="auto" w:fill="D0CECE"/>
          </w:tcPr>
          <w:p>
            <w:pPr>
              <w:spacing w:after="0"/>
              <w:rPr>
                <w:sz w:val="16"/>
                <w:szCs w:val="16"/>
                <w:color w:val="auto"/>
              </w:rPr>
            </w:pPr>
          </w:p>
        </w:tc>
        <w:tc>
          <w:tcPr>
            <w:tcW w:w="1320" w:type="dxa"/>
            <w:vAlign w:val="bottom"/>
            <w:shd w:val="clear" w:color="auto" w:fill="D0CECE"/>
          </w:tcPr>
          <w:p>
            <w:pPr>
              <w:jc w:val="center"/>
              <w:ind w:left="10"/>
              <w:spacing w:after="0" w:line="191" w:lineRule="exact"/>
              <w:rPr>
                <w:sz w:val="20"/>
                <w:szCs w:val="20"/>
                <w:color w:val="auto"/>
              </w:rPr>
            </w:pPr>
            <w:r>
              <w:rPr>
                <w:rFonts w:ascii="Arial" w:cs="Arial" w:eastAsia="Arial" w:hAnsi="Arial"/>
                <w:sz w:val="18"/>
                <w:szCs w:val="18"/>
                <w:b w:val="1"/>
                <w:bCs w:val="1"/>
                <w:color w:val="auto"/>
                <w:w w:val="89"/>
              </w:rPr>
              <w:t>Time Based</w:t>
            </w:r>
          </w:p>
        </w:tc>
        <w:tc>
          <w:tcPr>
            <w:tcW w:w="140" w:type="dxa"/>
            <w:vAlign w:val="bottom"/>
            <w:tcBorders>
              <w:right w:val="single" w:sz="8" w:color="auto"/>
            </w:tcBorders>
            <w:shd w:val="clear" w:color="auto" w:fill="D0CECE"/>
          </w:tcPr>
          <w:p>
            <w:pPr>
              <w:spacing w:after="0"/>
              <w:rPr>
                <w:sz w:val="16"/>
                <w:szCs w:val="16"/>
                <w:color w:val="auto"/>
              </w:rPr>
            </w:pPr>
          </w:p>
        </w:tc>
        <w:tc>
          <w:tcPr>
            <w:tcW w:w="1660" w:type="dxa"/>
            <w:vAlign w:val="bottom"/>
            <w:tcBorders>
              <w:right w:val="single" w:sz="8" w:color="auto"/>
            </w:tcBorders>
            <w:shd w:val="clear" w:color="auto" w:fill="D0CECE"/>
          </w:tcPr>
          <w:p>
            <w:pPr>
              <w:jc w:val="center"/>
              <w:spacing w:after="0" w:line="191" w:lineRule="exact"/>
              <w:rPr>
                <w:sz w:val="20"/>
                <w:szCs w:val="20"/>
                <w:color w:val="auto"/>
              </w:rPr>
            </w:pPr>
            <w:r>
              <w:rPr>
                <w:rFonts w:ascii="Arial" w:cs="Arial" w:eastAsia="Arial" w:hAnsi="Arial"/>
                <w:sz w:val="18"/>
                <w:szCs w:val="18"/>
                <w:b w:val="1"/>
                <w:bCs w:val="1"/>
                <w:color w:val="auto"/>
                <w:w w:val="90"/>
              </w:rPr>
              <w:t>Performance</w:t>
            </w:r>
          </w:p>
        </w:tc>
        <w:tc>
          <w:tcPr>
            <w:tcW w:w="120" w:type="dxa"/>
            <w:vAlign w:val="bottom"/>
            <w:shd w:val="clear" w:color="auto" w:fill="D0CECE"/>
          </w:tcPr>
          <w:p>
            <w:pPr>
              <w:spacing w:after="0"/>
              <w:rPr>
                <w:sz w:val="16"/>
                <w:szCs w:val="16"/>
                <w:color w:val="auto"/>
              </w:rPr>
            </w:pPr>
          </w:p>
        </w:tc>
        <w:tc>
          <w:tcPr>
            <w:tcW w:w="1340" w:type="dxa"/>
            <w:vAlign w:val="bottom"/>
            <w:tcBorders>
              <w:right w:val="single" w:sz="8" w:color="auto"/>
            </w:tcBorders>
            <w:shd w:val="clear" w:color="auto" w:fill="D0CECE"/>
          </w:tcPr>
          <w:p>
            <w:pPr>
              <w:jc w:val="center"/>
              <w:ind w:right="30"/>
              <w:spacing w:after="0" w:line="191" w:lineRule="exact"/>
              <w:rPr>
                <w:sz w:val="20"/>
                <w:szCs w:val="20"/>
                <w:color w:val="auto"/>
              </w:rPr>
            </w:pPr>
            <w:r>
              <w:rPr>
                <w:rFonts w:ascii="Arial" w:cs="Arial" w:eastAsia="Arial" w:hAnsi="Arial"/>
                <w:sz w:val="18"/>
                <w:szCs w:val="18"/>
                <w:b w:val="1"/>
                <w:bCs w:val="1"/>
                <w:color w:val="auto"/>
                <w:w w:val="92"/>
              </w:rPr>
              <w:t>Long Term</w:t>
            </w: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8"/>
                <w:szCs w:val="18"/>
                <w:b w:val="1"/>
                <w:bCs w:val="1"/>
                <w:color w:val="auto"/>
                <w:w w:val="87"/>
              </w:rPr>
              <w:t>Elements</w:t>
            </w:r>
          </w:p>
        </w:tc>
        <w:tc>
          <w:tcPr>
            <w:tcW w:w="158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8"/>
                <w:szCs w:val="18"/>
                <w:b w:val="1"/>
                <w:bCs w:val="1"/>
                <w:color w:val="auto"/>
                <w:w w:val="92"/>
              </w:rPr>
              <w:t>Salary</w:t>
            </w:r>
          </w:p>
        </w:tc>
        <w:tc>
          <w:tcPr>
            <w:tcW w:w="158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8"/>
                <w:szCs w:val="18"/>
                <w:b w:val="1"/>
                <w:bCs w:val="1"/>
                <w:color w:val="auto"/>
                <w:w w:val="91"/>
              </w:rPr>
              <w:t>Annual Incentive</w:t>
            </w:r>
          </w:p>
        </w:tc>
        <w:tc>
          <w:tcPr>
            <w:tcW w:w="380" w:type="dxa"/>
            <w:vAlign w:val="bottom"/>
            <w:tcBorders>
              <w:bottom w:val="single" w:sz="8" w:color="auto"/>
            </w:tcBorders>
            <w:shd w:val="clear" w:color="auto" w:fill="D0CECE"/>
          </w:tcPr>
          <w:p>
            <w:pPr>
              <w:spacing w:after="0"/>
              <w:rPr>
                <w:sz w:val="20"/>
                <w:szCs w:val="20"/>
                <w:color w:val="auto"/>
              </w:rPr>
            </w:pPr>
          </w:p>
        </w:tc>
        <w:tc>
          <w:tcPr>
            <w:tcW w:w="1060" w:type="dxa"/>
            <w:vAlign w:val="bottom"/>
            <w:tcBorders>
              <w:bottom w:val="single" w:sz="8" w:color="auto"/>
              <w:right w:val="single" w:sz="8" w:color="auto"/>
            </w:tcBorders>
            <w:shd w:val="clear" w:color="auto" w:fill="D0CECE"/>
          </w:tcPr>
          <w:p>
            <w:pPr>
              <w:jc w:val="center"/>
              <w:ind w:right="350"/>
              <w:spacing w:after="0"/>
              <w:rPr>
                <w:sz w:val="20"/>
                <w:szCs w:val="20"/>
                <w:color w:val="auto"/>
              </w:rPr>
            </w:pPr>
            <w:r>
              <w:rPr>
                <w:rFonts w:ascii="Arial" w:cs="Arial" w:eastAsia="Arial" w:hAnsi="Arial"/>
                <w:sz w:val="18"/>
                <w:szCs w:val="18"/>
                <w:b w:val="1"/>
                <w:bCs w:val="1"/>
                <w:color w:val="auto"/>
                <w:w w:val="89"/>
              </w:rPr>
              <w:t>Plan</w:t>
            </w:r>
          </w:p>
        </w:tc>
        <w:tc>
          <w:tcPr>
            <w:tcW w:w="1320" w:type="dxa"/>
            <w:vAlign w:val="bottom"/>
            <w:tcBorders>
              <w:bottom w:val="single" w:sz="8" w:color="auto"/>
            </w:tcBorders>
            <w:shd w:val="clear" w:color="auto" w:fill="D0CECE"/>
          </w:tcPr>
          <w:p>
            <w:pPr>
              <w:jc w:val="center"/>
              <w:ind w:left="10"/>
              <w:spacing w:after="0"/>
              <w:rPr>
                <w:sz w:val="20"/>
                <w:szCs w:val="20"/>
                <w:color w:val="auto"/>
              </w:rPr>
            </w:pPr>
            <w:r>
              <w:rPr>
                <w:rFonts w:ascii="Arial" w:cs="Arial" w:eastAsia="Arial" w:hAnsi="Arial"/>
                <w:sz w:val="18"/>
                <w:szCs w:val="18"/>
                <w:b w:val="1"/>
                <w:bCs w:val="1"/>
                <w:color w:val="auto"/>
                <w:w w:val="89"/>
              </w:rPr>
              <w:t>Awards</w:t>
            </w:r>
          </w:p>
        </w:tc>
        <w:tc>
          <w:tcPr>
            <w:tcW w:w="140" w:type="dxa"/>
            <w:vAlign w:val="bottom"/>
            <w:tcBorders>
              <w:bottom w:val="single" w:sz="8" w:color="auto"/>
              <w:right w:val="single" w:sz="8" w:color="auto"/>
            </w:tcBorders>
            <w:shd w:val="clear" w:color="auto" w:fill="D0CECE"/>
          </w:tcPr>
          <w:p>
            <w:pPr>
              <w:spacing w:after="0"/>
              <w:rPr>
                <w:sz w:val="20"/>
                <w:szCs w:val="20"/>
                <w:color w:val="auto"/>
              </w:rPr>
            </w:pPr>
          </w:p>
        </w:tc>
        <w:tc>
          <w:tcPr>
            <w:tcW w:w="1660" w:type="dxa"/>
            <w:vAlign w:val="bottom"/>
            <w:tcBorders>
              <w:bottom w:val="single" w:sz="8" w:color="auto"/>
              <w:right w:val="single" w:sz="8" w:color="auto"/>
            </w:tcBorders>
            <w:shd w:val="clear" w:color="auto" w:fill="D0CECE"/>
          </w:tcPr>
          <w:p>
            <w:pPr>
              <w:jc w:val="center"/>
              <w:spacing w:after="0"/>
              <w:rPr>
                <w:sz w:val="20"/>
                <w:szCs w:val="20"/>
                <w:color w:val="auto"/>
              </w:rPr>
            </w:pPr>
            <w:r>
              <w:rPr>
                <w:rFonts w:ascii="Arial" w:cs="Arial" w:eastAsia="Arial" w:hAnsi="Arial"/>
                <w:sz w:val="18"/>
                <w:szCs w:val="18"/>
                <w:b w:val="1"/>
                <w:bCs w:val="1"/>
                <w:color w:val="auto"/>
                <w:w w:val="90"/>
              </w:rPr>
              <w:t>Share Plan</w:t>
            </w:r>
          </w:p>
        </w:tc>
        <w:tc>
          <w:tcPr>
            <w:tcW w:w="120" w:type="dxa"/>
            <w:vAlign w:val="bottom"/>
            <w:tcBorders>
              <w:bottom w:val="single" w:sz="8" w:color="auto"/>
            </w:tcBorders>
            <w:shd w:val="clear" w:color="auto" w:fill="D0CECE"/>
          </w:tcPr>
          <w:p>
            <w:pPr>
              <w:spacing w:after="0"/>
              <w:rPr>
                <w:sz w:val="20"/>
                <w:szCs w:val="20"/>
                <w:color w:val="auto"/>
              </w:rPr>
            </w:pPr>
          </w:p>
        </w:tc>
        <w:tc>
          <w:tcPr>
            <w:tcW w:w="1340" w:type="dxa"/>
            <w:vAlign w:val="bottom"/>
            <w:tcBorders>
              <w:bottom w:val="single" w:sz="8" w:color="auto"/>
              <w:right w:val="single" w:sz="8" w:color="auto"/>
            </w:tcBorders>
            <w:shd w:val="clear" w:color="auto" w:fill="D0CECE"/>
          </w:tcPr>
          <w:p>
            <w:pPr>
              <w:jc w:val="center"/>
              <w:ind w:right="30"/>
              <w:spacing w:after="0"/>
              <w:rPr>
                <w:sz w:val="20"/>
                <w:szCs w:val="20"/>
                <w:color w:val="auto"/>
              </w:rPr>
            </w:pPr>
            <w:r>
              <w:rPr>
                <w:rFonts w:ascii="Arial" w:cs="Arial" w:eastAsia="Arial" w:hAnsi="Arial"/>
                <w:sz w:val="18"/>
                <w:szCs w:val="18"/>
                <w:b w:val="1"/>
                <w:bCs w:val="1"/>
                <w:color w:val="auto"/>
                <w:w w:val="90"/>
              </w:rPr>
              <w:t>Incentive Plan</w:t>
            </w:r>
          </w:p>
        </w:tc>
        <w:tc>
          <w:tcPr>
            <w:tcW w:w="0" w:type="dxa"/>
            <w:vAlign w:val="bottom"/>
          </w:tcPr>
          <w:p>
            <w:pPr>
              <w:spacing w:after="0"/>
              <w:rPr>
                <w:sz w:val="1"/>
                <w:szCs w:val="1"/>
                <w:color w:val="auto"/>
              </w:rPr>
            </w:pPr>
          </w:p>
        </w:tc>
      </w:tr>
      <w:tr>
        <w:trPr>
          <w:trHeight w:val="209"/>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Compensation Mix</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Fixed</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Variable</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center"/>
              <w:ind w:right="330"/>
              <w:spacing w:after="0"/>
              <w:rPr>
                <w:sz w:val="20"/>
                <w:szCs w:val="20"/>
                <w:color w:val="auto"/>
              </w:rPr>
            </w:pPr>
            <w:r>
              <w:rPr>
                <w:rFonts w:ascii="Arial" w:cs="Arial" w:eastAsia="Arial" w:hAnsi="Arial"/>
                <w:sz w:val="18"/>
                <w:szCs w:val="18"/>
                <w:color w:val="auto"/>
                <w:w w:val="90"/>
              </w:rPr>
              <w:t>Variable</w:t>
            </w:r>
          </w:p>
        </w:tc>
        <w:tc>
          <w:tcPr>
            <w:tcW w:w="13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5"/>
              </w:rPr>
              <w:t>Fixed</w:t>
            </w:r>
          </w:p>
        </w:tc>
        <w:tc>
          <w:tcPr>
            <w:tcW w:w="140" w:type="dxa"/>
            <w:vAlign w:val="bottom"/>
            <w:tcBorders>
              <w:bottom w:val="single" w:sz="8" w:color="auto"/>
              <w:right w:val="single" w:sz="8" w:color="auto"/>
            </w:tcBorders>
          </w:tcPr>
          <w:p>
            <w:pPr>
              <w:spacing w:after="0"/>
              <w:rPr>
                <w:sz w:val="18"/>
                <w:szCs w:val="18"/>
                <w:color w:val="auto"/>
              </w:rPr>
            </w:pPr>
          </w:p>
        </w:tc>
        <w:tc>
          <w:tcPr>
            <w:tcW w:w="3120" w:type="dxa"/>
            <w:vAlign w:val="bottom"/>
            <w:tcBorders>
              <w:bottom w:val="single" w:sz="8" w:color="auto"/>
              <w:right w:val="single" w:sz="8" w:color="auto"/>
            </w:tcBorders>
            <w:gridSpan w:val="3"/>
          </w:tcPr>
          <w:p>
            <w:pPr>
              <w:ind w:left="1240"/>
              <w:spacing w:after="0"/>
              <w:rPr>
                <w:sz w:val="20"/>
                <w:szCs w:val="20"/>
                <w:color w:val="auto"/>
              </w:rPr>
            </w:pPr>
            <w:r>
              <w:rPr>
                <w:rFonts w:ascii="Arial" w:cs="Arial" w:eastAsia="Arial" w:hAnsi="Arial"/>
                <w:sz w:val="18"/>
                <w:szCs w:val="18"/>
                <w:color w:val="auto"/>
              </w:rPr>
              <w:t>Variable</w:t>
            </w:r>
          </w:p>
        </w:tc>
        <w:tc>
          <w:tcPr>
            <w:tcW w:w="0" w:type="dxa"/>
            <w:vAlign w:val="bottom"/>
          </w:tcPr>
          <w:p>
            <w:pPr>
              <w:spacing w:after="0"/>
              <w:rPr>
                <w:sz w:val="1"/>
                <w:szCs w:val="1"/>
                <w:color w:val="auto"/>
              </w:rPr>
            </w:pPr>
          </w:p>
        </w:tc>
      </w:tr>
      <w:tr>
        <w:trPr>
          <w:trHeight w:val="209"/>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Recipients</w:t>
            </w:r>
          </w:p>
        </w:tc>
        <w:tc>
          <w:tcPr>
            <w:tcW w:w="3160" w:type="dxa"/>
            <w:vAlign w:val="bottom"/>
            <w:tcBorders>
              <w:bottom w:val="single" w:sz="8" w:color="auto"/>
              <w:right w:val="single" w:sz="8" w:color="auto"/>
            </w:tcBorders>
            <w:gridSpan w:val="2"/>
          </w:tcPr>
          <w:p>
            <w:pPr>
              <w:ind w:left="600"/>
              <w:spacing w:after="0"/>
              <w:rPr>
                <w:sz w:val="20"/>
                <w:szCs w:val="20"/>
                <w:color w:val="auto"/>
              </w:rPr>
            </w:pPr>
            <w:r>
              <w:rPr>
                <w:rFonts w:ascii="Arial" w:cs="Arial" w:eastAsia="Arial" w:hAnsi="Arial"/>
                <w:sz w:val="18"/>
                <w:szCs w:val="18"/>
                <w:color w:val="auto"/>
              </w:rPr>
              <w:t>Named Executive Officers</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center"/>
              <w:ind w:right="330"/>
              <w:spacing w:after="0"/>
              <w:rPr>
                <w:sz w:val="20"/>
                <w:szCs w:val="20"/>
                <w:color w:val="auto"/>
              </w:rPr>
            </w:pPr>
            <w:r>
              <w:rPr>
                <w:rFonts w:ascii="Arial" w:cs="Arial" w:eastAsia="Arial" w:hAnsi="Arial"/>
                <w:sz w:val="18"/>
                <w:szCs w:val="18"/>
                <w:color w:val="auto"/>
                <w:w w:val="92"/>
              </w:rPr>
              <w:t>CEO</w:t>
            </w:r>
          </w:p>
        </w:tc>
        <w:tc>
          <w:tcPr>
            <w:tcW w:w="13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Named Executive Officers</w:t>
            </w:r>
          </w:p>
        </w:tc>
        <w:tc>
          <w:tcPr>
            <w:tcW w:w="1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When Granted</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Review Annually</w:t>
            </w:r>
          </w:p>
        </w:tc>
        <w:tc>
          <w:tcPr>
            <w:tcW w:w="15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Annually</w:t>
            </w: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Form of Delivery</w:t>
            </w:r>
          </w:p>
        </w:tc>
        <w:tc>
          <w:tcPr>
            <w:tcW w:w="15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5"/>
              </w:rPr>
              <w:t>Cash</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95"/>
              </w:rPr>
              <w:t>Equity</w:t>
            </w:r>
          </w:p>
        </w:tc>
        <w:tc>
          <w:tcPr>
            <w:tcW w:w="1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Type of Performance</w:t>
            </w:r>
          </w:p>
        </w:tc>
        <w:tc>
          <w:tcPr>
            <w:tcW w:w="15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Short Term</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91"/>
              </w:rPr>
              <w:t>Long Term</w:t>
            </w:r>
          </w:p>
        </w:tc>
        <w:tc>
          <w:tcPr>
            <w:tcW w:w="1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6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Annual</w:t>
            </w:r>
          </w:p>
        </w:tc>
        <w:tc>
          <w:tcPr>
            <w:tcW w:w="120" w:type="dxa"/>
            <w:vAlign w:val="bottom"/>
          </w:tcPr>
          <w:p>
            <w:pPr>
              <w:spacing w:after="0"/>
              <w:rPr>
                <w:sz w:val="16"/>
                <w:szCs w:val="16"/>
                <w:color w:val="auto"/>
              </w:rPr>
            </w:pPr>
          </w:p>
        </w:tc>
        <w:tc>
          <w:tcPr>
            <w:tcW w:w="1340" w:type="dxa"/>
            <w:vAlign w:val="bottom"/>
            <w:tcBorders>
              <w:right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3"/>
              </w:rPr>
              <w:t>Ongoing</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Performance Period</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Ongoing</w:t>
            </w:r>
          </w:p>
        </w:tc>
        <w:tc>
          <w:tcPr>
            <w:tcW w:w="1960" w:type="dxa"/>
            <w:vAlign w:val="bottom"/>
            <w:gridSpan w:val="2"/>
            <w:vMerge w:val="restart"/>
          </w:tcPr>
          <w:p>
            <w:pPr>
              <w:jc w:val="center"/>
              <w:ind w:left="950"/>
              <w:spacing w:after="0"/>
              <w:rPr>
                <w:sz w:val="20"/>
                <w:szCs w:val="20"/>
                <w:color w:val="auto"/>
              </w:rPr>
            </w:pPr>
            <w:r>
              <w:rPr>
                <w:rFonts w:ascii="Arial" w:cs="Arial" w:eastAsia="Arial" w:hAnsi="Arial"/>
                <w:sz w:val="18"/>
                <w:szCs w:val="18"/>
                <w:color w:val="auto"/>
                <w:w w:val="88"/>
              </w:rPr>
              <w:t>1-Year</w:t>
            </w:r>
          </w:p>
        </w:tc>
        <w:tc>
          <w:tcPr>
            <w:tcW w:w="1060" w:type="dxa"/>
            <w:vAlign w:val="bottom"/>
            <w:tcBorders>
              <w:right w:val="single" w:sz="8" w:color="auto"/>
            </w:tcBorders>
          </w:tcPr>
          <w:p>
            <w:pPr>
              <w:spacing w:after="0"/>
              <w:rPr>
                <w:sz w:val="18"/>
                <w:szCs w:val="18"/>
                <w:color w:val="auto"/>
              </w:rPr>
            </w:pPr>
          </w:p>
        </w:tc>
        <w:tc>
          <w:tcPr>
            <w:tcW w:w="1320" w:type="dxa"/>
            <w:vAlign w:val="bottom"/>
          </w:tcPr>
          <w:p>
            <w:pPr>
              <w:jc w:val="center"/>
              <w:ind w:left="10"/>
              <w:spacing w:after="0"/>
              <w:rPr>
                <w:sz w:val="20"/>
                <w:szCs w:val="20"/>
                <w:color w:val="auto"/>
              </w:rPr>
            </w:pPr>
            <w:r>
              <w:rPr>
                <w:rFonts w:ascii="Arial" w:cs="Arial" w:eastAsia="Arial" w:hAnsi="Arial"/>
                <w:sz w:val="18"/>
                <w:szCs w:val="18"/>
                <w:color w:val="auto"/>
                <w:w w:val="89"/>
              </w:rPr>
              <w:t>Stock vests over</w:t>
            </w:r>
          </w:p>
        </w:tc>
        <w:tc>
          <w:tcPr>
            <w:tcW w:w="14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performance then</w:t>
            </w:r>
          </w:p>
        </w:tc>
        <w:tc>
          <w:tcPr>
            <w:tcW w:w="120" w:type="dxa"/>
            <w:vAlign w:val="bottom"/>
          </w:tcPr>
          <w:p>
            <w:pPr>
              <w:spacing w:after="0"/>
              <w:rPr>
                <w:sz w:val="18"/>
                <w:szCs w:val="18"/>
                <w:color w:val="auto"/>
              </w:rPr>
            </w:pPr>
          </w:p>
        </w:tc>
        <w:tc>
          <w:tcPr>
            <w:tcW w:w="134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1"/>
              </w:rPr>
              <w:t>performance</w:t>
            </w:r>
          </w:p>
        </w:tc>
        <w:tc>
          <w:tcPr>
            <w:tcW w:w="0" w:type="dxa"/>
            <w:vAlign w:val="bottom"/>
          </w:tcPr>
          <w:p>
            <w:pPr>
              <w:spacing w:after="0"/>
              <w:rPr>
                <w:sz w:val="1"/>
                <w:szCs w:val="1"/>
                <w:color w:val="auto"/>
              </w:rPr>
            </w:pPr>
          </w:p>
        </w:tc>
      </w:tr>
      <w:tr>
        <w:trPr>
          <w:trHeight w:val="122"/>
        </w:trPr>
        <w:tc>
          <w:tcPr>
            <w:tcW w:w="2060" w:type="dxa"/>
            <w:vAlign w:val="bottom"/>
            <w:tcBorders>
              <w:left w:val="single" w:sz="8" w:color="auto"/>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960" w:type="dxa"/>
            <w:vAlign w:val="bottom"/>
            <w:gridSpan w:val="2"/>
            <w:vMerge w:val="continue"/>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320" w:type="dxa"/>
            <w:vAlign w:val="bottom"/>
            <w:vMerge w:val="restart"/>
          </w:tcPr>
          <w:p>
            <w:pPr>
              <w:jc w:val="center"/>
              <w:ind w:left="10"/>
              <w:spacing w:after="0"/>
              <w:rPr>
                <w:sz w:val="20"/>
                <w:szCs w:val="20"/>
                <w:color w:val="auto"/>
              </w:rPr>
            </w:pPr>
            <w:r>
              <w:rPr>
                <w:rFonts w:ascii="Arial" w:cs="Arial" w:eastAsia="Arial" w:hAnsi="Arial"/>
                <w:sz w:val="18"/>
                <w:szCs w:val="18"/>
                <w:color w:val="auto"/>
                <w:w w:val="84"/>
              </w:rPr>
              <w:t>3 years</w:t>
            </w:r>
          </w:p>
        </w:tc>
        <w:tc>
          <w:tcPr>
            <w:tcW w:w="14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 vests over 3</w:t>
            </w:r>
          </w:p>
        </w:tc>
        <w:tc>
          <w:tcPr>
            <w:tcW w:w="120" w:type="dxa"/>
            <w:vAlign w:val="bottom"/>
          </w:tcPr>
          <w:p>
            <w:pPr>
              <w:spacing w:after="0"/>
              <w:rPr>
                <w:sz w:val="10"/>
                <w:szCs w:val="10"/>
                <w:color w:val="auto"/>
              </w:rPr>
            </w:pPr>
          </w:p>
        </w:tc>
        <w:tc>
          <w:tcPr>
            <w:tcW w:w="134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88"/>
              </w:rPr>
              <w:t>then stock vests</w:t>
            </w:r>
          </w:p>
        </w:tc>
        <w:tc>
          <w:tcPr>
            <w:tcW w:w="0" w:type="dxa"/>
            <w:vAlign w:val="bottom"/>
          </w:tcPr>
          <w:p>
            <w:pPr>
              <w:spacing w:after="0"/>
              <w:rPr>
                <w:sz w:val="1"/>
                <w:szCs w:val="1"/>
                <w:color w:val="auto"/>
              </w:rPr>
            </w:pPr>
          </w:p>
        </w:tc>
      </w:tr>
      <w:tr>
        <w:trPr>
          <w:trHeight w:val="94"/>
        </w:trPr>
        <w:tc>
          <w:tcPr>
            <w:tcW w:w="206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132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years</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90"/>
              </w:rPr>
              <w:t>over 3-5 years</w:t>
            </w:r>
          </w:p>
        </w:tc>
        <w:tc>
          <w:tcPr>
            <w:tcW w:w="0" w:type="dxa"/>
            <w:vAlign w:val="bottom"/>
          </w:tcPr>
          <w:p>
            <w:pPr>
              <w:spacing w:after="0"/>
              <w:rPr>
                <w:sz w:val="1"/>
                <w:szCs w:val="1"/>
                <w:color w:val="auto"/>
              </w:rPr>
            </w:pPr>
          </w:p>
        </w:tc>
      </w:tr>
      <w:tr>
        <w:trPr>
          <w:trHeight w:val="195"/>
        </w:trPr>
        <w:tc>
          <w:tcPr>
            <w:tcW w:w="206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right w:val="single" w:sz="8" w:color="auto"/>
            </w:tcBorders>
          </w:tcPr>
          <w:p>
            <w:pPr>
              <w:jc w:val="center"/>
              <w:ind w:right="30"/>
              <w:spacing w:after="0" w:line="195" w:lineRule="exact"/>
              <w:rPr>
                <w:sz w:val="20"/>
                <w:szCs w:val="20"/>
                <w:color w:val="auto"/>
              </w:rPr>
            </w:pPr>
            <w:r>
              <w:rPr>
                <w:rFonts w:ascii="Arial" w:cs="Arial" w:eastAsia="Arial" w:hAnsi="Arial"/>
                <w:sz w:val="18"/>
                <w:szCs w:val="18"/>
                <w:color w:val="auto"/>
                <w:w w:val="93"/>
              </w:rPr>
              <w:t>Organic Growth:</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Vesting</w:t>
            </w:r>
          </w:p>
        </w:tc>
        <w:tc>
          <w:tcPr>
            <w:tcW w:w="1580" w:type="dxa"/>
            <w:vAlign w:val="bottom"/>
            <w:tcBorders>
              <w:right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88"/>
              </w:rPr>
              <w:t>3-Years</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vMerge w:val="continue"/>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Immediate</w:t>
            </w:r>
          </w:p>
        </w:tc>
        <w:tc>
          <w:tcPr>
            <w:tcW w:w="1960" w:type="dxa"/>
            <w:vAlign w:val="bottom"/>
            <w:gridSpan w:val="2"/>
          </w:tcPr>
          <w:p>
            <w:pPr>
              <w:jc w:val="center"/>
              <w:ind w:left="950"/>
              <w:spacing w:after="0"/>
              <w:rPr>
                <w:sz w:val="20"/>
                <w:szCs w:val="20"/>
                <w:color w:val="auto"/>
              </w:rPr>
            </w:pPr>
            <w:r>
              <w:rPr>
                <w:rFonts w:ascii="Arial" w:cs="Arial" w:eastAsia="Arial" w:hAnsi="Arial"/>
                <w:sz w:val="18"/>
                <w:szCs w:val="18"/>
                <w:color w:val="auto"/>
                <w:w w:val="88"/>
              </w:rPr>
              <w:t>1-Year</w:t>
            </w:r>
          </w:p>
        </w:tc>
        <w:tc>
          <w:tcPr>
            <w:tcW w:w="1060" w:type="dxa"/>
            <w:vAlign w:val="bottom"/>
            <w:tcBorders>
              <w:right w:val="single" w:sz="8" w:color="auto"/>
            </w:tcBorders>
          </w:tcPr>
          <w:p>
            <w:pPr>
              <w:spacing w:after="0"/>
              <w:rPr>
                <w:sz w:val="18"/>
                <w:szCs w:val="18"/>
                <w:color w:val="auto"/>
              </w:rPr>
            </w:pPr>
          </w:p>
        </w:tc>
        <w:tc>
          <w:tcPr>
            <w:tcW w:w="1320" w:type="dxa"/>
            <w:vAlign w:val="bottom"/>
          </w:tcPr>
          <w:p>
            <w:pPr>
              <w:jc w:val="center"/>
              <w:ind w:left="10"/>
              <w:spacing w:after="0"/>
              <w:rPr>
                <w:sz w:val="20"/>
                <w:szCs w:val="20"/>
                <w:color w:val="auto"/>
              </w:rPr>
            </w:pPr>
            <w:r>
              <w:rPr>
                <w:rFonts w:ascii="Arial" w:cs="Arial" w:eastAsia="Arial" w:hAnsi="Arial"/>
                <w:sz w:val="18"/>
                <w:szCs w:val="18"/>
                <w:color w:val="auto"/>
                <w:w w:val="85"/>
              </w:rPr>
              <w:t>3-Years</w:t>
            </w:r>
          </w:p>
        </w:tc>
        <w:tc>
          <w:tcPr>
            <w:tcW w:w="14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3-Years</w:t>
            </w:r>
          </w:p>
        </w:tc>
        <w:tc>
          <w:tcPr>
            <w:tcW w:w="120" w:type="dxa"/>
            <w:vAlign w:val="bottom"/>
          </w:tcPr>
          <w:p>
            <w:pPr>
              <w:spacing w:after="0"/>
              <w:rPr>
                <w:sz w:val="18"/>
                <w:szCs w:val="18"/>
                <w:color w:val="auto"/>
              </w:rPr>
            </w:pPr>
          </w:p>
        </w:tc>
        <w:tc>
          <w:tcPr>
            <w:tcW w:w="134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6"/>
              </w:rPr>
              <w:t>Acquisition</w:t>
            </w: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5"/>
              </w:rPr>
              <w:t>Growth:</w:t>
            </w: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88"/>
              </w:rPr>
              <w:t>5-Years</w:t>
            </w:r>
          </w:p>
        </w:tc>
        <w:tc>
          <w:tcPr>
            <w:tcW w:w="0" w:type="dxa"/>
            <w:vAlign w:val="bottom"/>
          </w:tcPr>
          <w:p>
            <w:pPr>
              <w:spacing w:after="0"/>
              <w:rPr>
                <w:sz w:val="1"/>
                <w:szCs w:val="1"/>
                <w:color w:val="auto"/>
              </w:rPr>
            </w:pPr>
          </w:p>
        </w:tc>
      </w:tr>
      <w:tr>
        <w:trPr>
          <w:trHeight w:val="195"/>
        </w:trPr>
        <w:tc>
          <w:tcPr>
            <w:tcW w:w="2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How Payout is</w:t>
            </w:r>
          </w:p>
        </w:tc>
        <w:tc>
          <w:tcPr>
            <w:tcW w:w="15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Compensation</w:t>
            </w:r>
          </w:p>
        </w:tc>
        <w:tc>
          <w:tcPr>
            <w:tcW w:w="1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320" w:type="dxa"/>
            <w:vAlign w:val="bottom"/>
            <w:vMerge w:val="restart"/>
          </w:tcPr>
          <w:p>
            <w:pPr>
              <w:jc w:val="center"/>
              <w:ind w:left="10"/>
              <w:spacing w:after="0"/>
              <w:rPr>
                <w:sz w:val="20"/>
                <w:szCs w:val="20"/>
                <w:color w:val="auto"/>
              </w:rPr>
            </w:pPr>
            <w:r>
              <w:rPr>
                <w:rFonts w:ascii="Arial" w:cs="Arial" w:eastAsia="Arial" w:hAnsi="Arial"/>
                <w:sz w:val="18"/>
                <w:szCs w:val="18"/>
                <w:color w:val="auto"/>
                <w:w w:val="90"/>
              </w:rPr>
              <w:t>Formula Based</w:t>
            </w:r>
          </w:p>
        </w:tc>
        <w:tc>
          <w:tcPr>
            <w:tcW w:w="1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right w:val="single" w:sz="8" w:color="auto"/>
            </w:tcBorders>
            <w:vMerge w:val="continue"/>
          </w:tcPr>
          <w:p>
            <w:pPr>
              <w:spacing w:after="0"/>
              <w:rPr>
                <w:sz w:val="9"/>
                <w:szCs w:val="9"/>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Committee</w:t>
            </w:r>
          </w:p>
        </w:tc>
        <w:tc>
          <w:tcPr>
            <w:tcW w:w="30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0"/>
              </w:rPr>
              <w:t>Quantitative based on performance</w:t>
            </w:r>
          </w:p>
        </w:tc>
        <w:tc>
          <w:tcPr>
            <w:tcW w:w="132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Annual</w:t>
            </w:r>
          </w:p>
        </w:tc>
        <w:tc>
          <w:tcPr>
            <w:tcW w:w="120" w:type="dxa"/>
            <w:vAlign w:val="bottom"/>
          </w:tcPr>
          <w:p>
            <w:pPr>
              <w:spacing w:after="0"/>
              <w:rPr>
                <w:sz w:val="9"/>
                <w:szCs w:val="9"/>
                <w:color w:val="auto"/>
              </w:rPr>
            </w:pPr>
          </w:p>
        </w:tc>
        <w:tc>
          <w:tcPr>
            <w:tcW w:w="134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color w:val="auto"/>
                <w:w w:val="97"/>
              </w:rPr>
              <w:t>Multi-Year</w:t>
            </w:r>
          </w:p>
        </w:tc>
        <w:tc>
          <w:tcPr>
            <w:tcW w:w="0" w:type="dxa"/>
            <w:vAlign w:val="bottom"/>
          </w:tcPr>
          <w:p>
            <w:pPr>
              <w:spacing w:after="0"/>
              <w:rPr>
                <w:sz w:val="1"/>
                <w:szCs w:val="1"/>
                <w:color w:val="auto"/>
              </w:rPr>
            </w:pPr>
          </w:p>
        </w:tc>
      </w:tr>
      <w:tr>
        <w:trPr>
          <w:trHeight w:val="104"/>
        </w:trPr>
        <w:tc>
          <w:tcPr>
            <w:tcW w:w="2060" w:type="dxa"/>
            <w:vAlign w:val="bottom"/>
            <w:tcBorders>
              <w:left w:val="single" w:sz="8" w:color="auto"/>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3020" w:type="dxa"/>
            <w:vAlign w:val="bottom"/>
            <w:tcBorders>
              <w:right w:val="single" w:sz="8" w:color="auto"/>
            </w:tcBorders>
            <w:gridSpan w:val="3"/>
            <w:vMerge w:val="continue"/>
          </w:tcPr>
          <w:p>
            <w:pPr>
              <w:spacing w:after="0"/>
              <w:rPr>
                <w:sz w:val="9"/>
                <w:szCs w:val="9"/>
                <w:color w:val="auto"/>
              </w:rPr>
            </w:pPr>
          </w:p>
        </w:tc>
        <w:tc>
          <w:tcPr>
            <w:tcW w:w="1320" w:type="dxa"/>
            <w:vAlign w:val="bottom"/>
            <w:vMerge w:val="restart"/>
          </w:tcPr>
          <w:p>
            <w:pPr>
              <w:jc w:val="center"/>
              <w:ind w:left="30"/>
              <w:spacing w:after="0"/>
              <w:rPr>
                <w:sz w:val="20"/>
                <w:szCs w:val="20"/>
                <w:color w:val="auto"/>
              </w:rPr>
            </w:pPr>
            <w:r>
              <w:rPr>
                <w:rFonts w:ascii="Arial" w:cs="Arial" w:eastAsia="Arial" w:hAnsi="Arial"/>
                <w:sz w:val="18"/>
                <w:szCs w:val="18"/>
                <w:color w:val="auto"/>
                <w:w w:val="88"/>
              </w:rPr>
              <w:t>(Percentage of</w:t>
            </w:r>
          </w:p>
        </w:tc>
        <w:tc>
          <w:tcPr>
            <w:tcW w:w="1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Determined</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Recommends to</w:t>
            </w:r>
          </w:p>
        </w:tc>
        <w:tc>
          <w:tcPr>
            <w:tcW w:w="1960" w:type="dxa"/>
            <w:vAlign w:val="bottom"/>
            <w:gridSpan w:val="2"/>
            <w:vMerge w:val="restart"/>
          </w:tcPr>
          <w:p>
            <w:pPr>
              <w:jc w:val="center"/>
              <w:ind w:left="930"/>
              <w:spacing w:after="0"/>
              <w:rPr>
                <w:sz w:val="20"/>
                <w:szCs w:val="20"/>
                <w:color w:val="auto"/>
              </w:rPr>
            </w:pPr>
            <w:r>
              <w:rPr>
                <w:rFonts w:ascii="Arial" w:cs="Arial" w:eastAsia="Arial" w:hAnsi="Arial"/>
                <w:sz w:val="18"/>
                <w:szCs w:val="18"/>
                <w:color w:val="auto"/>
                <w:w w:val="88"/>
              </w:rPr>
              <w:t>against goals</w:t>
            </w:r>
          </w:p>
        </w:tc>
        <w:tc>
          <w:tcPr>
            <w:tcW w:w="1060" w:type="dxa"/>
            <w:vAlign w:val="bottom"/>
            <w:tcBorders>
              <w:right w:val="single" w:sz="8" w:color="auto"/>
            </w:tcBorders>
          </w:tcPr>
          <w:p>
            <w:pPr>
              <w:spacing w:after="0"/>
              <w:rPr>
                <w:sz w:val="9"/>
                <w:szCs w:val="9"/>
                <w:color w:val="auto"/>
              </w:rPr>
            </w:pPr>
          </w:p>
        </w:tc>
        <w:tc>
          <w:tcPr>
            <w:tcW w:w="132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Performance</w:t>
            </w:r>
          </w:p>
        </w:tc>
        <w:tc>
          <w:tcPr>
            <w:tcW w:w="120" w:type="dxa"/>
            <w:vAlign w:val="bottom"/>
          </w:tcPr>
          <w:p>
            <w:pPr>
              <w:spacing w:after="0"/>
              <w:rPr>
                <w:sz w:val="9"/>
                <w:szCs w:val="9"/>
                <w:color w:val="auto"/>
              </w:rPr>
            </w:pPr>
          </w:p>
        </w:tc>
        <w:tc>
          <w:tcPr>
            <w:tcW w:w="134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color w:val="auto"/>
                <w:w w:val="89"/>
              </w:rPr>
              <w:t>Performance</w:t>
            </w: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1960" w:type="dxa"/>
            <w:vAlign w:val="bottom"/>
            <w:gridSpan w:val="2"/>
            <w:vMerge w:val="continue"/>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320" w:type="dxa"/>
            <w:vAlign w:val="bottom"/>
            <w:vMerge w:val="restart"/>
          </w:tcPr>
          <w:p>
            <w:pPr>
              <w:jc w:val="center"/>
              <w:ind w:left="30"/>
              <w:spacing w:after="0"/>
              <w:rPr>
                <w:sz w:val="20"/>
                <w:szCs w:val="20"/>
                <w:color w:val="auto"/>
              </w:rPr>
            </w:pPr>
            <w:r>
              <w:rPr>
                <w:rFonts w:ascii="Arial" w:cs="Arial" w:eastAsia="Arial" w:hAnsi="Arial"/>
                <w:sz w:val="18"/>
                <w:szCs w:val="18"/>
                <w:color w:val="auto"/>
                <w:w w:val="91"/>
              </w:rPr>
              <w:t>Salary)</w:t>
            </w:r>
          </w:p>
        </w:tc>
        <w:tc>
          <w:tcPr>
            <w:tcW w:w="1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6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Board</w:t>
            </w:r>
          </w:p>
        </w:tc>
        <w:tc>
          <w:tcPr>
            <w:tcW w:w="1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32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vMerge w:val="continue"/>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06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EVA /</w:t>
            </w:r>
          </w:p>
        </w:tc>
        <w:tc>
          <w:tcPr>
            <w:tcW w:w="38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Performance Metrics</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Performance</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Improvement in</w:t>
            </w:r>
          </w:p>
        </w:tc>
        <w:tc>
          <w:tcPr>
            <w:tcW w:w="14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2"/>
              </w:rPr>
              <w:t>Return on Equity</w:t>
            </w:r>
          </w:p>
        </w:tc>
        <w:tc>
          <w:tcPr>
            <w:tcW w:w="1320" w:type="dxa"/>
            <w:vAlign w:val="bottom"/>
            <w:vMerge w:val="restart"/>
          </w:tcPr>
          <w:p>
            <w:pPr>
              <w:jc w:val="center"/>
              <w:ind w:left="10"/>
              <w:spacing w:after="0"/>
              <w:rPr>
                <w:sz w:val="20"/>
                <w:szCs w:val="20"/>
                <w:color w:val="auto"/>
              </w:rPr>
            </w:pPr>
            <w:r>
              <w:rPr>
                <w:rFonts w:ascii="Arial" w:cs="Arial" w:eastAsia="Arial" w:hAnsi="Arial"/>
                <w:sz w:val="18"/>
                <w:szCs w:val="18"/>
                <w:color w:val="auto"/>
              </w:rPr>
              <w:t>NA</w:t>
            </w:r>
          </w:p>
        </w:tc>
        <w:tc>
          <w:tcPr>
            <w:tcW w:w="14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EBITDA</w:t>
            </w:r>
          </w:p>
        </w:tc>
        <w:tc>
          <w:tcPr>
            <w:tcW w:w="120" w:type="dxa"/>
            <w:vAlign w:val="bottom"/>
          </w:tcPr>
          <w:p>
            <w:pPr>
              <w:spacing w:after="0"/>
              <w:rPr>
                <w:sz w:val="18"/>
                <w:szCs w:val="18"/>
                <w:color w:val="auto"/>
              </w:rPr>
            </w:pPr>
          </w:p>
        </w:tc>
        <w:tc>
          <w:tcPr>
            <w:tcW w:w="134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0"/>
              </w:rPr>
              <w:t>Sales Growth</w:t>
            </w:r>
          </w:p>
        </w:tc>
        <w:tc>
          <w:tcPr>
            <w:tcW w:w="0" w:type="dxa"/>
            <w:vAlign w:val="bottom"/>
          </w:tcPr>
          <w:p>
            <w:pPr>
              <w:spacing w:after="0"/>
              <w:rPr>
                <w:sz w:val="1"/>
                <w:szCs w:val="1"/>
                <w:color w:val="auto"/>
              </w:rPr>
            </w:pPr>
          </w:p>
        </w:tc>
      </w:tr>
      <w:tr>
        <w:trPr>
          <w:trHeight w:val="122"/>
        </w:trPr>
        <w:tc>
          <w:tcPr>
            <w:tcW w:w="2060" w:type="dxa"/>
            <w:vAlign w:val="bottom"/>
            <w:tcBorders>
              <w:left w:val="single" w:sz="8" w:color="auto"/>
              <w:right w:val="single" w:sz="8" w:color="auto"/>
            </w:tcBorders>
            <w:vMerge w:val="continue"/>
          </w:tcPr>
          <w:p>
            <w:pPr>
              <w:spacing w:after="0"/>
              <w:rPr>
                <w:sz w:val="10"/>
                <w:szCs w:val="10"/>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Assessment</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Net Operating</w:t>
            </w:r>
          </w:p>
        </w:tc>
        <w:tc>
          <w:tcPr>
            <w:tcW w:w="1440" w:type="dxa"/>
            <w:vAlign w:val="bottom"/>
            <w:tcBorders>
              <w:right w:val="single" w:sz="8" w:color="auto"/>
            </w:tcBorders>
            <w:gridSpan w:val="2"/>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6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380" w:type="dxa"/>
            <w:vAlign w:val="bottom"/>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Profit</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060" w:type="dxa"/>
            <w:vAlign w:val="bottom"/>
          </w:tcPr>
          <w:p>
            <w:pPr>
              <w:spacing w:after="0"/>
              <w:rPr>
                <w:sz w:val="20"/>
                <w:szCs w:val="20"/>
                <w:color w:val="auto"/>
              </w:rPr>
            </w:pPr>
            <w:r>
              <w:rPr>
                <w:rFonts w:ascii="Arial" w:cs="Arial" w:eastAsia="Arial" w:hAnsi="Arial"/>
                <w:sz w:val="18"/>
                <w:szCs w:val="18"/>
                <w:i w:val="1"/>
                <w:iCs w:val="1"/>
                <w:color w:val="auto"/>
                <w:w w:val="93"/>
              </w:rPr>
              <w:t>At-Risk Compensation Mix.</w:t>
            </w: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graphics below illustrate the mix of 2019 fixed pay (base salary) and at-risk pay incentives (cash incentive compensation and equity awards), presented at target, for our Chief Executive Officer and our other Named Executive Officers. At-risk pay incentives constitute the majority of the total compensation package for our executive officers, consistent with a pay-for-performance compensation philosophy, as discussed above. We believe that linking a substantial portion of our Named Executive Officers’ total compensation to at-risk pay rewards the achievement of key short- and long-term performance goals and strongly aligns the interests of our executive officers, including our Named Executive Officers, with those of our shareholders. A larger portion of our Chief Executive Officer’s total compensation was linked to at-risk pay as compared to the other Named Executive Officers, in recognition of our Chief Executive Officer’s overall responsibility for our corporate performance.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1014095</wp:posOffset>
            </wp:positionH>
            <wp:positionV relativeFrom="page">
              <wp:posOffset>586105</wp:posOffset>
            </wp:positionV>
            <wp:extent cx="5486400" cy="18599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48640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Compensation Committee</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Compensation Committee of the Board, which is comprised of independent directors, is charged with oversight of the Company’s philosophy, policies and practices regarding annual and incentive compensation plans, equity-based plans and other compensation plans. The Compensation Committee operates under a written charter adopted by the Board, a copy of which is available on the Company’s website at www.alliedmotion.com. The Compensation Committee ensures that the total compensation of the Company’s Named Executive Officers and other key management is fair, reasonable and competitive. The Compensation Committee annually evaluates the performance of the Company’s Chief Executive Officer based upon a mix of the achievement of corporate goals and individual performance and makes decisions concerning compensation and benefits for Named Executive Officers and other key management. The Compensation Committee recommends annual base compensation and incentive compensation targets to the Board, and it also makes equity awards under the Company’s 2017 Omnibus Incentive Plan and reviews the attainment of annual goals for incentive compensation.</w:t>
      </w:r>
    </w:p>
    <w:p>
      <w:pPr>
        <w:spacing w:after="0" w:line="16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 Compensation Committee meets with Mr. Warzala, the Company’s Chief Executive Officer and President, to obtain his recommendations with respect to other Named Executive Officers and key management compensation programs and practices, base salaries, incentive plan targets and equity awards. The Compensation Committee considers but is not bound to accept such recommendations. The Compensation Committee discusses Mr. Warzala’s compensation with him but makes decisions regarding his recommended compensation without him present.</w:t>
      </w:r>
    </w:p>
    <w:p>
      <w:pPr>
        <w:spacing w:after="0" w:line="15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Compensation Committee has authorized Mr. Warzala to make salary adjustments for all employees other than Named Executive Officers and other key management.</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Beginning in 2018, under the direction of the Compensation Committee, the Company retained the Burke Group, an independent compensation consultant, to prepare a study that provided input on trends in executive compensation and an outside perspective on the Company’s executive compensation philosophy, program and practices, while assisting with the Compensation Committee’s peer group benchmarking analysis for 2019. The Compensation Committee met several times over the later part of 2018 and early 2019 to review executive compensation programs and levels. The changes which were made as the result of the study were as follows:</w:t>
      </w:r>
    </w:p>
    <w:p>
      <w:pPr>
        <w:spacing w:after="0" w:line="188" w:lineRule="exact"/>
        <w:rPr>
          <w:sz w:val="20"/>
          <w:szCs w:val="20"/>
          <w:color w:val="auto"/>
        </w:rPr>
      </w:pPr>
    </w:p>
    <w:p>
      <w:pPr>
        <w:ind w:left="980" w:right="1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incentive opportunities for each Named Executive Officer were increased slightly to reflect market alignment with the compensation philosophy;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name of the Short-Term Incentive Plan was changed to Performance Share Plan in order to clarify it as a performance-based equity plan;</w:t>
      </w:r>
    </w:p>
    <w:p>
      <w:pPr>
        <w:spacing w:after="0" w:line="248" w:lineRule="exact"/>
        <w:rPr>
          <w:rFonts w:ascii="Arial" w:cs="Arial" w:eastAsia="Arial" w:hAnsi="Arial"/>
          <w:sz w:val="16"/>
          <w:szCs w:val="16"/>
          <w:color w:val="auto"/>
        </w:rPr>
      </w:pPr>
    </w:p>
    <w:p>
      <w:pPr>
        <w:ind w:left="980" w:right="24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Also, the performance criteria under the Performance Share Plan was modified to be 100% based on EBITDA results. This approach when combined with Long-Term Incentive Plan (“LTIP”) will better align executive interests with shareholders;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Finally, the Company implemented a clawback provision for equity and annual incentive plan compensation and a policy prohibiting pledging and hedging transactions by directors, Named Executive Officers and certain others.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ind w:right="440" w:firstLine="648"/>
        <w:spacing w:after="0" w:line="311" w:lineRule="auto"/>
        <w:rPr>
          <w:sz w:val="20"/>
          <w:szCs w:val="20"/>
          <w:color w:val="auto"/>
        </w:rPr>
      </w:pPr>
      <w:r>
        <w:rPr>
          <w:rFonts w:ascii="Arial" w:cs="Arial" w:eastAsia="Arial" w:hAnsi="Arial"/>
          <w:sz w:val="16"/>
          <w:szCs w:val="16"/>
          <w:color w:val="auto"/>
        </w:rPr>
        <w:t>The Compensation Committee also grants equity-based awards. However, the Compensation Committee has from time to time delegated to Mr. Warzala the authority to grant restricted stock awards to employees other than Named Executive Officers or key management in limited annual amounts. Such awards made by Mr. Warzala are generally intended to be used for employee recruiting and promotion purposes.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Compensation Consultant</w:t>
      </w:r>
    </w:p>
    <w:p>
      <w:pPr>
        <w:spacing w:after="0" w:line="225"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As described above, during 2018 the Company engaged the Burke Group as its compensation consultant. The compensation consultant reports directly to the Compensation Committee and carries out responsibilities as assigned by the Compensation Committee. The Compensation Committee has the sole authority to retain and terminate the compensation consultant and to approve the compensation consultant’s fees and all other terms of the engagement. The Compensation Committee exercised this authority to engage the Burke Group and has direct access to them throughout the year.</w:t>
      </w:r>
    </w:p>
    <w:p>
      <w:pPr>
        <w:spacing w:after="0" w:line="15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Compensation Committee regularly reviews the independence of, and services provided by its outside consultants and believes that the Burke Group is independent in providing executive compensation consulting services. The Compensation Committee conducted a specific review of its relationship with the Burke Group in 2019 and determined that the Burke Group’s work for the Compensation Committee did not raise any conflicts of interest, consistent with the guidance provided under the Dodd-Frank Wall Street Reform and Consumer Protection Act, the SEC and the Nasdaq Global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Peer Group Analysis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2019, the Compensation Committee relied on a Peer Group Analysis prepared by the Burke Group to evaluate compensation levels for Named Executive Officers. The Peer Group recommended by the Burke Group and used by the Compensation Committee is based on similarly sized manufacturing companies. The Burke Group analyzed competitive total direct compensation at the Peer Companies, as disclosed in their proxy statements for prior years. The Compensation Committee intends to evaluate the appropriateness of the Peer Group periodically (based on merger and acquisition activity, growth, business focus, etc.) and may make adjustments accordingly; certain Peer Group members are no longer public companies or have undergone changes, so it is likely that there will modifications of the Peer Group for 2020. The members of the Peer Group for 2019 included the following:</w:t>
      </w:r>
    </w:p>
    <w:p>
      <w:pPr>
        <w:spacing w:after="0" w:line="19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880" w:type="dxa"/>
            <w:vAlign w:val="bottom"/>
          </w:tcPr>
          <w:p>
            <w:pPr>
              <w:jc w:val="center"/>
              <w:ind w:right="1550"/>
              <w:spacing w:after="0"/>
              <w:rPr>
                <w:sz w:val="20"/>
                <w:szCs w:val="20"/>
                <w:color w:val="auto"/>
              </w:rPr>
            </w:pPr>
            <w:r>
              <w:rPr>
                <w:rFonts w:ascii="Arial" w:cs="Arial" w:eastAsia="Arial" w:hAnsi="Arial"/>
                <w:sz w:val="18"/>
                <w:szCs w:val="18"/>
                <w:color w:val="auto"/>
                <w:w w:val="93"/>
              </w:rPr>
              <w:t>AeroVironment Inc.</w:t>
            </w:r>
          </w:p>
        </w:tc>
        <w:tc>
          <w:tcPr>
            <w:tcW w:w="4060" w:type="dxa"/>
            <w:vAlign w:val="bottom"/>
          </w:tcPr>
          <w:p>
            <w:pPr>
              <w:jc w:val="center"/>
              <w:ind w:left="1550"/>
              <w:spacing w:after="0"/>
              <w:rPr>
                <w:sz w:val="20"/>
                <w:szCs w:val="20"/>
                <w:color w:val="auto"/>
              </w:rPr>
            </w:pPr>
            <w:r>
              <w:rPr>
                <w:rFonts w:ascii="Arial" w:cs="Arial" w:eastAsia="Arial" w:hAnsi="Arial"/>
                <w:sz w:val="18"/>
                <w:szCs w:val="18"/>
                <w:color w:val="auto"/>
                <w:w w:val="90"/>
              </w:rPr>
              <w:t>Sparton Corporation</w:t>
            </w:r>
          </w:p>
        </w:tc>
      </w:tr>
      <w:tr>
        <w:trPr>
          <w:trHeight w:val="216"/>
        </w:trPr>
        <w:tc>
          <w:tcPr>
            <w:tcW w:w="3880" w:type="dxa"/>
            <w:vAlign w:val="bottom"/>
          </w:tcPr>
          <w:p>
            <w:pPr>
              <w:jc w:val="center"/>
              <w:ind w:right="1550"/>
              <w:spacing w:after="0"/>
              <w:rPr>
                <w:sz w:val="20"/>
                <w:szCs w:val="20"/>
                <w:color w:val="auto"/>
              </w:rPr>
            </w:pPr>
            <w:r>
              <w:rPr>
                <w:rFonts w:ascii="Arial" w:cs="Arial" w:eastAsia="Arial" w:hAnsi="Arial"/>
                <w:sz w:val="18"/>
                <w:szCs w:val="18"/>
                <w:color w:val="auto"/>
                <w:w w:val="92"/>
              </w:rPr>
              <w:t>Astronics Corporation</w:t>
            </w:r>
          </w:p>
        </w:tc>
        <w:tc>
          <w:tcPr>
            <w:tcW w:w="4060" w:type="dxa"/>
            <w:vAlign w:val="bottom"/>
          </w:tcPr>
          <w:p>
            <w:pPr>
              <w:jc w:val="center"/>
              <w:ind w:left="1550"/>
              <w:spacing w:after="0"/>
              <w:rPr>
                <w:sz w:val="20"/>
                <w:szCs w:val="20"/>
                <w:color w:val="auto"/>
              </w:rPr>
            </w:pPr>
            <w:r>
              <w:rPr>
                <w:rFonts w:ascii="Arial" w:cs="Arial" w:eastAsia="Arial" w:hAnsi="Arial"/>
                <w:sz w:val="18"/>
                <w:szCs w:val="18"/>
                <w:color w:val="auto"/>
                <w:w w:val="91"/>
              </w:rPr>
              <w:t>Sun Hydraulics Corporation</w:t>
            </w:r>
          </w:p>
        </w:tc>
      </w:tr>
      <w:tr>
        <w:trPr>
          <w:trHeight w:val="216"/>
        </w:trPr>
        <w:tc>
          <w:tcPr>
            <w:tcW w:w="3880" w:type="dxa"/>
            <w:vAlign w:val="bottom"/>
          </w:tcPr>
          <w:p>
            <w:pPr>
              <w:jc w:val="center"/>
              <w:ind w:right="1550"/>
              <w:spacing w:after="0"/>
              <w:rPr>
                <w:sz w:val="20"/>
                <w:szCs w:val="20"/>
                <w:color w:val="auto"/>
              </w:rPr>
            </w:pPr>
            <w:r>
              <w:rPr>
                <w:rFonts w:ascii="Arial" w:cs="Arial" w:eastAsia="Arial" w:hAnsi="Arial"/>
                <w:sz w:val="18"/>
                <w:szCs w:val="18"/>
                <w:color w:val="auto"/>
                <w:w w:val="88"/>
              </w:rPr>
              <w:t>Enphase Energy, Inc.</w:t>
            </w:r>
          </w:p>
        </w:tc>
        <w:tc>
          <w:tcPr>
            <w:tcW w:w="4060" w:type="dxa"/>
            <w:vAlign w:val="bottom"/>
          </w:tcPr>
          <w:p>
            <w:pPr>
              <w:jc w:val="center"/>
              <w:ind w:left="1550"/>
              <w:spacing w:after="0"/>
              <w:rPr>
                <w:sz w:val="20"/>
                <w:szCs w:val="20"/>
                <w:color w:val="auto"/>
              </w:rPr>
            </w:pPr>
            <w:r>
              <w:rPr>
                <w:rFonts w:ascii="Arial" w:cs="Arial" w:eastAsia="Arial" w:hAnsi="Arial"/>
                <w:sz w:val="18"/>
                <w:szCs w:val="18"/>
                <w:color w:val="auto"/>
                <w:w w:val="90"/>
              </w:rPr>
              <w:t>The Gorman-Rupp Co.</w:t>
            </w:r>
          </w:p>
        </w:tc>
      </w:tr>
      <w:tr>
        <w:trPr>
          <w:trHeight w:val="216"/>
        </w:trPr>
        <w:tc>
          <w:tcPr>
            <w:tcW w:w="3880" w:type="dxa"/>
            <w:vAlign w:val="bottom"/>
          </w:tcPr>
          <w:p>
            <w:pPr>
              <w:jc w:val="center"/>
              <w:ind w:right="1550"/>
              <w:spacing w:after="0"/>
              <w:rPr>
                <w:sz w:val="20"/>
                <w:szCs w:val="20"/>
                <w:color w:val="auto"/>
              </w:rPr>
            </w:pPr>
            <w:r>
              <w:rPr>
                <w:rFonts w:ascii="Arial" w:cs="Arial" w:eastAsia="Arial" w:hAnsi="Arial"/>
                <w:sz w:val="18"/>
                <w:szCs w:val="18"/>
                <w:color w:val="auto"/>
                <w:w w:val="93"/>
              </w:rPr>
              <w:t>LSI Industries, Inc.</w:t>
            </w:r>
          </w:p>
        </w:tc>
        <w:tc>
          <w:tcPr>
            <w:tcW w:w="4060" w:type="dxa"/>
            <w:vAlign w:val="bottom"/>
          </w:tcPr>
          <w:p>
            <w:pPr>
              <w:jc w:val="center"/>
              <w:ind w:left="1550"/>
              <w:spacing w:after="0"/>
              <w:rPr>
                <w:sz w:val="20"/>
                <w:szCs w:val="20"/>
                <w:color w:val="auto"/>
              </w:rPr>
            </w:pPr>
            <w:r>
              <w:rPr>
                <w:rFonts w:ascii="Arial" w:cs="Arial" w:eastAsia="Arial" w:hAnsi="Arial"/>
                <w:sz w:val="18"/>
                <w:szCs w:val="18"/>
                <w:color w:val="auto"/>
                <w:w w:val="95"/>
              </w:rPr>
              <w:t>The KEYW Holding Corporation</w:t>
            </w:r>
          </w:p>
        </w:tc>
      </w:tr>
      <w:tr>
        <w:trPr>
          <w:trHeight w:val="216"/>
        </w:trPr>
        <w:tc>
          <w:tcPr>
            <w:tcW w:w="3880" w:type="dxa"/>
            <w:vAlign w:val="bottom"/>
          </w:tcPr>
          <w:p>
            <w:pPr>
              <w:jc w:val="center"/>
              <w:ind w:right="1550"/>
              <w:spacing w:after="0"/>
              <w:rPr>
                <w:sz w:val="20"/>
                <w:szCs w:val="20"/>
                <w:color w:val="auto"/>
              </w:rPr>
            </w:pPr>
            <w:r>
              <w:rPr>
                <w:rFonts w:ascii="Arial" w:cs="Arial" w:eastAsia="Arial" w:hAnsi="Arial"/>
                <w:sz w:val="18"/>
                <w:szCs w:val="18"/>
                <w:color w:val="auto"/>
                <w:w w:val="90"/>
              </w:rPr>
              <w:t>Nanometrics Incorporated</w:t>
            </w:r>
          </w:p>
        </w:tc>
        <w:tc>
          <w:tcPr>
            <w:tcW w:w="4060" w:type="dxa"/>
            <w:vAlign w:val="bottom"/>
          </w:tcPr>
          <w:p>
            <w:pPr>
              <w:jc w:val="center"/>
              <w:ind w:left="1550"/>
              <w:spacing w:after="0"/>
              <w:rPr>
                <w:sz w:val="20"/>
                <w:szCs w:val="20"/>
                <w:color w:val="auto"/>
              </w:rPr>
            </w:pPr>
            <w:r>
              <w:rPr>
                <w:rFonts w:ascii="Arial" w:cs="Arial" w:eastAsia="Arial" w:hAnsi="Arial"/>
                <w:sz w:val="18"/>
                <w:szCs w:val="18"/>
                <w:color w:val="auto"/>
                <w:w w:val="92"/>
              </w:rPr>
              <w:t>Thermon Group Holdings, Inc.</w:t>
            </w:r>
          </w:p>
        </w:tc>
      </w:tr>
      <w:tr>
        <w:trPr>
          <w:trHeight w:val="216"/>
        </w:trPr>
        <w:tc>
          <w:tcPr>
            <w:tcW w:w="3880" w:type="dxa"/>
            <w:vAlign w:val="bottom"/>
          </w:tcPr>
          <w:p>
            <w:pPr>
              <w:jc w:val="center"/>
              <w:ind w:right="1550"/>
              <w:spacing w:after="0"/>
              <w:rPr>
                <w:sz w:val="20"/>
                <w:szCs w:val="20"/>
                <w:color w:val="auto"/>
              </w:rPr>
            </w:pPr>
            <w:r>
              <w:rPr>
                <w:rFonts w:ascii="Arial" w:cs="Arial" w:eastAsia="Arial" w:hAnsi="Arial"/>
                <w:sz w:val="18"/>
                <w:szCs w:val="18"/>
                <w:color w:val="auto"/>
                <w:w w:val="91"/>
              </w:rPr>
              <w:t>National Presto Industries, Inc.</w:t>
            </w:r>
          </w:p>
        </w:tc>
        <w:tc>
          <w:tcPr>
            <w:tcW w:w="4060" w:type="dxa"/>
            <w:vAlign w:val="bottom"/>
          </w:tcPr>
          <w:p>
            <w:pPr>
              <w:jc w:val="center"/>
              <w:ind w:left="1550"/>
              <w:spacing w:after="0"/>
              <w:rPr>
                <w:sz w:val="20"/>
                <w:szCs w:val="20"/>
                <w:color w:val="auto"/>
              </w:rPr>
            </w:pPr>
            <w:r>
              <w:rPr>
                <w:rFonts w:ascii="Arial" w:cs="Arial" w:eastAsia="Arial" w:hAnsi="Arial"/>
                <w:sz w:val="18"/>
                <w:szCs w:val="18"/>
                <w:color w:val="auto"/>
                <w:w w:val="92"/>
              </w:rPr>
              <w:t>Twin Disc Incorporated</w:t>
            </w:r>
          </w:p>
        </w:tc>
      </w:tr>
      <w:tr>
        <w:trPr>
          <w:trHeight w:val="216"/>
        </w:trPr>
        <w:tc>
          <w:tcPr>
            <w:tcW w:w="3880" w:type="dxa"/>
            <w:vAlign w:val="bottom"/>
          </w:tcPr>
          <w:p>
            <w:pPr>
              <w:jc w:val="center"/>
              <w:ind w:right="1550"/>
              <w:spacing w:after="0"/>
              <w:rPr>
                <w:sz w:val="20"/>
                <w:szCs w:val="20"/>
                <w:color w:val="auto"/>
              </w:rPr>
            </w:pPr>
            <w:r>
              <w:rPr>
                <w:rFonts w:ascii="Arial" w:cs="Arial" w:eastAsia="Arial" w:hAnsi="Arial"/>
                <w:sz w:val="18"/>
                <w:szCs w:val="18"/>
                <w:color w:val="auto"/>
                <w:w w:val="91"/>
              </w:rPr>
              <w:t>Preformed Line Products Co.</w:t>
            </w:r>
          </w:p>
        </w:tc>
        <w:tc>
          <w:tcPr>
            <w:tcW w:w="4060" w:type="dxa"/>
            <w:vAlign w:val="bottom"/>
          </w:tcPr>
          <w:p>
            <w:pPr>
              <w:jc w:val="center"/>
              <w:ind w:left="1510"/>
              <w:spacing w:after="0"/>
              <w:rPr>
                <w:sz w:val="20"/>
                <w:szCs w:val="20"/>
                <w:color w:val="auto"/>
              </w:rPr>
            </w:pPr>
            <w:r>
              <w:rPr>
                <w:rFonts w:ascii="Arial" w:cs="Arial" w:eastAsia="Arial" w:hAnsi="Arial"/>
                <w:sz w:val="18"/>
                <w:szCs w:val="18"/>
                <w:color w:val="auto"/>
                <w:w w:val="92"/>
              </w:rPr>
              <w:t>Vicor Corporation</w:t>
            </w:r>
          </w:p>
        </w:tc>
      </w:tr>
      <w:tr>
        <w:trPr>
          <w:trHeight w:val="230"/>
        </w:trPr>
        <w:tc>
          <w:tcPr>
            <w:tcW w:w="3880" w:type="dxa"/>
            <w:vAlign w:val="bottom"/>
          </w:tcPr>
          <w:p>
            <w:pPr>
              <w:jc w:val="center"/>
              <w:ind w:right="1550"/>
              <w:spacing w:after="0"/>
              <w:rPr>
                <w:sz w:val="20"/>
                <w:szCs w:val="20"/>
                <w:color w:val="auto"/>
              </w:rPr>
            </w:pPr>
            <w:r>
              <w:rPr>
                <w:rFonts w:ascii="Arial" w:cs="Arial" w:eastAsia="Arial" w:hAnsi="Arial"/>
                <w:sz w:val="18"/>
                <w:szCs w:val="18"/>
                <w:color w:val="auto"/>
                <w:w w:val="91"/>
              </w:rPr>
              <w:t>Proto Labs, Inc.</w:t>
            </w:r>
          </w:p>
        </w:tc>
        <w:tc>
          <w:tcPr>
            <w:tcW w:w="406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Elements of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elements and targets of executive compensation are:</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 Compensation</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At market as defined as the 50th percentile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Cash Incentive Compensation</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At market as defined as the 50th percentile for the achievement of Target and above market once Target is achieved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Equity Incentive Compensation</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Above market when performance is achieved</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u w:val="single" w:color="auto"/>
          <w:color w:val="auto"/>
        </w:rPr>
        <w:t>Base Compensation</w:t>
      </w:r>
      <w:r>
        <w:rPr>
          <w:rFonts w:ascii="Arial" w:cs="Arial" w:eastAsia="Arial" w:hAnsi="Arial"/>
          <w:sz w:val="18"/>
          <w:szCs w:val="18"/>
          <w:color w:val="auto"/>
        </w:rPr>
        <w:t>. Base compensation is comprised of the annual salary and is set at levels sufficient to attract and retain executives. In determining Mr. Warzala’s base compensation, the Compensation Committee considers market data and performance during the previous year as well as goals and objectives for the current year. In determining other base compensation levels, the Compensation Committee reviews and considers the evaluation and recommendation by Mr. Warzala of each key manager’s performance during the prior year and responsibilities for the current year. During the review of base compensation, the Compensation Committee also considers the executive’s or manager’s qualifications and experience, scope of responsibilities and future potential, the goals and objectives established for the individual, his or her past performance and competitive compensation practices both internally and externally.</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7" w:name="page18"/>
    <w:bookmarkEnd w:id="17"/>
    <w:p>
      <w:pPr>
        <w:ind w:firstLine="648"/>
        <w:spacing w:after="0" w:line="269" w:lineRule="auto"/>
        <w:rPr>
          <w:sz w:val="20"/>
          <w:szCs w:val="20"/>
          <w:color w:val="auto"/>
        </w:rPr>
      </w:pPr>
      <w:r>
        <w:rPr>
          <w:rFonts w:ascii="Arial" w:cs="Arial" w:eastAsia="Arial" w:hAnsi="Arial"/>
          <w:sz w:val="17"/>
          <w:szCs w:val="17"/>
          <w:u w:val="single" w:color="auto"/>
          <w:color w:val="auto"/>
        </w:rPr>
        <w:t>Annual Cash Incentive Plan</w:t>
      </w:r>
      <w:r>
        <w:rPr>
          <w:rFonts w:ascii="Arial" w:cs="Arial" w:eastAsia="Arial" w:hAnsi="Arial"/>
          <w:sz w:val="17"/>
          <w:szCs w:val="17"/>
          <w:color w:val="auto"/>
        </w:rPr>
        <w:t>. The annual incentive plan is a pay-for-performance cash award plan generally available to all employees of the Company and aligns the interests of executives and employees with those of the Company’s shareholders. The plan promotes a culture of high performance and ownership by employees in which employees are rewarded for improving profitability, achieving operating efficiencies, reducing costs and controlling capital. Awards under the plan are based on the actual Economic Value Added (EVA) achieved as compared against threshold and target EVA performance goals established for each year by the Board of Directors. EVA is net operating profit after taxes less a cost of capital charge. If the target EVA is achieved, then the target bonus is paid. If the actual EVA achieved falls between the threshold and the target EVA performance goals, the annual cash incentive plan award equals the target amount multiplied by the prorata percent of the EVA target achieved (0% to 100% of the target bonus amount). If the actual EVA achieved is greater than the target EVA performance goal, then the annual cash incentive plan award will be greater than 100% of the target amount with the total award being a prorata percent of the incremental EVA achieved above the target EVA. For 2019, the target incentives as a percentage of base salary were as follows:</w:t>
      </w:r>
    </w:p>
    <w:p>
      <w:pPr>
        <w:spacing w:after="0" w:line="199"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3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Chief Executive Officer</w:t>
            </w:r>
          </w:p>
        </w:tc>
        <w:tc>
          <w:tcPr>
            <w:tcW w:w="3280" w:type="dxa"/>
            <w:vAlign w:val="bottom"/>
            <w:shd w:val="clear" w:color="auto" w:fill="CCEEFF"/>
          </w:tcPr>
          <w:p>
            <w:pPr>
              <w:jc w:val="right"/>
              <w:ind w:right="1430"/>
              <w:spacing w:after="0"/>
              <w:rPr>
                <w:sz w:val="20"/>
                <w:szCs w:val="20"/>
                <w:color w:val="auto"/>
              </w:rPr>
            </w:pPr>
            <w:r>
              <w:rPr>
                <w:rFonts w:ascii="Arial" w:cs="Arial" w:eastAsia="Arial" w:hAnsi="Arial"/>
                <w:sz w:val="18"/>
                <w:szCs w:val="18"/>
                <w:color w:val="auto"/>
              </w:rPr>
              <w:t>75%</w:t>
            </w:r>
          </w:p>
        </w:tc>
      </w:tr>
      <w:tr>
        <w:trPr>
          <w:trHeight w:val="216"/>
        </w:trPr>
        <w:tc>
          <w:tcPr>
            <w:tcW w:w="3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3280" w:type="dxa"/>
            <w:vAlign w:val="bottom"/>
          </w:tcPr>
          <w:p>
            <w:pPr>
              <w:jc w:val="right"/>
              <w:ind w:right="1430"/>
              <w:spacing w:after="0"/>
              <w:rPr>
                <w:sz w:val="20"/>
                <w:szCs w:val="20"/>
                <w:color w:val="auto"/>
              </w:rPr>
            </w:pPr>
            <w:r>
              <w:rPr>
                <w:rFonts w:ascii="Arial" w:cs="Arial" w:eastAsia="Arial" w:hAnsi="Arial"/>
                <w:sz w:val="18"/>
                <w:szCs w:val="18"/>
                <w:color w:val="auto"/>
              </w:rPr>
              <w:t>50%</w:t>
            </w:r>
          </w:p>
        </w:tc>
      </w:tr>
      <w:tr>
        <w:trPr>
          <w:trHeight w:val="216"/>
        </w:trPr>
        <w:tc>
          <w:tcPr>
            <w:tcW w:w="3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VP Operational Excellence</w:t>
            </w:r>
          </w:p>
        </w:tc>
        <w:tc>
          <w:tcPr>
            <w:tcW w:w="3280" w:type="dxa"/>
            <w:vAlign w:val="bottom"/>
            <w:shd w:val="clear" w:color="auto" w:fill="CCEEFF"/>
          </w:tcPr>
          <w:p>
            <w:pPr>
              <w:jc w:val="right"/>
              <w:ind w:right="1430"/>
              <w:spacing w:after="0"/>
              <w:rPr>
                <w:sz w:val="20"/>
                <w:szCs w:val="20"/>
                <w:color w:val="auto"/>
              </w:rPr>
            </w:pPr>
            <w:r>
              <w:rPr>
                <w:rFonts w:ascii="Arial" w:cs="Arial" w:eastAsia="Arial" w:hAnsi="Arial"/>
                <w:sz w:val="18"/>
                <w:szCs w:val="18"/>
                <w:color w:val="auto"/>
              </w:rPr>
              <w:t>50%</w:t>
            </w:r>
          </w:p>
        </w:tc>
      </w:tr>
    </w:tbl>
    <w:p>
      <w:pPr>
        <w:spacing w:after="0" w:line="202"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u w:val="single" w:color="auto"/>
          <w:color w:val="auto"/>
        </w:rPr>
        <w:t>ROE Incentive Plan</w:t>
      </w:r>
      <w:r>
        <w:rPr>
          <w:rFonts w:ascii="Arial" w:cs="Arial" w:eastAsia="Arial" w:hAnsi="Arial"/>
          <w:sz w:val="17"/>
          <w:szCs w:val="17"/>
          <w:color w:val="auto"/>
        </w:rPr>
        <w:t>. Previously, Mr. Warzala had received a payment to the Deferred Compensation Plan based upon the Company’s return on equity. In 2019, the Compensation Committee decided to change the benefit for Mr. Warzala from a Deferred Compensation payment to currently paid incentive compensation (the “ROE Incentive”). For 2019, the performance target for the ROE Incentive was set at a 12% return on equity (with the equity used for such determination being shareholders’ equity at the beginning of the year adjusted for the weighted average share activity of any Company stock during the year) (the “ROE Incentive Performance Target”), and once the ROE Incentive Performance Target is achieved, an amount equal to 12.5% of the excess over the ROE Incentive Performance Target will be paid to Mr. Warzala as incentive compensation, with a cap of an amount equal to Mr. Warzala’s base compensation for 2019. The Company exceeded the ROE Incentive Performance Target in 2019 and incentive compensation of $542,000 was paid to Mr. Warzala with respect to the ROE Incentive Plan.</w:t>
      </w:r>
    </w:p>
    <w:p>
      <w:pPr>
        <w:spacing w:after="0" w:line="178"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u w:val="single" w:color="auto"/>
          <w:color w:val="auto"/>
        </w:rPr>
        <w:t>Equity Incentive Compensation</w:t>
      </w:r>
      <w:r>
        <w:rPr>
          <w:rFonts w:ascii="Arial" w:cs="Arial" w:eastAsia="Arial" w:hAnsi="Arial"/>
          <w:sz w:val="18"/>
          <w:szCs w:val="18"/>
          <w:color w:val="auto"/>
        </w:rPr>
        <w:t>. The equity incentive compensation program is comprised of restricted stock awards that are (i) time-based and vest, assuming continued employment, over a three-year period from the date of grant, (ii) earned upon achievement of certain annually determined performance criteria (PSP) and (iii) earned upon achievement of longer-term performance goals.</w:t>
      </w:r>
    </w:p>
    <w:p>
      <w:pPr>
        <w:spacing w:after="0" w:line="184" w:lineRule="exact"/>
        <w:rPr>
          <w:sz w:val="20"/>
          <w:szCs w:val="20"/>
          <w:color w:val="auto"/>
        </w:rPr>
      </w:pPr>
    </w:p>
    <w:p>
      <w:pPr>
        <w:ind w:left="660" w:right="20" w:firstLine="630"/>
        <w:spacing w:after="0" w:line="275" w:lineRule="auto"/>
        <w:tabs>
          <w:tab w:leader="none" w:pos="227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Time-Based Awards. The annual time-based restricted stock awards for the Chief Executive Officer, Chief Financial Officer and Vice President of Operational Excellence are equal to a percentage of the officer’s then annual salary divided by the fair market value (closing Company stock price) on the grant date. In March 2019, the Compensation Committee recommended, and the Board granted Mr. Warzala 6,648 shares of time-based restricted stock (50% of annual salary), Mr. Leach 1,714 shares (22.5% of annual salary) and Mr. Maida 1,496 shares (22.5% of annual salary). The time-based awards will vest 1/3 on each on April 1, 2020, 2021 and 2022.</w:t>
      </w:r>
    </w:p>
    <w:p>
      <w:pPr>
        <w:spacing w:after="0" w:line="176" w:lineRule="exact"/>
        <w:rPr>
          <w:rFonts w:ascii="Arial" w:cs="Arial" w:eastAsia="Arial" w:hAnsi="Arial"/>
          <w:sz w:val="17"/>
          <w:szCs w:val="17"/>
          <w:color w:val="auto"/>
        </w:rPr>
      </w:pPr>
    </w:p>
    <w:p>
      <w:pPr>
        <w:ind w:left="660" w:firstLine="630"/>
        <w:spacing w:after="0" w:line="269" w:lineRule="auto"/>
        <w:tabs>
          <w:tab w:leader="none" w:pos="2279"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Performance Share Plan (PSP) - (Previously known as Short-Term Equity Incentive Program). The Performance Share Plan is a pay-for-performance incentive program under which restricted stock is awarded annually and is earned upon the achievement of certain annually determined performance criteria. The Compensation Committee uses adjusted EBITDA as the performance criteria under the program. The EBITDA target is equal to the weighted average of the EBITDA of the Company, adjusted to account for business development costs relating to acquisitions, for the immediately preceding three-year period. The EBITDA threshold is 95% of target and the high performance measure is 105% of target. If the high performance measure is achieved or exceeded, then all of the PSP shares will be earned. If the Company’s actual results are less than the high performance measure but greater than the threshold, then the PSP shares will be earned on a prorata basis. If the Company’s actual results are less than the threshold, then no PSP shares will be earned. Any unearned PSP shares will be forfeited and returned to the Omnibus Incentive Plan and will be available for future awards. The PSP shares will vest over a three-year period. The Board of Directors can change the terms of the PSP at any time taking into consideration the relationship of the incentive pay earned to the increase in profitability achieved for any period.</w:t>
      </w:r>
    </w:p>
    <w:p>
      <w:pPr>
        <w:spacing w:after="0" w:line="182" w:lineRule="exact"/>
        <w:rPr>
          <w:sz w:val="20"/>
          <w:szCs w:val="20"/>
          <w:color w:val="auto"/>
        </w:rPr>
      </w:pPr>
    </w:p>
    <w:p>
      <w:pPr>
        <w:ind w:left="660" w:right="140" w:firstLine="648"/>
        <w:spacing w:after="0" w:line="291" w:lineRule="auto"/>
        <w:rPr>
          <w:sz w:val="20"/>
          <w:szCs w:val="20"/>
          <w:color w:val="auto"/>
        </w:rPr>
      </w:pPr>
      <w:r>
        <w:rPr>
          <w:rFonts w:ascii="Arial" w:cs="Arial" w:eastAsia="Arial" w:hAnsi="Arial"/>
          <w:sz w:val="16"/>
          <w:szCs w:val="16"/>
          <w:color w:val="auto"/>
        </w:rPr>
        <w:t>The annual PSP awards for the Chief Executive Officer, Chief Financial Officer and Vice President of Operational Excellence are equal to a percentage of the officer’s then annual salary divided by the fair market value (closing Company stock price) on the grant date. In</w:t>
      </w:r>
    </w:p>
    <w:p>
      <w:pPr>
        <w:ind w:left="660" w:right="160"/>
        <w:spacing w:after="0" w:line="255" w:lineRule="auto"/>
        <w:rPr>
          <w:sz w:val="20"/>
          <w:szCs w:val="20"/>
          <w:color w:val="auto"/>
        </w:rPr>
      </w:pPr>
      <w:r>
        <w:rPr>
          <w:rFonts w:ascii="Arial" w:cs="Arial" w:eastAsia="Arial" w:hAnsi="Arial"/>
          <w:sz w:val="18"/>
          <w:szCs w:val="18"/>
          <w:color w:val="auto"/>
        </w:rPr>
        <w:t>March 2019, the Compensation Committee approved the award of 6,648 PSP shares for Mr. Warzala (50% of annual salary), 1,714 shares for Mr. Leach (22.5% of annual salary) and 1,496 shares for Mr. Maida (22.5% of annual salary). The PSP awards are each in the form of restricted stock. For 2019, all shares granted under the PSP for 2019 were earned.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8" w:name="page19"/>
    <w:bookmarkEnd w:id="18"/>
    <w:p>
      <w:pPr>
        <w:ind w:left="660" w:right="60" w:firstLine="630"/>
        <w:spacing w:after="0" w:line="272" w:lineRule="auto"/>
        <w:tabs>
          <w:tab w:leader="none" w:pos="2239" w:val="left"/>
        </w:tabs>
        <w:numPr>
          <w:ilvl w:val="0"/>
          <w:numId w:val="12"/>
        </w:numPr>
        <w:rPr>
          <w:rFonts w:ascii="Arial" w:cs="Arial" w:eastAsia="Arial" w:hAnsi="Arial"/>
          <w:sz w:val="17"/>
          <w:szCs w:val="17"/>
          <w:color w:val="auto"/>
        </w:rPr>
      </w:pPr>
      <w:r>
        <w:rPr>
          <w:rFonts w:ascii="Arial" w:cs="Arial" w:eastAsia="Arial" w:hAnsi="Arial"/>
          <w:sz w:val="17"/>
          <w:szCs w:val="17"/>
          <w:color w:val="auto"/>
        </w:rPr>
        <w:t>LTIP. The LTIP is a multi-year pay-for-performance incentive program under which the Chief Executive Officer, Chief Financial Officer and Vice President of Operational Excellence will earn restricted stock awards based upon the achievement of an increase in sales during various annual or five-year performance periods. The LTIP was first implemented in 2013 and has been revised and extended as performance goals were achieved. The LTIP currently extends through December 31, 2022 and the sales target to be achieved to earn all restricted share awards available is $500 million (the “LTIP Sales Target”). The LTIP Sales Target can be achieved in two ways—organic sales growth and acquired sales (defined as the actual sales achieved by any company or business unit acquired by Allied Motion for the trailing twelve months immediately preceding the closing date of such acquisition).</w:t>
      </w:r>
    </w:p>
    <w:p>
      <w:pPr>
        <w:spacing w:after="0" w:line="177" w:lineRule="exact"/>
        <w:rPr>
          <w:sz w:val="20"/>
          <w:szCs w:val="20"/>
          <w:color w:val="auto"/>
        </w:rPr>
      </w:pPr>
    </w:p>
    <w:p>
      <w:pPr>
        <w:ind w:left="660" w:right="60" w:firstLine="648"/>
        <w:spacing w:after="0" w:line="269" w:lineRule="auto"/>
        <w:rPr>
          <w:sz w:val="20"/>
          <w:szCs w:val="20"/>
          <w:color w:val="auto"/>
        </w:rPr>
      </w:pPr>
      <w:r>
        <w:rPr>
          <w:rFonts w:ascii="Arial" w:cs="Arial" w:eastAsia="Arial" w:hAnsi="Arial"/>
          <w:sz w:val="17"/>
          <w:szCs w:val="17"/>
          <w:color w:val="auto"/>
        </w:rPr>
        <w:t>Under the current terms of the LTIP, for each $30 million increase in sales up to the LTIP Sales Target, each executive earns restricted stock awards equal to a percentage of his annual salary at the beginning of the performance period as follows: 100% for Mr. Warzala, 25% for Mr. Leach and 25% for Mr. Maida. The LTIP performance criteria for organic sales growth is measured after the end of each year of the performance period and the number of shares that can be earned with respect to a performance period is calculated based on the Company stock price (average of bid and ask) as measured at the beginning of the applicable performance period. The restricted stock awards that are earned based on actual organic sales growth vest over a three-year period. The measurement of performance criteria for acquired sales is done as of the closing date for an acquisition during a performance period and the number of shares of restricted stock earned will be calculated based on the Company stock price (average of bid and ask) as measured at the beginning of the applicable performance period. Restricted stock award shares that are earned under the LTIP that are based on acquired sales will vest annually (1/5 each year) over the following five years. When calculating the increase in sales, the Company will make appropriate adjustments to account for any acquired sales for which an LTIP award has previously been made. If the recipient’s employment with the Company is terminated due to cause or voluntary resignation, any unvested LTIP shares will be forfeited.</w:t>
      </w:r>
    </w:p>
    <w:p>
      <w:pPr>
        <w:spacing w:after="0" w:line="179" w:lineRule="exact"/>
        <w:rPr>
          <w:sz w:val="20"/>
          <w:szCs w:val="20"/>
          <w:color w:val="auto"/>
        </w:rPr>
      </w:pPr>
    </w:p>
    <w:p>
      <w:pPr>
        <w:ind w:left="660" w:right="20" w:firstLine="648"/>
        <w:spacing w:after="0" w:line="263" w:lineRule="auto"/>
        <w:rPr>
          <w:sz w:val="20"/>
          <w:szCs w:val="20"/>
          <w:color w:val="auto"/>
        </w:rPr>
      </w:pPr>
      <w:r>
        <w:rPr>
          <w:rFonts w:ascii="Arial" w:cs="Arial" w:eastAsia="Arial" w:hAnsi="Arial"/>
          <w:sz w:val="18"/>
          <w:szCs w:val="18"/>
          <w:color w:val="auto"/>
        </w:rPr>
        <w:t>For 2019, shares were earned under the organic growth criteria of the LTIP. As of December 31, 2019, approximately $371.1 million of the cumulative LTIP Sales Target has been achieved. The following table shows the status of the LTIP awards and remaining award potential as of the end of the 2019 performance period:</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tcBorders>
              <w:bottom w:val="single" w:sz="8" w:color="auto"/>
            </w:tcBorders>
            <w:gridSpan w:val="5"/>
          </w:tcPr>
          <w:p>
            <w:pPr>
              <w:jc w:val="center"/>
              <w:ind w:left="890"/>
              <w:spacing w:after="0"/>
              <w:rPr>
                <w:sz w:val="20"/>
                <w:szCs w:val="20"/>
                <w:color w:val="auto"/>
              </w:rPr>
            </w:pPr>
            <w:r>
              <w:rPr>
                <w:rFonts w:ascii="Arial" w:cs="Arial" w:eastAsia="Arial" w:hAnsi="Arial"/>
                <w:sz w:val="18"/>
                <w:szCs w:val="18"/>
                <w:b w:val="1"/>
                <w:bCs w:val="1"/>
                <w:color w:val="auto"/>
                <w:w w:val="92"/>
              </w:rPr>
              <w:t>Number of LTIP Shares</w:t>
            </w:r>
          </w:p>
        </w:tc>
        <w:tc>
          <w:tcPr>
            <w:tcW w:w="10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178"/>
        </w:trPr>
        <w:tc>
          <w:tcPr>
            <w:tcW w:w="5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LTIP Shares</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That Can Be</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Earned with</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Respect to</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Open</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Performance</w:t>
            </w:r>
          </w:p>
        </w:tc>
        <w:tc>
          <w:tcPr>
            <w:tcW w:w="0" w:type="dxa"/>
            <w:vAlign w:val="bottom"/>
          </w:tcPr>
          <w:p>
            <w:pPr>
              <w:spacing w:after="0"/>
              <w:rPr>
                <w:sz w:val="1"/>
                <w:szCs w:val="1"/>
                <w:color w:val="auto"/>
              </w:rPr>
            </w:pPr>
          </w:p>
        </w:tc>
      </w:tr>
      <w:tr>
        <w:trPr>
          <w:trHeight w:val="234"/>
        </w:trPr>
        <w:tc>
          <w:tcPr>
            <w:tcW w:w="5240" w:type="dxa"/>
            <w:vAlign w:val="bottom"/>
            <w:gridSpan w:val="2"/>
          </w:tcPr>
          <w:p>
            <w:pPr>
              <w:ind w:left="1460"/>
              <w:spacing w:after="0"/>
              <w:rPr>
                <w:sz w:val="20"/>
                <w:szCs w:val="20"/>
                <w:color w:val="auto"/>
              </w:rPr>
            </w:pPr>
            <w:r>
              <w:rPr>
                <w:rFonts w:ascii="Arial" w:cs="Arial" w:eastAsia="Arial" w:hAnsi="Arial"/>
                <w:sz w:val="18"/>
                <w:szCs w:val="18"/>
                <w:b w:val="1"/>
                <w:bCs w:val="1"/>
                <w:color w:val="auto"/>
              </w:rPr>
              <w:t>Name and Principal Position</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Awarded</w:t>
            </w:r>
          </w:p>
        </w:tc>
        <w:tc>
          <w:tcPr>
            <w:tcW w:w="15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4"/>
              </w:rPr>
              <w:t>Earned</w:t>
            </w: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Forfeited</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Periods</w:t>
            </w:r>
          </w:p>
        </w:tc>
        <w:tc>
          <w:tcPr>
            <w:tcW w:w="0" w:type="dxa"/>
            <w:vAlign w:val="bottom"/>
          </w:tcPr>
          <w:p>
            <w:pPr>
              <w:spacing w:after="0"/>
              <w:rPr>
                <w:sz w:val="1"/>
                <w:szCs w:val="1"/>
                <w:color w:val="auto"/>
              </w:rPr>
            </w:pPr>
          </w:p>
        </w:tc>
      </w:tr>
      <w:tr>
        <w:trPr>
          <w:trHeight w:val="195"/>
        </w:trPr>
        <w:tc>
          <w:tcPr>
            <w:tcW w:w="51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Richard S. Warzala</w:t>
            </w:r>
          </w:p>
        </w:tc>
        <w:tc>
          <w:tcPr>
            <w:tcW w:w="1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 and Chief Executive Officer</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357,821</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353,562</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98,405</w:t>
            </w:r>
          </w:p>
        </w:tc>
        <w:tc>
          <w:tcPr>
            <w:tcW w:w="0" w:type="dxa"/>
            <w:vAlign w:val="bottom"/>
          </w:tcPr>
          <w:p>
            <w:pPr>
              <w:spacing w:after="0"/>
              <w:rPr>
                <w:sz w:val="1"/>
                <w:szCs w:val="1"/>
                <w:color w:val="auto"/>
              </w:rPr>
            </w:pPr>
          </w:p>
        </w:tc>
      </w:tr>
      <w:tr>
        <w:trPr>
          <w:trHeight w:val="202"/>
        </w:trPr>
        <w:tc>
          <w:tcPr>
            <w:tcW w:w="5240" w:type="dxa"/>
            <w:vAlign w:val="bottom"/>
            <w:gridSpan w:val="2"/>
          </w:tcPr>
          <w:p>
            <w:pPr>
              <w:spacing w:after="0" w:line="201" w:lineRule="exact"/>
              <w:rPr>
                <w:sz w:val="20"/>
                <w:szCs w:val="20"/>
                <w:color w:val="auto"/>
              </w:rPr>
            </w:pPr>
            <w:r>
              <w:rPr>
                <w:rFonts w:ascii="Arial" w:cs="Arial" w:eastAsia="Arial" w:hAnsi="Arial"/>
                <w:sz w:val="18"/>
                <w:szCs w:val="18"/>
                <w:color w:val="auto"/>
              </w:rPr>
              <w:t>Michael R. Leach</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9,988</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9,988</w:t>
            </w:r>
          </w:p>
        </w:tc>
        <w:tc>
          <w:tcPr>
            <w:tcW w:w="18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13,524</w:t>
            </w:r>
          </w:p>
        </w:tc>
        <w:tc>
          <w:tcPr>
            <w:tcW w:w="0" w:type="dxa"/>
            <w:vAlign w:val="bottom"/>
          </w:tcPr>
          <w:p>
            <w:pPr>
              <w:spacing w:after="0"/>
              <w:rPr>
                <w:sz w:val="1"/>
                <w:szCs w:val="1"/>
                <w:color w:val="auto"/>
              </w:rPr>
            </w:pPr>
          </w:p>
        </w:tc>
      </w:tr>
      <w:tr>
        <w:trPr>
          <w:trHeight w:val="202"/>
        </w:trPr>
        <w:tc>
          <w:tcPr>
            <w:tcW w:w="5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Robert P. Maida</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Vice President of Operational Excellence</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38,454</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36,601</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and Other Benefits</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Company provides Named Executive Officers with perquisites and other benefits that the Company and the Compensation Committee believe are reasonable and consistent with its overall compensation program. The Compensation Committee periodically reviews the levels of perquisites and other benefits provided to executive officers. Mr. Warzala is provided with exclusive use of a company automobile, an annual physical and $500,000 of life insurance plus a $10,000 annual payment to be used to purchase additional life insurance for which he may designate the beneficiaries.</w:t>
      </w:r>
    </w:p>
    <w:p>
      <w:pPr>
        <w:spacing w:after="0" w:line="15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generally provides employees with medical, life and disability insurance benefits. All employees in the United States are eligible to participate in the Company’s 401(k) Plan to which employees are able to contribute the lesser of up to 60% of their annual salary or the limit prescribed by the Internal Revenue Service. The Company generally matches 100% of the first 3% plus 50% of the next 2% of eligible compensation that is contributed to the Plan. All employee deferral contributions are fully vested upon contribution. Company matching contributions are fully vested after completion of one year of service with the Company. All employees in the United States who are not part of collective bargaining agreements are also participants in the Employee Stock Ownership Plan. Contributions to the Plan are based on a percentage of the Company’s income, as determined and defined by the board of directors, and are made in newly issued shares of the Company’s common stock.</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Deductibility of Compensation</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Section 162(m) of the Internal Revenue Code imposes limitations on the deductibility for corporate federal income tax purposes of remuneration in excess of $1 million paid to the chief executive officer, chief financial officer and each of the three next most highly compensated executive officers of a public company. Prior to the Tax Cuts and Jobs Act that was signed into law on December 22, 2017, compensation that satisfied conditions set forth under Section 162(m) to qualify as “performance-based compensation” was not subject to the limitation, and the limitation did not apply to compensation paid to the Chief Financial Officer. The Tax Cuts and Jobs Act eliminated the performance-based compensation exception beginning January 1, 2018. A transition rule applies to performance-based remuneration provided pursuant to a written binding contract that was in effect on November 2, 2017 provided that such contract is not materially modified after that date.</w:t>
      </w:r>
    </w:p>
    <w:p>
      <w:pPr>
        <w:spacing w:after="0" w:line="177"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Company monitors the application of Section 162(m) and the associated Treasury regulations on an ongoing basis and the advisability of qualifying executive compensation for deductibility. Notwithstanding the repeal of the exemption for “performance-based compensation,” the Compensation Committee intends to maintain its commitment to structuring the Company’s executive compensation programs in a manner designed to align pay with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Recoupment of Compensation Due to Misconduct</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February 2019, the Company’s Board adopted a Clawback Policy. All equity and non-equity incentive plan compensation granted by the Company in 2019 and thereafter is subject to this Clawback Policy. The policy provides that if an accounting restatement is required due to the Company’s material non-compliance with any accounting requirements, then all of the Company’s executive officers, regardless of whether they were at fault or not in the circumstances leading to the restatement, will be subject to forfeiting any excess in the incentive compensation they earned over the prior three years over what they would have earned if there had not been a material non-compliance in the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and Pledging Policy.</w:t>
      </w:r>
    </w:p>
    <w:p>
      <w:pPr>
        <w:spacing w:after="0" w:line="225"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The Board of Directors has adopted a policy that prohibits Company directors, officers and certain designated employees from (i) engaging in any hedging or monetization transactions involving Company securities or from purchasing or selling any put or call option contract or similar instrument with respect to Company securities and (ii) pledging Company securities as collateral for a loan or holding such shares in a margin account.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 of Most Recent Say on Pay Vote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At the annual meeting of shareholders on May 1, 2019, 98.4% of the shares voted were voted in support of the compensation of our Named Executive Officers, as discussed and disclosed in the 2019 proxy statement. Notwithstanding the strong support for our compensation practices as evidenced by such vote, to further align the interests of shareholders and management, the Company retained the Burke Group to examine its compensation program for its named executive officers for 2019. The changes described above were made to provide market compensation to Named Executive Officers and further align the interests of management and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in 2019</w:t>
      </w:r>
    </w:p>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Under the Company’s director compensation program, each non-employee director receives an annual cash retainer of $51,000, paid quarterly. The chairperson of the Audit Committee receives an additional $15,000 annual cash retainer and other members of the Audit Committee receive an additional annual cash retainer in the amount of $8,000. The chairperson of the Compensation Committee and the Corporate Governance and Nominating Committee each receive an additional $12,000 annual cash retainer and other members of those committees will receive an additional annual cash retainer in the amount of $6,000. The Lead Director receives an additional $10,300 annual cash retainer. All cash retainers are payable ratably on a quarterly basis. Additionally, each non-employee director is reimbursed for his or her expenses in connection with attendance at each meeting.</w:t>
      </w:r>
    </w:p>
    <w:p>
      <w:pPr>
        <w:spacing w:after="0" w:line="16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Non-employee directors also receive an annual award of restricted stock under the 2017 Omnibus Incentive Plan. The annual award consists of shares of the Company’s common stock with a value of $55,000 as of the date of grant. The Lead Director receives an additional award of restricted stock with a value of $20,600 as of the date of grant. Directors who are appointed to the Board outside of the annual meeting of shareholders receive a pro rata amount of the annual award. These restricted shares will vest over a twelve-month period upon the performance of future service as a director, subject to certain exceptions.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8460" w:type="dxa"/>
            <w:vAlign w:val="bottom"/>
            <w:gridSpan w:val="5"/>
          </w:tcPr>
          <w:p>
            <w:pPr>
              <w:ind w:left="660"/>
              <w:spacing w:after="0"/>
              <w:rPr>
                <w:sz w:val="20"/>
                <w:szCs w:val="20"/>
                <w:color w:val="auto"/>
              </w:rPr>
            </w:pPr>
            <w:r>
              <w:rPr>
                <w:rFonts w:ascii="Arial" w:cs="Arial" w:eastAsia="Arial" w:hAnsi="Arial"/>
                <w:sz w:val="18"/>
                <w:szCs w:val="18"/>
                <w:color w:val="auto"/>
                <w:w w:val="91"/>
              </w:rPr>
              <w:t>The following table shows the compensation paid by the Company to each non-employee director for 2019</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Fees Earned</w:t>
            </w:r>
          </w:p>
        </w:tc>
        <w:tc>
          <w:tcPr>
            <w:tcW w:w="200" w:type="dxa"/>
            <w:vAlign w:val="bottom"/>
          </w:tcPr>
          <w:p>
            <w:pPr>
              <w:spacing w:after="0"/>
              <w:rPr>
                <w:sz w:val="24"/>
                <w:szCs w:val="24"/>
                <w:color w:val="auto"/>
              </w:rPr>
            </w:pP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320"/>
              <w:spacing w:after="0" w:line="181" w:lineRule="exact"/>
              <w:rPr>
                <w:sz w:val="20"/>
                <w:szCs w:val="20"/>
                <w:color w:val="auto"/>
              </w:rPr>
            </w:pPr>
            <w:r>
              <w:rPr>
                <w:rFonts w:ascii="Arial" w:cs="Arial" w:eastAsia="Arial" w:hAnsi="Arial"/>
                <w:sz w:val="18"/>
                <w:szCs w:val="18"/>
                <w:b w:val="1"/>
                <w:bCs w:val="1"/>
                <w:color w:val="auto"/>
                <w:w w:val="91"/>
              </w:rPr>
              <w:t>or Paid</w:t>
            </w:r>
          </w:p>
        </w:tc>
        <w:tc>
          <w:tcPr>
            <w:tcW w:w="2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 Cash</w:t>
            </w:r>
          </w:p>
        </w:tc>
        <w:tc>
          <w:tcPr>
            <w:tcW w:w="2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Awards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0"/>
        </w:trPr>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Current Directors</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w:t>
            </w:r>
          </w:p>
        </w:tc>
        <w:tc>
          <w:tcPr>
            <w:tcW w:w="2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50"/>
              <w:spacing w:after="0" w:line="270"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29"/>
                <w:szCs w:val="29"/>
                <w:b w:val="1"/>
                <w:bCs w:val="1"/>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Linda P. Duch</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Robert B. Engel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33,002</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33,002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Richard D. Federico</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73,125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81,736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154,861</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Gerald J. (Bud) Laber</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62,113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59,466</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121,579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48,675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59,466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108,141</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James J. Tanous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66,658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59,466</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126,124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Michael R. Winter</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68,188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59,466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127,654</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Former Director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8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Timothy T. Tevens </w:t>
            </w:r>
            <w:r>
              <w:rPr>
                <w:rFonts w:ascii="Arial" w:cs="Arial" w:eastAsia="Arial" w:hAnsi="Arial"/>
                <w:sz w:val="29"/>
                <w:szCs w:val="29"/>
                <w:color w:val="auto"/>
                <w:vertAlign w:val="superscript"/>
              </w:rPr>
              <w:t>(2)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31,158</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0"/>
          <w:szCs w:val="20"/>
          <w:color w:val="auto"/>
        </w:rPr>
      </w:pPr>
    </w:p>
    <w:p>
      <w:pPr>
        <w:ind w:left="980" w:right="36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total grant date fair value of stock awards on the date of the award as reported on the Nasdaq Global Market on the date of grant.</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Tevens did not stand for re-election at the Company’s annual meeting of shareholders held on May 1, 2019, and therefore ceased to be a director of the Company as of that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aggregate number of unvested stock awards outstanding for each non-employee director as of December 31, 2019 is shown below:</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Unvested</w:t>
            </w:r>
          </w:p>
        </w:tc>
      </w:tr>
      <w:tr>
        <w:trPr>
          <w:trHeight w:val="216"/>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Stock</w:t>
            </w:r>
          </w:p>
        </w:tc>
      </w:tr>
      <w:tr>
        <w:trPr>
          <w:trHeight w:val="216"/>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Awards</w:t>
            </w:r>
          </w:p>
        </w:tc>
      </w:tr>
      <w:tr>
        <w:trPr>
          <w:trHeight w:val="234"/>
        </w:trPr>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80" w:type="dxa"/>
            <w:vAlign w:val="bottom"/>
          </w:tcPr>
          <w:p>
            <w:pPr>
              <w:spacing w:after="0"/>
              <w:rPr>
                <w:sz w:val="20"/>
                <w:szCs w:val="20"/>
                <w:color w:val="auto"/>
              </w:rPr>
            </w:pPr>
          </w:p>
        </w:tc>
      </w:tr>
      <w:tr>
        <w:trPr>
          <w:trHeight w:val="210"/>
        </w:trPr>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Linda P. Duch</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Robert B. Engel</w:t>
            </w:r>
          </w:p>
        </w:tc>
        <w:tc>
          <w:tcPr>
            <w:tcW w:w="980" w:type="dxa"/>
            <w:vAlign w:val="bottom"/>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Federico</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Gerald J. (Bud) Laber</w:t>
            </w:r>
          </w:p>
        </w:tc>
        <w:tc>
          <w:tcPr>
            <w:tcW w:w="980" w:type="dxa"/>
            <w:vAlign w:val="bottom"/>
          </w:tcPr>
          <w:p>
            <w:pPr>
              <w:jc w:val="right"/>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James J. Tanous</w:t>
            </w:r>
          </w:p>
        </w:tc>
        <w:tc>
          <w:tcPr>
            <w:tcW w:w="980" w:type="dxa"/>
            <w:vAlign w:val="bottom"/>
          </w:tcPr>
          <w:p>
            <w:pPr>
              <w:jc w:val="right"/>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Winter</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Employment Agreement</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has an employment agreement, as amended (the “Employment Agreement”) and a change of control letter agreement, as amended, (the “CIC Agreement”) with Mr. Warzala. The relevant provisions of these agreements are discussed below.</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Unless terminated earlier in accordance with its terms, the Employment Agreement will remain effective until January 2, 2021. The Employment Agreement can be extended for one-year terms by mutual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The Employment Agreement provides an annual base salary that may be reviewed annually for increase on a merit basis.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Mr. Warzala’s salary was increased to $575,000 effective March 1, 2020.</w:t>
      </w:r>
    </w:p>
    <w:p>
      <w:pPr>
        <w:spacing w:after="0" w:line="211"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i w:val="1"/>
          <w:iCs w:val="1"/>
          <w:color w:val="auto"/>
        </w:rPr>
        <w:t xml:space="preserve">Annual Incentive Bonus. </w:t>
      </w:r>
      <w:r>
        <w:rPr>
          <w:rFonts w:ascii="Arial" w:cs="Arial" w:eastAsia="Arial" w:hAnsi="Arial"/>
          <w:sz w:val="18"/>
          <w:szCs w:val="18"/>
          <w:color w:val="auto"/>
        </w:rPr>
        <w:t>Annual incentive bonuses are paid based on achieving performance criteria set annually by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Committee. The performance criteria will recognize the overall financial performance of the Company and the improvements made in financial results. Mr. Warzala participates in the Company’s annual incentive plan which is described above under the heading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Elements of Compensation–Annual Cash Incentive Plan</w:t>
      </w:r>
      <w:r>
        <w:rPr>
          <w:rFonts w:ascii="Arial" w:cs="Arial" w:eastAsia="Arial" w:hAnsi="Arial"/>
          <w:sz w:val="18"/>
          <w:szCs w:val="18"/>
          <w:color w:val="auto"/>
        </w:rPr>
        <w:t>.</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 xml:space="preserve">ROE Incentive Plan. </w:t>
      </w:r>
      <w:r>
        <w:rPr>
          <w:rFonts w:ascii="Arial" w:cs="Arial" w:eastAsia="Arial" w:hAnsi="Arial"/>
          <w:sz w:val="18"/>
          <w:szCs w:val="18"/>
          <w:color w:val="auto"/>
        </w:rPr>
        <w:t>Mr. Warzala receives a performance award under the Company’s ROE Incentive Plan. The performance award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achievement of a minimum return on equity determined each year by the Board of Directors (the “ROE Incentive Performance Target”). If the ROE Incentive Performance Target is achieved, an amount equal to 12.5% of the excess over the ROE Incentive Performance Target will be paid to Mr. Warzala as incentive compensation, provided that the performance award is capped at an amount that is equal to one times Mr. Warzala’s base compensation in any given year. The Company exceeded the ROE Incentive Performance Target in 2019 and incentive compensation of $542,000 was paid to Mr. Warzala with respect to the ROE Incentive Plan.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firstLine="648"/>
        <w:spacing w:after="0" w:line="272" w:lineRule="auto"/>
        <w:rPr>
          <w:sz w:val="20"/>
          <w:szCs w:val="20"/>
          <w:color w:val="auto"/>
        </w:rPr>
      </w:pPr>
      <w:r>
        <w:rPr>
          <w:rFonts w:ascii="Arial" w:cs="Arial" w:eastAsia="Arial" w:hAnsi="Arial"/>
          <w:sz w:val="17"/>
          <w:szCs w:val="17"/>
          <w:i w:val="1"/>
          <w:iCs w:val="1"/>
          <w:color w:val="auto"/>
        </w:rPr>
        <w:t xml:space="preserve">Equity Incentive Compensation. </w:t>
      </w:r>
      <w:r>
        <w:rPr>
          <w:rFonts w:ascii="Arial" w:cs="Arial" w:eastAsia="Arial" w:hAnsi="Arial"/>
          <w:sz w:val="17"/>
          <w:szCs w:val="17"/>
          <w:color w:val="auto"/>
        </w:rPr>
        <w:t>The Company utilizes stock based awards for short and long-term incentives. In making its determination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regarding the grant of stock based awards, the Board considers, among other things, the Employee’s responsibilities, efforts and performance in relation to the business plan and forecast, the relationship between the benefits of restricted stock and improving shareholder value, the development and performance of the Company’s products in the marketplace and an increase in the trading price per share of the Company’s common stock. The Board also considers customary business practices and short and long-term incentive plan benefits granted in comparison to such benefits provided to other executives in similar positions. A discussion of Mr. Warzala’s short and long-term equity incentive awards is set forth above under the heading </w:t>
      </w:r>
      <w:r>
        <w:rPr>
          <w:rFonts w:ascii="Arial" w:cs="Arial" w:eastAsia="Arial" w:hAnsi="Arial"/>
          <w:sz w:val="17"/>
          <w:szCs w:val="17"/>
          <w:i w:val="1"/>
          <w:iCs w:val="1"/>
          <w:color w:val="auto"/>
        </w:rPr>
        <w:t>Compensation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Analysis–Elements of Compensation–Equity Incentive Compensation</w:t>
      </w:r>
      <w:r>
        <w:rPr>
          <w:rFonts w:ascii="Arial" w:cs="Arial" w:eastAsia="Arial" w:hAnsi="Arial"/>
          <w:sz w:val="17"/>
          <w:szCs w:val="17"/>
          <w:color w:val="auto"/>
        </w:rPr>
        <w:t>.</w:t>
      </w:r>
    </w:p>
    <w:p>
      <w:pPr>
        <w:spacing w:after="0" w:line="17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Mr. Warzala participates in other benefits and perquisites as are generally provided by the Company to its employees.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the Company provides Mr. Warzala with an automobile, personal financial planning, an annual physical examination and with life insurance for which the executive may designate the beneficiaries.</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Retirement. </w:t>
      </w:r>
      <w:r>
        <w:rPr>
          <w:rFonts w:ascii="Arial" w:cs="Arial" w:eastAsia="Arial" w:hAnsi="Arial"/>
          <w:sz w:val="18"/>
          <w:szCs w:val="18"/>
          <w:color w:val="auto"/>
        </w:rPr>
        <w:t>If Mr. Warzala’s employment terminates as a result of his retirement on or after January 2, 2021, the Employment Agreement would</w:t>
      </w:r>
      <w:r>
        <w:rPr>
          <w:rFonts w:ascii="Arial" w:cs="Arial" w:eastAsia="Arial" w:hAnsi="Arial"/>
          <w:sz w:val="18"/>
          <w:szCs w:val="18"/>
          <w:i w:val="1"/>
          <w:iCs w:val="1"/>
          <w:color w:val="auto"/>
        </w:rPr>
        <w:t xml:space="preserve"> </w:t>
      </w:r>
      <w:r>
        <w:rPr>
          <w:rFonts w:ascii="Arial" w:cs="Arial" w:eastAsia="Arial" w:hAnsi="Arial"/>
          <w:sz w:val="18"/>
          <w:szCs w:val="18"/>
          <w:color w:val="auto"/>
        </w:rPr>
        <w:t>entitle him to:</w:t>
      </w:r>
    </w:p>
    <w:p>
      <w:pPr>
        <w:spacing w:after="0" w:line="170" w:lineRule="exact"/>
        <w:rPr>
          <w:sz w:val="20"/>
          <w:szCs w:val="20"/>
          <w:color w:val="auto"/>
        </w:rPr>
      </w:pPr>
    </w:p>
    <w:p>
      <w:pPr>
        <w:ind w:left="1300" w:right="38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cash payment equal to a prorated portion of the target bonus that he would have earned for the fiscal year in which the termination occurred had such termination not occurred; and</w:t>
      </w:r>
    </w:p>
    <w:p>
      <w:pPr>
        <w:spacing w:after="0" w:line="170" w:lineRule="exact"/>
        <w:rPr>
          <w:rFonts w:ascii="Arial" w:cs="Arial" w:eastAsia="Arial" w:hAnsi="Arial"/>
          <w:sz w:val="18"/>
          <w:szCs w:val="18"/>
          <w:color w:val="auto"/>
        </w:rPr>
      </w:pPr>
    </w:p>
    <w:p>
      <w:pPr>
        <w:ind w:left="1300" w:right="120" w:hanging="644"/>
        <w:spacing w:after="0" w:line="263"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immediate vesting of all of his outstanding equity grants and awards that vest on the basis of the passage of time only (“Time-Based Awards”) or STIP and LTIP awards that vest on the basis of performance criteria (“Performance-Based Awards”) that have been earned but are still subject to time-based vesting outstanding on the date of retirement.</w:t>
      </w:r>
    </w:p>
    <w:p>
      <w:pPr>
        <w:spacing w:after="0" w:line="18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i w:val="1"/>
          <w:iCs w:val="1"/>
          <w:color w:val="auto"/>
        </w:rPr>
        <w:t xml:space="preserve">Termination for Cause. </w:t>
      </w:r>
      <w:r>
        <w:rPr>
          <w:rFonts w:ascii="Arial" w:cs="Arial" w:eastAsia="Arial" w:hAnsi="Arial"/>
          <w:sz w:val="16"/>
          <w:szCs w:val="16"/>
          <w:color w:val="auto"/>
        </w:rPr>
        <w:t>Under the Employment Agreement, if Mr. Warzala is terminated for cause or due to his voluntary resignation (other than a</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for good reason), the Company would have no further obligation to pay any unearned compensation or to provide any future benefits to him.</w:t>
      </w:r>
    </w:p>
    <w:p>
      <w:pPr>
        <w:spacing w:after="0" w:line="12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Death. </w:t>
      </w:r>
      <w:r>
        <w:rPr>
          <w:rFonts w:ascii="Arial" w:cs="Arial" w:eastAsia="Arial" w:hAnsi="Arial"/>
          <w:sz w:val="18"/>
          <w:szCs w:val="18"/>
          <w:color w:val="auto"/>
        </w:rPr>
        <w:t>Upon death, salary continues to the end of the month containing the date of death and for three subsequent months. In addition, he will</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 cash payment equal to a prorated portion of the Annual Cash Incentive bonus that he would have earned for the fiscal year in which the death occurred; and immediate vesting of all of his outstanding Time Based Awards and Performance-Based Awards that have been earned but are still subject to time-based vesting, and prorated vesting of his unearned Performance-Based Awards.</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Disability. </w:t>
      </w:r>
      <w:r>
        <w:rPr>
          <w:rFonts w:ascii="Arial" w:cs="Arial" w:eastAsia="Arial" w:hAnsi="Arial"/>
          <w:sz w:val="17"/>
          <w:szCs w:val="17"/>
          <w:color w:val="auto"/>
        </w:rPr>
        <w:t>In the case of disability, salary is continued until the end of the term of the Employment Agreement, as adjusted for any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payable under any Company paid disability plan, or until long-term disability insurance becomes effective. Benefits are continued as generally provided by the Company to its employees in accordance with the Company’s disability plan. In addition, he will receive a cash payment equal to a prorated portion of the Annual Cash Incentive bonus that he would have earned for the fiscal year in which the disability occurred had such disability not occurred; and immediate vesting of all of his outstanding Time-Based Awards and Performance-Based Awards that have been earned but are still subject to time-based vesting, and prorated vesting of his unearned Performance-Based Awards.</w:t>
      </w:r>
    </w:p>
    <w:p>
      <w:pPr>
        <w:spacing w:after="0" w:line="17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 xml:space="preserve">Involuntary Termination Without Cause or for Good Reason. </w:t>
      </w:r>
      <w:r>
        <w:rPr>
          <w:rFonts w:ascii="Arial" w:cs="Arial" w:eastAsia="Arial" w:hAnsi="Arial"/>
          <w:sz w:val="18"/>
          <w:szCs w:val="18"/>
          <w:color w:val="auto"/>
        </w:rPr>
        <w:t>If Mr. Warzala is involuntarily terminated without cause or he terminates his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for good reason, the Employment Agreement entitles him to:</w:t>
      </w:r>
    </w:p>
    <w:p>
      <w:pPr>
        <w:spacing w:after="0" w:line="170"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amount equal to his then current base salary payable in cash over a 12-month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cash payment equal to 90% of Base Salary in lieu of an Annual Cash Incentive bonus for the year in which termination occurs;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coverage under the Company’s benefit plans for one year following termination; and</w:t>
      </w:r>
    </w:p>
    <w:p>
      <w:pPr>
        <w:spacing w:after="0" w:line="225"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immediate vesting of his Time-Based Awards and Performance-Based Awards that have been earned but are still subject to time-based vesting and, prorated vesting of his unearned Performance-Based Awards.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29"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i w:val="1"/>
          <w:iCs w:val="1"/>
          <w:color w:val="auto"/>
        </w:rPr>
        <w:t>The following Report of the Compensation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Compensation Committee of the Company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Submitted by: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COMPENSATION COMMITTEE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Richard D. Federico, Chair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Linda P. Duch</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Robert B. Engel</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Gerald J. Laber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Ratio Disclosure</w:t>
      </w:r>
    </w:p>
    <w:p>
      <w:pPr>
        <w:spacing w:after="0" w:line="229"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Allied Motion and its subsidiaries have approximately 1,700 employees worldwide, with approximately 54% in North America and 42% are located in Europe and the balance are located in China and the rest of the world. Our philosophy is to pay our employees competitively with similar positions in the applicable labor market. By doing so, we believe we maintain a high-quality, stable workforce.</w:t>
      </w:r>
    </w:p>
    <w:p>
      <w:pPr>
        <w:spacing w:after="0" w:line="18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Dodd-Frank Wall Street Reform and Consumer Protection Act and Securities and Exchange Commission (“SEC”) rules require us to provide the ratio of the annual total compensation of our Chief Executive Officer, to that of an employee whose annual compensation is at the median of all our employees.</w:t>
      </w:r>
    </w:p>
    <w:p>
      <w:pPr>
        <w:spacing w:after="0" w:line="18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median-compensated employee was originally identified in fiscal 2017. We identified the employee with compensation at the median of all employees by using taxable income for 2017, and applied this method consistently across our global employee population. We did not make any cost-of-living adjustments despite the large variety of labor markets in which our employees work nor did we use any statistical sampling to determine the median employee. In 2019, the prior year’s median employee terminated employment. Therefore, as allowed by the SEC, we identified an alternate median employee with comparable pay as the median employee for 2019.</w:t>
      </w:r>
    </w:p>
    <w:p>
      <w:pPr>
        <w:spacing w:after="0" w:line="188"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This median employee had a total compensation for 2019 of $39,358. Our Chief Executive Officers’ total 2019 compensation was $4,279,423 as reported in the summary compensation table. Based on this information, the ratio of the annual total compensation was 109:1.</w:t>
      </w:r>
    </w:p>
    <w:p>
      <w:pPr>
        <w:spacing w:after="0" w:line="146"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Different methodologies are used by various public companies to determine an estimate of their pay ratio. In addition, no two companies have identical employee populations and compensation programs differ by country even within the same company. The estimate ratio reported should not be used as a basis for comparison between companies.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presents information relating to total compensation of the Named Executive Officers for the fiscal years ended December 31, 2019, 2018 and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Non-Equity</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Incentive Plan</w:t>
            </w:r>
          </w:p>
        </w:tc>
        <w:tc>
          <w:tcPr>
            <w:tcW w:w="18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All Other</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1"/>
        </w:trPr>
        <w:tc>
          <w:tcPr>
            <w:tcW w:w="2460" w:type="dxa"/>
            <w:vAlign w:val="bottom"/>
          </w:tcPr>
          <w:p>
            <w:pPr>
              <w:spacing w:after="0"/>
              <w:rPr>
                <w:sz w:val="20"/>
                <w:szCs w:val="20"/>
                <w:color w:val="auto"/>
              </w:rPr>
            </w:pPr>
            <w:r>
              <w:rPr>
                <w:rFonts w:ascii="Arial" w:cs="Arial" w:eastAsia="Arial" w:hAnsi="Arial"/>
                <w:sz w:val="18"/>
                <w:szCs w:val="18"/>
                <w:b w:val="1"/>
                <w:bCs w:val="1"/>
                <w:color w:val="auto"/>
              </w:rPr>
              <w:t>Name and Principal Position</w:t>
            </w:r>
          </w:p>
        </w:tc>
        <w:tc>
          <w:tcPr>
            <w:tcW w:w="120" w:type="dxa"/>
            <w:vAlign w:val="bottom"/>
          </w:tcPr>
          <w:p>
            <w:pPr>
              <w:spacing w:after="0"/>
              <w:rPr>
                <w:sz w:val="23"/>
                <w:szCs w:val="23"/>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Year</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Salary</w:t>
            </w:r>
          </w:p>
        </w:tc>
        <w:tc>
          <w:tcPr>
            <w:tcW w:w="160" w:type="dxa"/>
            <w:vAlign w:val="bottom"/>
          </w:tcPr>
          <w:p>
            <w:pPr>
              <w:spacing w:after="0"/>
              <w:rPr>
                <w:sz w:val="23"/>
                <w:szCs w:val="23"/>
                <w:color w:val="auto"/>
              </w:rPr>
            </w:pPr>
          </w:p>
        </w:tc>
        <w:tc>
          <w:tcPr>
            <w:tcW w:w="1180" w:type="dxa"/>
            <w:vAlign w:val="bottom"/>
            <w:gridSpan w:val="2"/>
          </w:tcPr>
          <w:p>
            <w:pPr>
              <w:jc w:val="center"/>
              <w:ind w:right="260"/>
              <w:spacing w:after="0" w:line="271" w:lineRule="exact"/>
              <w:rPr>
                <w:sz w:val="20"/>
                <w:szCs w:val="20"/>
                <w:color w:val="auto"/>
              </w:rPr>
            </w:pPr>
            <w:r>
              <w:rPr>
                <w:rFonts w:ascii="Arial" w:cs="Arial" w:eastAsia="Arial" w:hAnsi="Arial"/>
                <w:sz w:val="18"/>
                <w:szCs w:val="18"/>
                <w:b w:val="1"/>
                <w:bCs w:val="1"/>
                <w:color w:val="auto"/>
                <w:w w:val="85"/>
              </w:rPr>
              <w:t>Awards</w:t>
            </w:r>
            <w:r>
              <w:rPr>
                <w:rFonts w:ascii="Arial" w:cs="Arial" w:eastAsia="Arial" w:hAnsi="Arial"/>
                <w:sz w:val="29"/>
                <w:szCs w:val="29"/>
                <w:b w:val="1"/>
                <w:bCs w:val="1"/>
                <w:color w:val="auto"/>
                <w:w w:val="85"/>
                <w:vertAlign w:val="superscript"/>
              </w:rPr>
              <w:t>(1)</w:t>
            </w:r>
          </w:p>
        </w:tc>
        <w:tc>
          <w:tcPr>
            <w:tcW w:w="1600" w:type="dxa"/>
            <w:vAlign w:val="bottom"/>
            <w:gridSpan w:val="4"/>
          </w:tcPr>
          <w:p>
            <w:pPr>
              <w:ind w:left="100"/>
              <w:spacing w:after="0" w:line="271" w:lineRule="exact"/>
              <w:rPr>
                <w:sz w:val="20"/>
                <w:szCs w:val="20"/>
                <w:color w:val="auto"/>
              </w:rPr>
            </w:pPr>
            <w:r>
              <w:rPr>
                <w:rFonts w:ascii="Arial" w:cs="Arial" w:eastAsia="Arial" w:hAnsi="Arial"/>
                <w:sz w:val="18"/>
                <w:szCs w:val="18"/>
                <w:b w:val="1"/>
                <w:bCs w:val="1"/>
                <w:color w:val="auto"/>
                <w:w w:val="99"/>
              </w:rPr>
              <w:t>Compensation</w:t>
            </w:r>
            <w:r>
              <w:rPr>
                <w:rFonts w:ascii="Arial" w:cs="Arial" w:eastAsia="Arial" w:hAnsi="Arial"/>
                <w:sz w:val="29"/>
                <w:szCs w:val="29"/>
                <w:b w:val="1"/>
                <w:bCs w:val="1"/>
                <w:color w:val="auto"/>
                <w:w w:val="99"/>
                <w:vertAlign w:val="superscript"/>
              </w:rPr>
              <w:t>(2)</w:t>
            </w:r>
          </w:p>
        </w:tc>
        <w:tc>
          <w:tcPr>
            <w:tcW w:w="1400" w:type="dxa"/>
            <w:vAlign w:val="bottom"/>
            <w:gridSpan w:val="3"/>
          </w:tcPr>
          <w:p>
            <w:pPr>
              <w:spacing w:after="0" w:line="271" w:lineRule="exact"/>
              <w:rPr>
                <w:sz w:val="20"/>
                <w:szCs w:val="20"/>
                <w:color w:val="auto"/>
              </w:rPr>
            </w:pPr>
            <w:r>
              <w:rPr>
                <w:rFonts w:ascii="Arial" w:cs="Arial" w:eastAsia="Arial" w:hAnsi="Arial"/>
                <w:sz w:val="18"/>
                <w:szCs w:val="18"/>
                <w:b w:val="1"/>
                <w:bCs w:val="1"/>
                <w:color w:val="auto"/>
                <w:w w:val="92"/>
              </w:rPr>
              <w:t>Compensation</w:t>
            </w:r>
            <w:r>
              <w:rPr>
                <w:rFonts w:ascii="Arial" w:cs="Arial" w:eastAsia="Arial" w:hAnsi="Arial"/>
                <w:sz w:val="29"/>
                <w:szCs w:val="29"/>
                <w:b w:val="1"/>
                <w:bCs w:val="1"/>
                <w:color w:val="auto"/>
                <w:w w:val="92"/>
                <w:vertAlign w:val="superscript"/>
              </w:rPr>
              <w:t>(3)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0"/>
        </w:trPr>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544,583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2,351,581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1,339,314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4,279,423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President and Chief Executive</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2018</w:t>
            </w:r>
          </w:p>
        </w:tc>
        <w:tc>
          <w:tcPr>
            <w:tcW w:w="4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514,167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514,184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1,317,603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43,750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2,389,704</w:t>
            </w:r>
          </w:p>
        </w:tc>
      </w:tr>
      <w:tr>
        <w:trPr>
          <w:trHeight w:val="216"/>
        </w:trPr>
        <w:tc>
          <w:tcPr>
            <w:tcW w:w="2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Officer</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2017</w:t>
            </w:r>
          </w:p>
        </w:tc>
        <w:tc>
          <w:tcPr>
            <w:tcW w:w="4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496,083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497,518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606,342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207,575</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1,807,519</w:t>
            </w:r>
          </w:p>
        </w:tc>
      </w:tr>
      <w:tr>
        <w:trPr>
          <w:trHeight w:val="216"/>
        </w:trPr>
        <w:tc>
          <w:tcPr>
            <w:tcW w:w="24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Michael R. Leach</w:t>
            </w:r>
          </w:p>
        </w:tc>
        <w:tc>
          <w:tcPr>
            <w:tcW w:w="13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2019</w:t>
            </w:r>
          </w:p>
        </w:tc>
        <w:tc>
          <w:tcPr>
            <w:tcW w:w="4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310,026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340,446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302,602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19,445</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972,518</w:t>
            </w:r>
          </w:p>
        </w:tc>
      </w:tr>
      <w:tr>
        <w:trPr>
          <w:trHeight w:val="216"/>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Chief Financial Officer</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2018</w:t>
            </w:r>
          </w:p>
        </w:tc>
        <w:tc>
          <w:tcPr>
            <w:tcW w:w="4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283,500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114,009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253,194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19,250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669,953</w:t>
            </w:r>
          </w:p>
        </w:tc>
      </w:tr>
      <w:tr>
        <w:trPr>
          <w:trHeight w:val="216"/>
        </w:trPr>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2017</w:t>
            </w:r>
          </w:p>
        </w:tc>
        <w:tc>
          <w:tcPr>
            <w:tcW w:w="4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274,667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110,419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81,535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18,977</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485,598</w:t>
            </w:r>
          </w:p>
        </w:tc>
      </w:tr>
      <w:tr>
        <w:trPr>
          <w:trHeight w:val="216"/>
        </w:trPr>
        <w:tc>
          <w:tcPr>
            <w:tcW w:w="24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Robert P. Maida</w:t>
            </w:r>
          </w:p>
        </w:tc>
        <w:tc>
          <w:tcPr>
            <w:tcW w:w="13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2019</w:t>
            </w:r>
          </w:p>
        </w:tc>
        <w:tc>
          <w:tcPr>
            <w:tcW w:w="4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312,294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263,535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19,445</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865,274</w:t>
            </w:r>
          </w:p>
        </w:tc>
      </w:tr>
      <w:tr>
        <w:trPr>
          <w:trHeight w:val="216"/>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Vice President of Operational</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2018</w:t>
            </w:r>
          </w:p>
        </w:tc>
        <w:tc>
          <w:tcPr>
            <w:tcW w:w="4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180,900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216,130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19,250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658,280</w:t>
            </w:r>
          </w:p>
        </w:tc>
      </w:tr>
      <w:tr>
        <w:trPr>
          <w:trHeight w:val="216"/>
        </w:trPr>
        <w:tc>
          <w:tcPr>
            <w:tcW w:w="2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Excellence</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2017</w:t>
            </w:r>
          </w:p>
        </w:tc>
        <w:tc>
          <w:tcPr>
            <w:tcW w:w="4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224,383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90,785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66,970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18,977</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7" w:lineRule="exact"/>
        <w:rPr>
          <w:sz w:val="20"/>
          <w:szCs w:val="20"/>
          <w:color w:val="auto"/>
        </w:rPr>
      </w:pPr>
    </w:p>
    <w:p>
      <w:pPr>
        <w:ind w:left="660" w:right="36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amounts in this column represent the total grant date fair value of stock awards on the date of the award as reported on the Nasdaq Global Market on the date of grant. The awards consist of restricted shares with performance and/or service based vesting conditions.</w:t>
      </w:r>
    </w:p>
    <w:p>
      <w:pPr>
        <w:spacing w:after="0" w:line="146" w:lineRule="exact"/>
        <w:rPr>
          <w:rFonts w:ascii="Arial" w:cs="Arial" w:eastAsia="Arial" w:hAnsi="Arial"/>
          <w:sz w:val="17"/>
          <w:szCs w:val="17"/>
          <w:color w:val="auto"/>
        </w:rPr>
      </w:pPr>
    </w:p>
    <w:p>
      <w:pPr>
        <w:ind w:left="660" w:right="120" w:hanging="652"/>
        <w:spacing w:after="0" w:line="25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amounts in this column represent the awards earned under the Company’s Annual Cash Incentive Plan for the applicable fiscal year. For Mr. Warzala, this column also includes awards earned under the Company ROE Incentive Plan. For 2018 the ROE incentive was reported as “Bonus” due to unique circumstances that year as the Company transitioned from a deferred compensation payment to currently paid incentive compensation. Such amount has been reclassified as non-equity incentive plan compensation to allow for better comparison across the reported years.</w:t>
      </w:r>
    </w:p>
    <w:p>
      <w:pPr>
        <w:spacing w:after="0" w:line="187" w:lineRule="exact"/>
        <w:rPr>
          <w:rFonts w:ascii="Arial" w:cs="Arial" w:eastAsia="Arial" w:hAnsi="Arial"/>
          <w:sz w:val="18"/>
          <w:szCs w:val="18"/>
          <w:color w:val="auto"/>
        </w:rPr>
      </w:pPr>
    </w:p>
    <w:p>
      <w:pPr>
        <w:ind w:left="660" w:right="120" w:hanging="652"/>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amounts in this column represent the Company’s contributions under its 401(k) Plan and Employee Stock Ownership Plan for the Named Executive Officer’s benefit. For Mr. Warzala, the amount also includes Company paid life insurance premiums of $24,500. This column excludes perquisites, which did not exceed $10,000 in the aggregate for each Named Executive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grants of plan-based awards to each of the Named Executive Officers during fiscal year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Possible</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Payouts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Under</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Non-Equity</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Incentive Plan</w:t>
            </w:r>
          </w:p>
        </w:tc>
        <w:tc>
          <w:tcPr>
            <w:tcW w:w="120" w:type="dxa"/>
            <w:vAlign w:val="bottom"/>
          </w:tcPr>
          <w:p>
            <w:pPr>
              <w:spacing w:after="0"/>
              <w:rPr>
                <w:sz w:val="18"/>
                <w:szCs w:val="18"/>
                <w:color w:val="auto"/>
              </w:rPr>
            </w:pPr>
          </w:p>
        </w:tc>
        <w:tc>
          <w:tcPr>
            <w:tcW w:w="29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Estimated Possible Payouts Under</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All 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Fair Value of</w:t>
            </w:r>
          </w:p>
        </w:tc>
      </w:t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Awards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Equity Incentive Plan Awards</w:t>
            </w:r>
          </w:p>
        </w:tc>
        <w:tc>
          <w:tcPr>
            <w:tcW w:w="2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Stock</w:t>
            </w:r>
          </w:p>
        </w:tc>
      </w:tr>
      <w:tr>
        <w:trPr>
          <w:trHeight w:val="237"/>
        </w:trPr>
        <w:tc>
          <w:tcPr>
            <w:tcW w:w="2500" w:type="dxa"/>
            <w:vAlign w:val="bottom"/>
          </w:tcPr>
          <w:p>
            <w:pPr>
              <w:ind w:left="102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Grant Date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Target($)</w:t>
            </w:r>
          </w:p>
        </w:tc>
        <w:tc>
          <w:tcPr>
            <w:tcW w:w="120" w:type="dxa"/>
            <w:vAlign w:val="bottom"/>
          </w:tcPr>
          <w:p>
            <w:pPr>
              <w:spacing w:after="0"/>
              <w:rPr>
                <w:sz w:val="20"/>
                <w:szCs w:val="20"/>
                <w:color w:val="auto"/>
              </w:rPr>
            </w:pPr>
          </w:p>
        </w:tc>
        <w:tc>
          <w:tcPr>
            <w:tcW w:w="1460" w:type="dxa"/>
            <w:vAlign w:val="bottom"/>
            <w:gridSpan w:val="2"/>
          </w:tcPr>
          <w:p>
            <w:pPr>
              <w:ind w:left="260"/>
              <w:spacing w:after="0"/>
              <w:rPr>
                <w:sz w:val="20"/>
                <w:szCs w:val="20"/>
                <w:color w:val="auto"/>
              </w:rPr>
            </w:pPr>
            <w:r>
              <w:rPr>
                <w:rFonts w:ascii="Arial" w:cs="Arial" w:eastAsia="Arial" w:hAnsi="Arial"/>
                <w:sz w:val="18"/>
                <w:szCs w:val="18"/>
                <w:b w:val="1"/>
                <w:bCs w:val="1"/>
                <w:color w:val="auto"/>
              </w:rPr>
              <w:t>Target(#)</w:t>
            </w:r>
          </w:p>
        </w:tc>
        <w:tc>
          <w:tcPr>
            <w:tcW w:w="1220" w:type="dxa"/>
            <w:vAlign w:val="bottom"/>
          </w:tcPr>
          <w:p>
            <w:pPr>
              <w:ind w:left="100"/>
              <w:spacing w:after="0"/>
              <w:rPr>
                <w:sz w:val="20"/>
                <w:szCs w:val="20"/>
                <w:color w:val="auto"/>
              </w:rPr>
            </w:pPr>
            <w:r>
              <w:rPr>
                <w:rFonts w:ascii="Arial" w:cs="Arial" w:eastAsia="Arial" w:hAnsi="Arial"/>
                <w:sz w:val="18"/>
                <w:szCs w:val="18"/>
                <w:b w:val="1"/>
                <w:bCs w:val="1"/>
                <w:color w:val="auto"/>
              </w:rPr>
              <w:t>Maximum(#)</w:t>
            </w:r>
          </w:p>
        </w:tc>
        <w:tc>
          <w:tcPr>
            <w:tcW w:w="2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Awards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60"/>
              <w:spacing w:after="0" w:line="236" w:lineRule="exact"/>
              <w:rPr>
                <w:sz w:val="20"/>
                <w:szCs w:val="20"/>
                <w:color w:val="auto"/>
              </w:rPr>
            </w:pPr>
            <w:r>
              <w:rPr>
                <w:rFonts w:ascii="Arial" w:cs="Arial" w:eastAsia="Arial" w:hAnsi="Arial"/>
                <w:sz w:val="17"/>
                <w:szCs w:val="17"/>
                <w:b w:val="1"/>
                <w:bCs w:val="1"/>
                <w:color w:val="auto"/>
              </w:rPr>
              <w:t xml:space="preserve">Awards </w:t>
            </w:r>
            <w:r>
              <w:rPr>
                <w:rFonts w:ascii="Arial" w:cs="Arial" w:eastAsia="Arial" w:hAnsi="Arial"/>
                <w:sz w:val="27"/>
                <w:szCs w:val="27"/>
                <w:b w:val="1"/>
                <w:bCs w:val="1"/>
                <w:color w:val="auto"/>
                <w:vertAlign w:val="superscript"/>
              </w:rPr>
              <w:t>(7)</w:t>
            </w:r>
          </w:p>
        </w:tc>
      </w:tr>
      <w:tr>
        <w:trPr>
          <w:trHeight w:val="209"/>
        </w:trPr>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2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Cash Incentive Plan </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03/12/19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408,437</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2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ROE Incentive Plan </w:t>
            </w:r>
            <w:r>
              <w:rPr>
                <w:rFonts w:ascii="Arial" w:cs="Arial" w:eastAsia="Arial" w:hAnsi="Arial"/>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03/12/19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542,000</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Time Based Awards </w:t>
            </w:r>
            <w:r>
              <w:rPr>
                <w:rFonts w:ascii="Arial" w:cs="Arial" w:eastAsia="Arial" w:hAnsi="Arial"/>
                <w:sz w:val="29"/>
                <w:szCs w:val="29"/>
                <w:color w:val="auto"/>
                <w:vertAlign w:val="superscript"/>
              </w:rPr>
              <w:t>(3)</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03/12/19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275,028</w:t>
            </w:r>
          </w:p>
        </w:tc>
      </w:tr>
      <w:tr>
        <w:trPr>
          <w:trHeight w:val="256"/>
        </w:trPr>
        <w:tc>
          <w:tcPr>
            <w:tcW w:w="2500" w:type="dxa"/>
            <w:vAlign w:val="bottom"/>
            <w:shd w:val="clear" w:color="auto" w:fill="CCEEFF"/>
          </w:tcPr>
          <w:p>
            <w:pPr>
              <w:spacing w:after="0" w:line="256" w:lineRule="exact"/>
              <w:rPr>
                <w:sz w:val="20"/>
                <w:szCs w:val="20"/>
                <w:color w:val="auto"/>
              </w:rPr>
            </w:pPr>
            <w:r>
              <w:rPr>
                <w:rFonts w:ascii="Arial" w:cs="Arial" w:eastAsia="Arial" w:hAnsi="Arial"/>
                <w:sz w:val="29"/>
                <w:szCs w:val="29"/>
                <w:color w:val="auto"/>
                <w:vertAlign w:val="subscript"/>
              </w:rPr>
              <w:t>PSP</w:t>
            </w:r>
            <w:r>
              <w:rPr>
                <w:rFonts w:ascii="Arial" w:cs="Arial" w:eastAsia="Arial" w:hAnsi="Arial"/>
                <w:sz w:val="13"/>
                <w:szCs w:val="13"/>
                <w:color w:val="auto"/>
              </w:rPr>
              <w:t xml:space="preserve"> (4)</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03/12/19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3,324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6,648</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275,028</w:t>
            </w:r>
          </w:p>
        </w:tc>
      </w:tr>
      <w:tr>
        <w:trPr>
          <w:trHeight w:val="256"/>
        </w:trPr>
        <w:tc>
          <w:tcPr>
            <w:tcW w:w="2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LTIP </w:t>
            </w:r>
            <w:r>
              <w:rPr>
                <w:rFonts w:ascii="Arial" w:cs="Arial" w:eastAsia="Arial" w:hAnsi="Arial"/>
                <w:sz w:val="29"/>
                <w:szCs w:val="29"/>
                <w:color w:val="auto"/>
                <w:vertAlign w:val="superscript"/>
              </w:rPr>
              <w:t>(5)</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02/15/19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551,773</w:t>
            </w:r>
          </w:p>
        </w:tc>
      </w:tr>
      <w:tr>
        <w:trPr>
          <w:trHeight w:val="256"/>
        </w:trPr>
        <w:tc>
          <w:tcPr>
            <w:tcW w:w="2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LTIP </w:t>
            </w:r>
            <w:r>
              <w:rPr>
                <w:rFonts w:ascii="Arial" w:cs="Arial" w:eastAsia="Arial" w:hAnsi="Arial"/>
                <w:sz w:val="29"/>
                <w:szCs w:val="29"/>
                <w:color w:val="auto"/>
                <w:vertAlign w:val="superscript"/>
              </w:rPr>
              <w:t>(6)</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02/15/19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1,249,752</w:t>
            </w:r>
          </w:p>
        </w:tc>
      </w:tr>
      <w:tr>
        <w:trPr>
          <w:trHeight w:val="205"/>
        </w:trPr>
        <w:tc>
          <w:tcPr>
            <w:tcW w:w="2500" w:type="dxa"/>
            <w:vAlign w:val="bottom"/>
          </w:tcPr>
          <w:p>
            <w:pPr>
              <w:spacing w:after="0" w:line="206" w:lineRule="exact"/>
              <w:rPr>
                <w:sz w:val="20"/>
                <w:szCs w:val="20"/>
                <w:color w:val="auto"/>
              </w:rPr>
            </w:pPr>
            <w:r>
              <w:rPr>
                <w:rFonts w:ascii="Arial" w:cs="Arial" w:eastAsia="Arial" w:hAnsi="Arial"/>
                <w:sz w:val="18"/>
                <w:szCs w:val="18"/>
                <w:color w:val="auto"/>
              </w:rPr>
              <w:t>Michael R. Leach</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2500" w:type="dxa"/>
            <w:vAlign w:val="bottom"/>
          </w:tcPr>
          <w:p>
            <w:pPr>
              <w:spacing w:after="0" w:line="256" w:lineRule="exact"/>
              <w:rPr>
                <w:sz w:val="20"/>
                <w:szCs w:val="20"/>
                <w:color w:val="auto"/>
              </w:rPr>
            </w:pPr>
            <w:r>
              <w:rPr>
                <w:rFonts w:ascii="Arial" w:cs="Arial" w:eastAsia="Arial" w:hAnsi="Arial"/>
                <w:sz w:val="18"/>
                <w:szCs w:val="18"/>
                <w:color w:val="auto"/>
              </w:rPr>
              <w:t xml:space="preserve">Cash Incentive Plan </w:t>
            </w:r>
            <w:r>
              <w:rPr>
                <w:rFonts w:ascii="Arial" w:cs="Arial" w:eastAsia="Arial" w:hAnsi="Arial"/>
                <w:sz w:val="29"/>
                <w:szCs w:val="29"/>
                <w:color w:val="auto"/>
                <w:vertAlign w:val="superscript"/>
              </w:rPr>
              <w:t>(1)</w:t>
            </w:r>
          </w:p>
        </w:tc>
        <w:tc>
          <w:tcPr>
            <w:tcW w:w="146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03/12/19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155,013</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2500" w:type="dxa"/>
            <w:vAlign w:val="bottom"/>
          </w:tcPr>
          <w:p>
            <w:pPr>
              <w:spacing w:after="0" w:line="256" w:lineRule="exact"/>
              <w:rPr>
                <w:sz w:val="20"/>
                <w:szCs w:val="20"/>
                <w:color w:val="auto"/>
              </w:rPr>
            </w:pPr>
            <w:r>
              <w:rPr>
                <w:rFonts w:ascii="Arial" w:cs="Arial" w:eastAsia="Arial" w:hAnsi="Arial"/>
                <w:sz w:val="18"/>
                <w:szCs w:val="18"/>
                <w:color w:val="auto"/>
              </w:rPr>
              <w:t xml:space="preserve">Time Based Awards </w:t>
            </w:r>
            <w:r>
              <w:rPr>
                <w:rFonts w:ascii="Arial" w:cs="Arial" w:eastAsia="Arial" w:hAnsi="Arial"/>
                <w:sz w:val="29"/>
                <w:szCs w:val="29"/>
                <w:color w:val="auto"/>
                <w:vertAlign w:val="superscript"/>
              </w:rPr>
              <w:t>(3)</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03/12/19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1,714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70,908</w:t>
            </w:r>
          </w:p>
        </w:tc>
      </w:tr>
      <w:tr>
        <w:trPr>
          <w:trHeight w:val="256"/>
        </w:trPr>
        <w:tc>
          <w:tcPr>
            <w:tcW w:w="2500" w:type="dxa"/>
            <w:vAlign w:val="bottom"/>
          </w:tcPr>
          <w:p>
            <w:pPr>
              <w:spacing w:after="0" w:line="256" w:lineRule="exact"/>
              <w:rPr>
                <w:sz w:val="20"/>
                <w:szCs w:val="20"/>
                <w:color w:val="auto"/>
              </w:rPr>
            </w:pPr>
            <w:r>
              <w:rPr>
                <w:rFonts w:ascii="Arial" w:cs="Arial" w:eastAsia="Arial" w:hAnsi="Arial"/>
                <w:sz w:val="18"/>
                <w:szCs w:val="18"/>
                <w:color w:val="auto"/>
              </w:rPr>
              <w:t xml:space="preserve">PSP </w:t>
            </w:r>
            <w:r>
              <w:rPr>
                <w:rFonts w:ascii="Arial" w:cs="Arial" w:eastAsia="Arial" w:hAnsi="Arial"/>
                <w:sz w:val="29"/>
                <w:szCs w:val="29"/>
                <w:color w:val="auto"/>
                <w:vertAlign w:val="superscript"/>
              </w:rPr>
              <w:t>(4)</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03/12/19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857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1,714</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70,908</w:t>
            </w:r>
          </w:p>
        </w:tc>
      </w:tr>
      <w:tr>
        <w:trPr>
          <w:trHeight w:val="256"/>
        </w:trPr>
        <w:tc>
          <w:tcPr>
            <w:tcW w:w="2500" w:type="dxa"/>
            <w:vAlign w:val="bottom"/>
          </w:tcPr>
          <w:p>
            <w:pPr>
              <w:spacing w:after="0" w:line="256" w:lineRule="exact"/>
              <w:rPr>
                <w:sz w:val="20"/>
                <w:szCs w:val="20"/>
                <w:color w:val="auto"/>
              </w:rPr>
            </w:pPr>
            <w:r>
              <w:rPr>
                <w:rFonts w:ascii="Arial" w:cs="Arial" w:eastAsia="Arial" w:hAnsi="Arial"/>
                <w:sz w:val="18"/>
                <w:szCs w:val="18"/>
                <w:color w:val="auto"/>
              </w:rPr>
              <w:t xml:space="preserve">LTIP </w:t>
            </w:r>
            <w:r>
              <w:rPr>
                <w:rFonts w:ascii="Arial" w:cs="Arial" w:eastAsia="Arial" w:hAnsi="Arial"/>
                <w:sz w:val="29"/>
                <w:szCs w:val="29"/>
                <w:color w:val="auto"/>
                <w:vertAlign w:val="superscript"/>
              </w:rPr>
              <w:t>(5)</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02/15/19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810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34,862</w:t>
            </w:r>
          </w:p>
        </w:tc>
      </w:tr>
      <w:tr>
        <w:trPr>
          <w:trHeight w:val="267"/>
        </w:trPr>
        <w:tc>
          <w:tcPr>
            <w:tcW w:w="2500" w:type="dxa"/>
            <w:vAlign w:val="bottom"/>
          </w:tcPr>
          <w:p>
            <w:pPr>
              <w:spacing w:after="0" w:line="267" w:lineRule="exact"/>
              <w:rPr>
                <w:sz w:val="20"/>
                <w:szCs w:val="20"/>
                <w:color w:val="auto"/>
              </w:rPr>
            </w:pPr>
            <w:r>
              <w:rPr>
                <w:rFonts w:ascii="Arial" w:cs="Arial" w:eastAsia="Arial" w:hAnsi="Arial"/>
                <w:sz w:val="18"/>
                <w:szCs w:val="18"/>
                <w:color w:val="auto"/>
              </w:rPr>
              <w:t xml:space="preserve">LTIP </w:t>
            </w:r>
            <w:r>
              <w:rPr>
                <w:rFonts w:ascii="Arial" w:cs="Arial" w:eastAsia="Arial" w:hAnsi="Arial"/>
                <w:sz w:val="29"/>
                <w:szCs w:val="29"/>
                <w:color w:val="auto"/>
                <w:vertAlign w:val="superscript"/>
              </w:rPr>
              <w:t>(6)</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02/15/19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3,805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163,767</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Robert P. Maida</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2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Cash Incentive Plan </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03/12/19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135,000</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2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Time Based Awards </w:t>
            </w:r>
            <w:r>
              <w:rPr>
                <w:rFonts w:ascii="Arial" w:cs="Arial" w:eastAsia="Arial" w:hAnsi="Arial"/>
                <w:sz w:val="29"/>
                <w:szCs w:val="29"/>
                <w:color w:val="auto"/>
                <w:vertAlign w:val="superscript"/>
              </w:rPr>
              <w:t>(3)</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03/12/19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61,890</w:t>
            </w:r>
          </w:p>
        </w:tc>
      </w:tr>
      <w:tr>
        <w:trPr>
          <w:trHeight w:val="256"/>
        </w:trPr>
        <w:tc>
          <w:tcPr>
            <w:tcW w:w="2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PSP </w:t>
            </w:r>
            <w:r>
              <w:rPr>
                <w:rFonts w:ascii="Arial" w:cs="Arial" w:eastAsia="Arial" w:hAnsi="Arial"/>
                <w:sz w:val="29"/>
                <w:szCs w:val="29"/>
                <w:color w:val="auto"/>
                <w:vertAlign w:val="superscript"/>
              </w:rPr>
              <w:t>(4)</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03/12/19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1,496</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61,890</w:t>
            </w:r>
          </w:p>
        </w:tc>
      </w:tr>
      <w:tr>
        <w:trPr>
          <w:trHeight w:val="257"/>
        </w:trPr>
        <w:tc>
          <w:tcPr>
            <w:tcW w:w="2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LTIP </w:t>
            </w:r>
            <w:r>
              <w:rPr>
                <w:rFonts w:ascii="Arial" w:cs="Arial" w:eastAsia="Arial" w:hAnsi="Arial"/>
                <w:sz w:val="29"/>
                <w:szCs w:val="29"/>
                <w:color w:val="auto"/>
                <w:vertAlign w:val="superscript"/>
              </w:rPr>
              <w:t>(5)</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02/15/19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58,534</w:t>
            </w:r>
          </w:p>
        </w:tc>
      </w:tr>
      <w:tr>
        <w:trPr>
          <w:trHeight w:val="256"/>
        </w:trPr>
        <w:tc>
          <w:tcPr>
            <w:tcW w:w="2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LTIP </w:t>
            </w:r>
            <w:r>
              <w:rPr>
                <w:rFonts w:ascii="Arial" w:cs="Arial" w:eastAsia="Arial" w:hAnsi="Arial"/>
                <w:sz w:val="29"/>
                <w:szCs w:val="29"/>
                <w:color w:val="auto"/>
                <w:vertAlign w:val="superscript"/>
              </w:rPr>
              <w:t>(6)</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02/15/19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129,981</w:t>
            </w:r>
          </w:p>
        </w:tc>
      </w:tr>
      <w:tr>
        <w:trPr>
          <w:trHeight w:val="655"/>
        </w:trPr>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990"/>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0" w:gutter="0" w:footer="0" w:header="0"/>
        </w:sectPr>
      </w:pPr>
    </w:p>
    <w:bookmarkStart w:id="24" w:name="page25"/>
    <w:bookmarkEnd w:id="24"/>
    <w:p>
      <w:pPr>
        <w:ind w:left="660" w:right="40" w:hanging="652"/>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17830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83080" cy="8255"/>
                    </a:xfrm>
                    <a:prstGeom prst="rect">
                      <a:avLst/>
                    </a:prstGeom>
                    <a:noFill/>
                  </pic:spPr>
                </pic:pic>
              </a:graphicData>
            </a:graphic>
          </wp:anchor>
        </w:drawing>
        <w:t>As further explained in Compensation Discussion and Analysis—Elements of Compensation—Annual Cash Incentive Plan, the executive officers were eligible for a possible cash incentive award for 2019 pursuant to the Plan based on corporate performance. The table reflects the possible target incentive awards based on corporate performance. The target incentive is a percentage of the actual salary earned for the year and was set as follows: Mr. Warzala (75%), Mr. Leach (50%) and Mr. Maida (50%). There is no maximum amount under the Plan. The actual amount earned by each Named Executive Officer in 2019 is reported under the Non-Equity Incentive Plan Compensation column in the Summary Compensation Table.</w:t>
      </w:r>
    </w:p>
    <w:p>
      <w:pPr>
        <w:spacing w:after="0" w:line="192" w:lineRule="exact"/>
        <w:rPr>
          <w:rFonts w:ascii="Arial" w:cs="Arial" w:eastAsia="Arial" w:hAnsi="Arial"/>
          <w:sz w:val="18"/>
          <w:szCs w:val="18"/>
          <w:color w:val="auto"/>
        </w:rPr>
      </w:pPr>
    </w:p>
    <w:p>
      <w:pPr>
        <w:ind w:left="660" w:hanging="652"/>
        <w:spacing w:after="0" w:line="279"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 further explained in Compensation Discussion and Analysis—Elements of Compensation—ROE Incentive Plan, Mr. Warzala was eligible for a possible cash incentive award for 2019 pursuant to the Plan based on the Company’s return on equity. The table reflects the maximum incentive award available, which is capped at an amount equal to Mr. Warzala’s base compensation for 2019. The actual amount earned by Mr. Warzala in 2019 is reported under the Non-Equity Incentive Plan Compensation column in the Summary Compensation Table.</w:t>
      </w:r>
    </w:p>
    <w:p>
      <w:pPr>
        <w:spacing w:after="0" w:line="171" w:lineRule="exact"/>
        <w:rPr>
          <w:rFonts w:ascii="Arial" w:cs="Arial" w:eastAsia="Arial" w:hAnsi="Arial"/>
          <w:sz w:val="17"/>
          <w:szCs w:val="17"/>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Time-Based Awards that will vest in three equal annual installments beginning in April 2020.</w:t>
      </w:r>
    </w:p>
    <w:p>
      <w:pPr>
        <w:spacing w:after="0" w:line="225" w:lineRule="exact"/>
        <w:rPr>
          <w:rFonts w:ascii="Arial" w:cs="Arial" w:eastAsia="Arial" w:hAnsi="Arial"/>
          <w:sz w:val="18"/>
          <w:szCs w:val="18"/>
          <w:color w:val="auto"/>
        </w:rPr>
      </w:pPr>
    </w:p>
    <w:p>
      <w:pPr>
        <w:ind w:left="660" w:right="20" w:hanging="652"/>
        <w:spacing w:after="0" w:line="279"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 further explained in Compensation Discussion and Analysis—Elements of Compensation—Equity Incentive Compensation—The Performance Share Plan above, the executive officers were eligible for restricted stock awards based on achievement of annual performance goals for 2019. For 2019, the performance goals were fully achieved and 100% of the share award was earned. The award vested one-third on April 1, 2020 with the remainder vesting one-third in each of 2021 and 2022, subject to continued employment.</w:t>
      </w:r>
    </w:p>
    <w:p>
      <w:pPr>
        <w:spacing w:after="0" w:line="171" w:lineRule="exact"/>
        <w:rPr>
          <w:rFonts w:ascii="Arial" w:cs="Arial" w:eastAsia="Arial" w:hAnsi="Arial"/>
          <w:sz w:val="17"/>
          <w:szCs w:val="17"/>
          <w:color w:val="auto"/>
        </w:rPr>
      </w:pPr>
    </w:p>
    <w:p>
      <w:pPr>
        <w:ind w:left="660" w:right="20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restricted stock awarded in connection with the Company’s Long-Term Incentive Plan for acquired sales in 2018. The awards vested one-fifth on February 15, 2020 and will vest one-fifth each on December 6, 2020, 2021, 2022 and 2023.</w:t>
      </w:r>
    </w:p>
    <w:p>
      <w:pPr>
        <w:spacing w:after="0" w:line="170"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restricted stock awarded in connection with the Company’s Long-Term Incentive Plan for organic sales growth in 2018. The awards will vest two-thirds on March 31, 2020 and one-third on March 31, 2021.</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total grant date fair value of stock awards on the date of the award. The fair values of these awards are based on the closing price of the Company’s common stock as reported on the Nasdaq Global Market on the date of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2019 Fiscal Year 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all outstanding equity awards held by the Named Executive Officers as of December 31,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ind w:left="940"/>
              <w:spacing w:after="0"/>
              <w:rPr>
                <w:sz w:val="20"/>
                <w:szCs w:val="20"/>
                <w:color w:val="auto"/>
              </w:rPr>
            </w:pPr>
            <w:r>
              <w:rPr>
                <w:rFonts w:ascii="Arial" w:cs="Arial" w:eastAsia="Arial" w:hAnsi="Arial"/>
                <w:sz w:val="18"/>
                <w:szCs w:val="18"/>
                <w:b w:val="1"/>
                <w:bCs w:val="1"/>
                <w:color w:val="auto"/>
              </w:rPr>
              <w:t>Stock Awards</w:t>
            </w: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1"/>
              </w:rPr>
              <w:t>Equity Incentive</w:t>
            </w:r>
          </w:p>
        </w:tc>
        <w:tc>
          <w:tcPr>
            <w:tcW w:w="140" w:type="dxa"/>
            <w:vAlign w:val="bottom"/>
          </w:tcPr>
          <w:p>
            <w:pPr>
              <w:spacing w:after="0"/>
              <w:rPr>
                <w:sz w:val="16"/>
                <w:szCs w:val="16"/>
                <w:color w:val="auto"/>
              </w:rPr>
            </w:pPr>
          </w:p>
        </w:tc>
        <w:tc>
          <w:tcPr>
            <w:tcW w:w="1660" w:type="dxa"/>
            <w:vAlign w:val="bottom"/>
          </w:tcPr>
          <w:p>
            <w:pPr>
              <w:jc w:val="center"/>
              <w:ind w:right="76"/>
              <w:spacing w:after="0" w:line="191" w:lineRule="exact"/>
              <w:rPr>
                <w:sz w:val="20"/>
                <w:szCs w:val="20"/>
                <w:color w:val="auto"/>
              </w:rPr>
            </w:pPr>
            <w:r>
              <w:rPr>
                <w:rFonts w:ascii="Arial" w:cs="Arial" w:eastAsia="Arial" w:hAnsi="Arial"/>
                <w:sz w:val="18"/>
                <w:szCs w:val="18"/>
                <w:b w:val="1"/>
                <w:bCs w:val="1"/>
                <w:color w:val="auto"/>
                <w:w w:val="92"/>
              </w:rPr>
              <w:t>Incentive Plan</w:t>
            </w:r>
          </w:p>
        </w:tc>
        <w:tc>
          <w:tcPr>
            <w:tcW w:w="100" w:type="dxa"/>
            <w:vAlign w:val="bottom"/>
          </w:tcPr>
          <w:p>
            <w:pPr>
              <w:spacing w:after="0"/>
              <w:rPr>
                <w:sz w:val="16"/>
                <w:szCs w:val="16"/>
                <w:color w:val="auto"/>
              </w:rPr>
            </w:pPr>
          </w:p>
        </w:tc>
      </w:tr>
      <w:tr>
        <w:trPr>
          <w:trHeight w:val="216"/>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Plan Awards:</w:t>
            </w:r>
          </w:p>
        </w:tc>
        <w:tc>
          <w:tcPr>
            <w:tcW w:w="14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Awards: Market</w:t>
            </w:r>
          </w:p>
        </w:tc>
      </w:tr>
      <w:tr>
        <w:trPr>
          <w:trHeight w:val="221"/>
        </w:trPr>
        <w:tc>
          <w:tcPr>
            <w:tcW w:w="4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Number of Shares</w:t>
            </w:r>
          </w:p>
        </w:tc>
        <w:tc>
          <w:tcPr>
            <w:tcW w:w="15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Market Value of</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Number of</w:t>
            </w:r>
          </w:p>
        </w:tc>
        <w:tc>
          <w:tcPr>
            <w:tcW w:w="140" w:type="dxa"/>
            <w:vAlign w:val="bottom"/>
          </w:tcPr>
          <w:p>
            <w:pPr>
              <w:spacing w:after="0"/>
              <w:rPr>
                <w:sz w:val="19"/>
                <w:szCs w:val="19"/>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 or Payout</w:t>
            </w:r>
          </w:p>
        </w:tc>
      </w:tr>
      <w:tr>
        <w:trPr>
          <w:trHeight w:val="216"/>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or Units of Stock</w:t>
            </w: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Shares or Units of</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Unearned Shares,</w:t>
            </w:r>
          </w:p>
        </w:tc>
        <w:tc>
          <w:tcPr>
            <w:tcW w:w="14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 of Unearned</w:t>
            </w:r>
          </w:p>
        </w:tc>
      </w:tr>
      <w:tr>
        <w:trPr>
          <w:trHeight w:val="216"/>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That Have Not</w:t>
            </w:r>
          </w:p>
        </w:tc>
        <w:tc>
          <w:tcPr>
            <w:tcW w:w="15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Stock That Have</w:t>
            </w: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Units or Other</w:t>
            </w:r>
          </w:p>
        </w:tc>
        <w:tc>
          <w:tcPr>
            <w:tcW w:w="14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Shares, Units or</w:t>
            </w:r>
          </w:p>
        </w:tc>
      </w:tr>
      <w:tr>
        <w:trPr>
          <w:trHeight w:val="216"/>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Vested</w:t>
            </w:r>
          </w:p>
        </w:tc>
        <w:tc>
          <w:tcPr>
            <w:tcW w:w="18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Not Vested</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Rights That Have</w:t>
            </w:r>
          </w:p>
        </w:tc>
        <w:tc>
          <w:tcPr>
            <w:tcW w:w="14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Other Rights That</w:t>
            </w:r>
          </w:p>
        </w:tc>
      </w:tr>
      <w:tr>
        <w:trPr>
          <w:trHeight w:val="270"/>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488"/>
              <w:spacing w:after="0" w:line="270"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b w:val="1"/>
                <w:bCs w:val="1"/>
                <w:color w:val="auto"/>
                <w:vertAlign w:val="superscript"/>
              </w:rPr>
              <w:t>(1)</w:t>
            </w:r>
          </w:p>
        </w:tc>
        <w:tc>
          <w:tcPr>
            <w:tcW w:w="200" w:type="dxa"/>
            <w:vAlign w:val="bottom"/>
          </w:tcPr>
          <w:p>
            <w:pPr>
              <w:spacing w:after="0"/>
              <w:rPr>
                <w:sz w:val="23"/>
                <w:szCs w:val="23"/>
                <w:color w:val="auto"/>
              </w:rPr>
            </w:pPr>
          </w:p>
        </w:tc>
        <w:tc>
          <w:tcPr>
            <w:tcW w:w="1620" w:type="dxa"/>
            <w:vAlign w:val="bottom"/>
            <w:gridSpan w:val="2"/>
          </w:tcPr>
          <w:p>
            <w:pPr>
              <w:ind w:left="40"/>
              <w:spacing w:after="0" w:line="270" w:lineRule="exact"/>
              <w:rPr>
                <w:sz w:val="20"/>
                <w:szCs w:val="20"/>
                <w:color w:val="auto"/>
              </w:rPr>
            </w:pPr>
            <w:r>
              <w:rPr>
                <w:rFonts w:ascii="Arial" w:cs="Arial" w:eastAsia="Arial" w:hAnsi="Arial"/>
                <w:sz w:val="18"/>
                <w:szCs w:val="18"/>
                <w:b w:val="1"/>
                <w:bCs w:val="1"/>
                <w:color w:val="auto"/>
              </w:rPr>
              <w:t>Not Vested (#)</w:t>
            </w:r>
            <w:r>
              <w:rPr>
                <w:rFonts w:ascii="Arial" w:cs="Arial" w:eastAsia="Arial" w:hAnsi="Arial"/>
                <w:sz w:val="29"/>
                <w:szCs w:val="29"/>
                <w:b w:val="1"/>
                <w:bCs w:val="1"/>
                <w:color w:val="auto"/>
                <w:vertAlign w:val="superscript"/>
              </w:rPr>
              <w:t>(2)</w:t>
            </w:r>
          </w:p>
        </w:tc>
        <w:tc>
          <w:tcPr>
            <w:tcW w:w="1900" w:type="dxa"/>
            <w:vAlign w:val="bottom"/>
            <w:gridSpan w:val="3"/>
          </w:tcPr>
          <w:p>
            <w:pPr>
              <w:ind w:left="20"/>
              <w:spacing w:after="0" w:line="270" w:lineRule="exact"/>
              <w:rPr>
                <w:sz w:val="20"/>
                <w:szCs w:val="20"/>
                <w:color w:val="auto"/>
              </w:rPr>
            </w:pPr>
            <w:r>
              <w:rPr>
                <w:rFonts w:ascii="Arial" w:cs="Arial" w:eastAsia="Arial" w:hAnsi="Arial"/>
                <w:sz w:val="18"/>
                <w:szCs w:val="18"/>
                <w:b w:val="1"/>
                <w:bCs w:val="1"/>
                <w:color w:val="auto"/>
                <w:w w:val="96"/>
              </w:rPr>
              <w:t xml:space="preserve">Have Not Vested </w:t>
            </w:r>
            <w:r>
              <w:rPr>
                <w:rFonts w:ascii="Arial" w:cs="Arial" w:eastAsia="Arial" w:hAnsi="Arial"/>
                <w:sz w:val="18"/>
                <w:szCs w:val="18"/>
                <w:b w:val="1"/>
                <w:bCs w:val="1"/>
                <w:u w:val="single" w:color="auto"/>
                <w:color w:val="auto"/>
                <w:w w:val="96"/>
              </w:rPr>
              <w:t>($</w:t>
            </w:r>
            <w:r>
              <w:rPr>
                <w:rFonts w:ascii="Arial" w:cs="Arial" w:eastAsia="Arial" w:hAnsi="Arial"/>
                <w:sz w:val="18"/>
                <w:szCs w:val="18"/>
                <w:b w:val="1"/>
                <w:bCs w:val="1"/>
                <w:color w:val="auto"/>
                <w:w w:val="96"/>
              </w:rPr>
              <w:t>)</w:t>
            </w:r>
            <w:r>
              <w:rPr>
                <w:rFonts w:ascii="Arial" w:cs="Arial" w:eastAsia="Arial" w:hAnsi="Arial"/>
                <w:sz w:val="29"/>
                <w:szCs w:val="29"/>
                <w:b w:val="1"/>
                <w:bCs w:val="1"/>
                <w:color w:val="auto"/>
                <w:w w:val="96"/>
                <w:vertAlign w:val="superscript"/>
              </w:rPr>
              <w:t>(1)</w:t>
            </w:r>
          </w:p>
        </w:tc>
      </w:tr>
      <w:tr>
        <w:trPr>
          <w:trHeight w:val="28"/>
        </w:trPr>
        <w:tc>
          <w:tcPr>
            <w:tcW w:w="4360" w:type="dxa"/>
            <w:vAlign w:val="bottom"/>
            <w:shd w:val="clear" w:color="auto" w:fill="000000"/>
          </w:tcPr>
          <w:p>
            <w:pPr>
              <w:spacing w:after="0" w:line="29" w:lineRule="exact"/>
              <w:rPr>
                <w:sz w:val="20"/>
                <w:szCs w:val="20"/>
                <w:color w:val="auto"/>
              </w:rPr>
            </w:pPr>
            <w:r>
              <w:rPr>
                <w:rFonts w:ascii="Arial" w:cs="Arial" w:eastAsia="Arial" w:hAnsi="Arial"/>
                <w:sz w:val="3"/>
                <w:szCs w:val="3"/>
                <w:color w:val="auto"/>
              </w:rPr>
              <w:t>Richard S. Warzala</w:t>
            </w:r>
          </w:p>
        </w:tc>
        <w:tc>
          <w:tcPr>
            <w:tcW w:w="100" w:type="dxa"/>
            <w:vAlign w:val="bottom"/>
            <w:shd w:val="clear" w:color="auto" w:fill="CCEEFF"/>
          </w:tcPr>
          <w:p>
            <w:pPr>
              <w:spacing w:after="0"/>
              <w:rPr>
                <w:sz w:val="2"/>
                <w:szCs w:val="2"/>
                <w:color w:val="auto"/>
              </w:rPr>
            </w:pPr>
          </w:p>
        </w:tc>
        <w:tc>
          <w:tcPr>
            <w:tcW w:w="1400" w:type="dxa"/>
            <w:vAlign w:val="bottom"/>
            <w:shd w:val="clear" w:color="auto" w:fill="000000"/>
          </w:tcPr>
          <w:p>
            <w:pPr>
              <w:jc w:val="right"/>
              <w:spacing w:after="0" w:line="29" w:lineRule="exact"/>
              <w:rPr>
                <w:sz w:val="20"/>
                <w:szCs w:val="20"/>
                <w:color w:val="auto"/>
              </w:rPr>
            </w:pPr>
            <w:r>
              <w:rPr>
                <w:rFonts w:ascii="Arial" w:cs="Arial" w:eastAsia="Arial" w:hAnsi="Arial"/>
                <w:sz w:val="3"/>
                <w:szCs w:val="3"/>
                <w:color w:val="auto"/>
              </w:rPr>
              <w:t>93,027</w:t>
            </w: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line="29" w:lineRule="exact"/>
              <w:rPr>
                <w:sz w:val="20"/>
                <w:szCs w:val="20"/>
                <w:color w:val="auto"/>
              </w:rPr>
            </w:pPr>
            <w:r>
              <w:rPr>
                <w:rFonts w:ascii="Arial" w:cs="Arial" w:eastAsia="Arial" w:hAnsi="Arial"/>
                <w:sz w:val="3"/>
                <w:szCs w:val="3"/>
                <w:color w:val="auto"/>
              </w:rPr>
              <w:t>$</w:t>
            </w:r>
          </w:p>
        </w:tc>
        <w:tc>
          <w:tcPr>
            <w:tcW w:w="1200" w:type="dxa"/>
            <w:vAlign w:val="bottom"/>
            <w:shd w:val="clear" w:color="auto" w:fill="000000"/>
          </w:tcPr>
          <w:p>
            <w:pPr>
              <w:jc w:val="right"/>
              <w:spacing w:after="0" w:line="29" w:lineRule="exact"/>
              <w:rPr>
                <w:sz w:val="20"/>
                <w:szCs w:val="20"/>
                <w:color w:val="auto"/>
              </w:rPr>
            </w:pPr>
            <w:r>
              <w:rPr>
                <w:rFonts w:ascii="Arial" w:cs="Arial" w:eastAsia="Arial" w:hAnsi="Arial"/>
                <w:sz w:val="3"/>
                <w:szCs w:val="3"/>
                <w:color w:val="auto"/>
              </w:rPr>
              <w:t>4,511,810</w:t>
            </w:r>
          </w:p>
        </w:tc>
        <w:tc>
          <w:tcPr>
            <w:tcW w:w="200" w:type="dxa"/>
            <w:vAlign w:val="bottom"/>
            <w:shd w:val="clear" w:color="auto" w:fill="CCEEFF"/>
          </w:tcPr>
          <w:p>
            <w:pPr>
              <w:spacing w:after="0"/>
              <w:rPr>
                <w:sz w:val="2"/>
                <w:szCs w:val="2"/>
                <w:color w:val="auto"/>
              </w:rPr>
            </w:pPr>
          </w:p>
        </w:tc>
        <w:tc>
          <w:tcPr>
            <w:tcW w:w="1420" w:type="dxa"/>
            <w:vAlign w:val="bottom"/>
            <w:shd w:val="clear" w:color="auto" w:fill="000000"/>
          </w:tcPr>
          <w:p>
            <w:pPr>
              <w:jc w:val="right"/>
              <w:spacing w:after="0" w:line="29" w:lineRule="exact"/>
              <w:rPr>
                <w:sz w:val="20"/>
                <w:szCs w:val="20"/>
                <w:color w:val="auto"/>
              </w:rPr>
            </w:pPr>
            <w:r>
              <w:rPr>
                <w:rFonts w:ascii="Arial" w:cs="Arial" w:eastAsia="Arial" w:hAnsi="Arial"/>
                <w:sz w:val="3"/>
                <w:szCs w:val="3"/>
                <w:color w:val="auto"/>
              </w:rPr>
              <w:t>6,648</w:t>
            </w: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ind w:left="20"/>
              <w:spacing w:after="0" w:line="29" w:lineRule="exact"/>
              <w:rPr>
                <w:sz w:val="20"/>
                <w:szCs w:val="20"/>
                <w:color w:val="auto"/>
              </w:rPr>
            </w:pPr>
            <w:r>
              <w:rPr>
                <w:rFonts w:ascii="Arial" w:cs="Arial" w:eastAsia="Arial" w:hAnsi="Arial"/>
                <w:sz w:val="3"/>
                <w:szCs w:val="3"/>
                <w:color w:val="auto"/>
              </w:rPr>
              <w:t>$</w:t>
            </w:r>
          </w:p>
        </w:tc>
        <w:tc>
          <w:tcPr>
            <w:tcW w:w="1660" w:type="dxa"/>
            <w:vAlign w:val="bottom"/>
            <w:shd w:val="clear" w:color="auto" w:fill="000000"/>
          </w:tcPr>
          <w:p>
            <w:pPr>
              <w:jc w:val="right"/>
              <w:spacing w:after="0" w:line="29" w:lineRule="exact"/>
              <w:rPr>
                <w:sz w:val="20"/>
                <w:szCs w:val="20"/>
                <w:color w:val="auto"/>
              </w:rPr>
            </w:pPr>
            <w:r>
              <w:rPr>
                <w:rFonts w:ascii="Arial" w:cs="Arial" w:eastAsia="Arial" w:hAnsi="Arial"/>
                <w:sz w:val="3"/>
                <w:szCs w:val="3"/>
                <w:color w:val="auto"/>
              </w:rPr>
              <w:t>322,428</w:t>
            </w:r>
          </w:p>
        </w:tc>
        <w:tc>
          <w:tcPr>
            <w:tcW w:w="100" w:type="dxa"/>
            <w:vAlign w:val="bottom"/>
            <w:shd w:val="clear" w:color="auto" w:fill="CCEEFF"/>
          </w:tcPr>
          <w:p>
            <w:pPr>
              <w:spacing w:after="0"/>
              <w:rPr>
                <w:sz w:val="2"/>
                <w:szCs w:val="2"/>
                <w:color w:val="auto"/>
              </w:rPr>
            </w:pPr>
          </w:p>
        </w:tc>
      </w:tr>
      <w:tr>
        <w:trPr>
          <w:trHeight w:val="195"/>
        </w:trPr>
        <w:tc>
          <w:tcPr>
            <w:tcW w:w="4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
        </w:trPr>
        <w:tc>
          <w:tcPr>
            <w:tcW w:w="4460" w:type="dxa"/>
            <w:vAlign w:val="bottom"/>
            <w:gridSpan w:val="2"/>
          </w:tcPr>
          <w:p>
            <w:pPr>
              <w:spacing w:after="0" w:line="21" w:lineRule="exact"/>
              <w:rPr>
                <w:sz w:val="20"/>
                <w:szCs w:val="20"/>
                <w:color w:val="auto"/>
              </w:rPr>
            </w:pPr>
            <w:r>
              <w:rPr>
                <w:rFonts w:ascii="Arial" w:cs="Arial" w:eastAsia="Arial" w:hAnsi="Arial"/>
                <w:sz w:val="2"/>
                <w:szCs w:val="2"/>
                <w:color w:val="auto"/>
              </w:rPr>
              <w:t>Michael R. Leach</w:t>
            </w:r>
          </w:p>
        </w:tc>
        <w:tc>
          <w:tcPr>
            <w:tcW w:w="1680" w:type="dxa"/>
            <w:vAlign w:val="bottom"/>
            <w:gridSpan w:val="2"/>
          </w:tcPr>
          <w:p>
            <w:pPr>
              <w:jc w:val="right"/>
              <w:ind w:right="280"/>
              <w:spacing w:after="0" w:line="21" w:lineRule="exact"/>
              <w:rPr>
                <w:sz w:val="20"/>
                <w:szCs w:val="20"/>
                <w:color w:val="auto"/>
              </w:rPr>
            </w:pPr>
            <w:r>
              <w:rPr>
                <w:rFonts w:ascii="Arial" w:cs="Arial" w:eastAsia="Arial" w:hAnsi="Arial"/>
                <w:sz w:val="2"/>
                <w:szCs w:val="2"/>
                <w:color w:val="auto"/>
              </w:rPr>
              <w:t>13,834</w:t>
            </w:r>
          </w:p>
        </w:tc>
        <w:tc>
          <w:tcPr>
            <w:tcW w:w="180" w:type="dxa"/>
            <w:vAlign w:val="bottom"/>
          </w:tcPr>
          <w:p>
            <w:pPr>
              <w:spacing w:after="0" w:line="21" w:lineRule="exact"/>
              <w:rPr>
                <w:sz w:val="20"/>
                <w:szCs w:val="20"/>
                <w:color w:val="auto"/>
              </w:rPr>
            </w:pPr>
            <w:r>
              <w:rPr>
                <w:rFonts w:ascii="Arial" w:cs="Arial" w:eastAsia="Arial" w:hAnsi="Arial"/>
                <w:sz w:val="2"/>
                <w:szCs w:val="2"/>
                <w:color w:val="auto"/>
              </w:rPr>
              <w:t>$</w:t>
            </w:r>
          </w:p>
        </w:tc>
        <w:tc>
          <w:tcPr>
            <w:tcW w:w="1400" w:type="dxa"/>
            <w:vAlign w:val="bottom"/>
            <w:gridSpan w:val="2"/>
          </w:tcPr>
          <w:p>
            <w:pPr>
              <w:jc w:val="right"/>
              <w:ind w:right="200"/>
              <w:spacing w:after="0" w:line="21" w:lineRule="exact"/>
              <w:rPr>
                <w:sz w:val="20"/>
                <w:szCs w:val="20"/>
                <w:color w:val="auto"/>
              </w:rPr>
            </w:pPr>
            <w:r>
              <w:rPr>
                <w:rFonts w:ascii="Arial" w:cs="Arial" w:eastAsia="Arial" w:hAnsi="Arial"/>
                <w:sz w:val="2"/>
                <w:szCs w:val="2"/>
                <w:color w:val="auto"/>
              </w:rPr>
              <w:t>670,949</w:t>
            </w:r>
          </w:p>
        </w:tc>
        <w:tc>
          <w:tcPr>
            <w:tcW w:w="1620" w:type="dxa"/>
            <w:vAlign w:val="bottom"/>
            <w:gridSpan w:val="2"/>
          </w:tcPr>
          <w:p>
            <w:pPr>
              <w:jc w:val="right"/>
              <w:ind w:right="200"/>
              <w:spacing w:after="0" w:line="21" w:lineRule="exact"/>
              <w:rPr>
                <w:sz w:val="20"/>
                <w:szCs w:val="20"/>
                <w:color w:val="auto"/>
              </w:rPr>
            </w:pPr>
            <w:r>
              <w:rPr>
                <w:rFonts w:ascii="Arial" w:cs="Arial" w:eastAsia="Arial" w:hAnsi="Arial"/>
                <w:sz w:val="2"/>
                <w:szCs w:val="2"/>
                <w:color w:val="auto"/>
              </w:rPr>
              <w:t>1,714</w:t>
            </w:r>
          </w:p>
        </w:tc>
        <w:tc>
          <w:tcPr>
            <w:tcW w:w="140" w:type="dxa"/>
            <w:vAlign w:val="bottom"/>
          </w:tcPr>
          <w:p>
            <w:pPr>
              <w:ind w:left="20"/>
              <w:spacing w:after="0" w:line="21" w:lineRule="exact"/>
              <w:rPr>
                <w:sz w:val="20"/>
                <w:szCs w:val="20"/>
                <w:color w:val="auto"/>
              </w:rPr>
            </w:pPr>
            <w:r>
              <w:rPr>
                <w:rFonts w:ascii="Arial" w:cs="Arial" w:eastAsia="Arial" w:hAnsi="Arial"/>
                <w:sz w:val="2"/>
                <w:szCs w:val="2"/>
                <w:color w:val="auto"/>
              </w:rPr>
              <w:t>$</w:t>
            </w:r>
          </w:p>
        </w:tc>
        <w:tc>
          <w:tcPr>
            <w:tcW w:w="1760" w:type="dxa"/>
            <w:vAlign w:val="bottom"/>
            <w:gridSpan w:val="2"/>
          </w:tcPr>
          <w:p>
            <w:pPr>
              <w:jc w:val="right"/>
              <w:ind w:right="100"/>
              <w:spacing w:after="0" w:line="21" w:lineRule="exact"/>
              <w:rPr>
                <w:sz w:val="20"/>
                <w:szCs w:val="20"/>
                <w:color w:val="auto"/>
              </w:rPr>
            </w:pPr>
            <w:r>
              <w:rPr>
                <w:rFonts w:ascii="Arial" w:cs="Arial" w:eastAsia="Arial" w:hAnsi="Arial"/>
                <w:sz w:val="2"/>
                <w:szCs w:val="2"/>
                <w:color w:val="auto"/>
              </w:rPr>
              <w:t>83,129</w:t>
            </w:r>
          </w:p>
        </w:tc>
      </w:tr>
      <w:tr>
        <w:trPr>
          <w:trHeight w:val="195"/>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5"/>
                <w:szCs w:val="15"/>
                <w:color w:val="auto"/>
              </w:rPr>
              <w:t>(4)</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
        </w:trPr>
        <w:tc>
          <w:tcPr>
            <w:tcW w:w="4460" w:type="dxa"/>
            <w:vAlign w:val="bottom"/>
            <w:gridSpan w:val="2"/>
            <w:shd w:val="clear" w:color="auto" w:fill="CCEEFF"/>
          </w:tcPr>
          <w:p>
            <w:pPr>
              <w:spacing w:after="0" w:line="21" w:lineRule="exact"/>
              <w:rPr>
                <w:sz w:val="20"/>
                <w:szCs w:val="20"/>
                <w:color w:val="auto"/>
              </w:rPr>
            </w:pPr>
            <w:r>
              <w:rPr>
                <w:rFonts w:ascii="Arial" w:cs="Arial" w:eastAsia="Arial" w:hAnsi="Arial"/>
                <w:sz w:val="2"/>
                <w:szCs w:val="2"/>
                <w:color w:val="auto"/>
              </w:rPr>
              <w:t>Robert P. Maida</w:t>
            </w:r>
          </w:p>
        </w:tc>
        <w:tc>
          <w:tcPr>
            <w:tcW w:w="1680" w:type="dxa"/>
            <w:vAlign w:val="bottom"/>
            <w:gridSpan w:val="2"/>
            <w:shd w:val="clear" w:color="auto" w:fill="CCEEFF"/>
          </w:tcPr>
          <w:p>
            <w:pPr>
              <w:jc w:val="right"/>
              <w:ind w:right="280"/>
              <w:spacing w:after="0" w:line="21" w:lineRule="exact"/>
              <w:rPr>
                <w:sz w:val="20"/>
                <w:szCs w:val="20"/>
                <w:color w:val="auto"/>
              </w:rPr>
            </w:pPr>
            <w:r>
              <w:rPr>
                <w:rFonts w:ascii="Arial" w:cs="Arial" w:eastAsia="Arial" w:hAnsi="Arial"/>
                <w:sz w:val="2"/>
                <w:szCs w:val="2"/>
                <w:color w:val="auto"/>
              </w:rPr>
              <w:t>12,797</w:t>
            </w:r>
          </w:p>
        </w:tc>
        <w:tc>
          <w:tcPr>
            <w:tcW w:w="180" w:type="dxa"/>
            <w:vAlign w:val="bottom"/>
            <w:shd w:val="clear" w:color="auto" w:fill="CCEEFF"/>
          </w:tcPr>
          <w:p>
            <w:pPr>
              <w:spacing w:after="0" w:line="21" w:lineRule="exact"/>
              <w:rPr>
                <w:sz w:val="20"/>
                <w:szCs w:val="20"/>
                <w:color w:val="auto"/>
              </w:rPr>
            </w:pPr>
            <w:r>
              <w:rPr>
                <w:rFonts w:ascii="Arial" w:cs="Arial" w:eastAsia="Arial" w:hAnsi="Arial"/>
                <w:sz w:val="2"/>
                <w:szCs w:val="2"/>
                <w:color w:val="auto"/>
              </w:rPr>
              <w:t>$</w:t>
            </w:r>
          </w:p>
        </w:tc>
        <w:tc>
          <w:tcPr>
            <w:tcW w:w="1400" w:type="dxa"/>
            <w:vAlign w:val="bottom"/>
            <w:gridSpan w:val="2"/>
            <w:shd w:val="clear" w:color="auto" w:fill="CCEEFF"/>
          </w:tcPr>
          <w:p>
            <w:pPr>
              <w:jc w:val="right"/>
              <w:ind w:right="200"/>
              <w:spacing w:after="0" w:line="21" w:lineRule="exact"/>
              <w:rPr>
                <w:sz w:val="20"/>
                <w:szCs w:val="20"/>
                <w:color w:val="auto"/>
              </w:rPr>
            </w:pPr>
            <w:r>
              <w:rPr>
                <w:rFonts w:ascii="Arial" w:cs="Arial" w:eastAsia="Arial" w:hAnsi="Arial"/>
                <w:sz w:val="2"/>
                <w:szCs w:val="2"/>
                <w:color w:val="auto"/>
              </w:rPr>
              <w:t>620,655</w:t>
            </w:r>
          </w:p>
        </w:tc>
        <w:tc>
          <w:tcPr>
            <w:tcW w:w="1620" w:type="dxa"/>
            <w:vAlign w:val="bottom"/>
            <w:gridSpan w:val="2"/>
            <w:shd w:val="clear" w:color="auto" w:fill="CCEEFF"/>
          </w:tcPr>
          <w:p>
            <w:pPr>
              <w:jc w:val="right"/>
              <w:ind w:right="200"/>
              <w:spacing w:after="0" w:line="21" w:lineRule="exact"/>
              <w:rPr>
                <w:sz w:val="20"/>
                <w:szCs w:val="20"/>
                <w:color w:val="auto"/>
              </w:rPr>
            </w:pPr>
            <w:r>
              <w:rPr>
                <w:rFonts w:ascii="Arial" w:cs="Arial" w:eastAsia="Arial" w:hAnsi="Arial"/>
                <w:sz w:val="2"/>
                <w:szCs w:val="2"/>
                <w:color w:val="auto"/>
              </w:rPr>
              <w:t>1,496</w:t>
            </w:r>
          </w:p>
        </w:tc>
        <w:tc>
          <w:tcPr>
            <w:tcW w:w="140" w:type="dxa"/>
            <w:vAlign w:val="bottom"/>
            <w:shd w:val="clear" w:color="auto" w:fill="CCEEFF"/>
          </w:tcPr>
          <w:p>
            <w:pPr>
              <w:ind w:left="20"/>
              <w:spacing w:after="0" w:line="21" w:lineRule="exact"/>
              <w:rPr>
                <w:sz w:val="20"/>
                <w:szCs w:val="20"/>
                <w:color w:val="auto"/>
              </w:rPr>
            </w:pPr>
            <w:r>
              <w:rPr>
                <w:rFonts w:ascii="Arial" w:cs="Arial" w:eastAsia="Arial" w:hAnsi="Arial"/>
                <w:sz w:val="2"/>
                <w:szCs w:val="2"/>
                <w:color w:val="auto"/>
              </w:rPr>
              <w:t>$</w:t>
            </w:r>
          </w:p>
        </w:tc>
        <w:tc>
          <w:tcPr>
            <w:tcW w:w="1760" w:type="dxa"/>
            <w:vAlign w:val="bottom"/>
            <w:gridSpan w:val="2"/>
            <w:shd w:val="clear" w:color="auto" w:fill="CCEEFF"/>
          </w:tcPr>
          <w:p>
            <w:pPr>
              <w:jc w:val="right"/>
              <w:ind w:right="100"/>
              <w:spacing w:after="0" w:line="21" w:lineRule="exact"/>
              <w:rPr>
                <w:sz w:val="20"/>
                <w:szCs w:val="20"/>
                <w:color w:val="auto"/>
              </w:rPr>
            </w:pPr>
            <w:r>
              <w:rPr>
                <w:rFonts w:ascii="Arial" w:cs="Arial" w:eastAsia="Arial" w:hAnsi="Arial"/>
                <w:sz w:val="2"/>
                <w:szCs w:val="2"/>
                <w:color w:val="auto"/>
              </w:rPr>
              <w:t>72,556</w:t>
            </w:r>
          </w:p>
        </w:tc>
      </w:tr>
      <w:tr>
        <w:trPr>
          <w:trHeight w:val="201"/>
        </w:trPr>
        <w:tc>
          <w:tcPr>
            <w:tcW w:w="4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57"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Value is based on the closing price of the Company’s common stock of $48.50 on December 31, 2019, as reported on the Nasdaq Global Market.</w:t>
      </w:r>
    </w:p>
    <w:p>
      <w:pPr>
        <w:spacing w:after="0" w:line="248" w:lineRule="exact"/>
        <w:rPr>
          <w:rFonts w:ascii="Arial" w:cs="Arial" w:eastAsia="Arial" w:hAnsi="Arial"/>
          <w:sz w:val="16"/>
          <w:szCs w:val="16"/>
          <w:color w:val="auto"/>
        </w:rPr>
      </w:pPr>
    </w:p>
    <w:p>
      <w:pPr>
        <w:ind w:left="660" w:right="2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Comprised of shares of restricted stock granted in 2019 that are subject to future performance goals under the Company’s Performance Share Plan. These shares were earned based on achievement of performance goals for 2019 and the award vested one-third on April 1, 2020 with the remainder vesting one-third in each of 2021 and 2022, subject to continued employment.</w:t>
      </w:r>
    </w:p>
    <w:p>
      <w:pPr>
        <w:spacing w:after="0" w:line="183" w:lineRule="exact"/>
        <w:rPr>
          <w:rFonts w:ascii="Arial" w:cs="Arial" w:eastAsia="Arial" w:hAnsi="Arial"/>
          <w:sz w:val="18"/>
          <w:szCs w:val="18"/>
          <w:color w:val="auto"/>
        </w:rPr>
      </w:pPr>
    </w:p>
    <w:p>
      <w:pPr>
        <w:ind w:left="660" w:right="6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time-based awards, including performance-based awards that were previously earned but remain subject to time-based vesting. Of these shares, 47,812 shares vest in 2020; 28,885 shares vest in 2021; 9,273 shares vest in 2022, and 7,057 shares vest in 2023, in each case subject to continued employment.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5" w:name="page26"/>
    <w:bookmarkEnd w:id="25"/>
    <w:p>
      <w:pPr>
        <w:ind w:left="660" w:right="18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time-based awards, including performance-based awards that were previously earned but remain subject to time-based vesting. Of these shares, 7,167 shares vest in 2020; 4,277 shares vest in 2021; 1,480 shares vest in 2022, and 910 shares vest in 2023, in each case subject to continued employment.</w:t>
      </w:r>
    </w:p>
    <w:p>
      <w:pPr>
        <w:spacing w:after="0" w:line="183" w:lineRule="exact"/>
        <w:rPr>
          <w:rFonts w:ascii="Arial" w:cs="Arial" w:eastAsia="Arial" w:hAnsi="Arial"/>
          <w:sz w:val="18"/>
          <w:szCs w:val="18"/>
          <w:color w:val="auto"/>
        </w:rPr>
      </w:pPr>
    </w:p>
    <w:p>
      <w:pPr>
        <w:ind w:left="660" w:right="18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time-based awards, including performance-based awards that were previously earned but remain subject to time-based vesting. Of these shares, 6,559 shares vest in 2020; 4,275 shares vest in 2021; 1,231 shares vest in 2022, and 732 shares vest in 2023, in each case subject to continued employment.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2019</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provides information regarding restricted stock awards that vested during 2019 for each of the Named Officers. No options were owned or exercised by the Named Officers in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6"/>
          </w:tcPr>
          <w:p>
            <w:pPr>
              <w:ind w:left="820"/>
              <w:spacing w:after="0"/>
              <w:rPr>
                <w:sz w:val="20"/>
                <w:szCs w:val="20"/>
                <w:color w:val="auto"/>
              </w:rPr>
            </w:pPr>
            <w:r>
              <w:rPr>
                <w:rFonts w:ascii="Arial" w:cs="Arial" w:eastAsia="Arial" w:hAnsi="Arial"/>
                <w:sz w:val="18"/>
                <w:szCs w:val="18"/>
                <w:b w:val="1"/>
                <w:bCs w:val="1"/>
                <w:color w:val="auto"/>
              </w:rPr>
              <w:t>Stock Awards</w:t>
            </w:r>
          </w:p>
        </w:tc>
      </w:tr>
      <w:tr>
        <w:trPr>
          <w:trHeight w:val="191"/>
        </w:trPr>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top w:val="single" w:sz="8" w:color="auto"/>
            </w:tcBorders>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Acquired</w:t>
            </w:r>
          </w:p>
        </w:tc>
        <w:tc>
          <w:tcPr>
            <w:tcW w:w="10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Value Realized</w:t>
            </w: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on Vesting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on Vesting</w:t>
            </w:r>
          </w:p>
        </w:tc>
      </w:tr>
      <w:tr>
        <w:trPr>
          <w:trHeight w:val="234"/>
        </w:trPr>
        <w:tc>
          <w:tcPr>
            <w:tcW w:w="8440" w:type="dxa"/>
            <w:vAlign w:val="bottom"/>
            <w:gridSpan w:val="2"/>
          </w:tcPr>
          <w:p>
            <w:pPr>
              <w:ind w:left="3940"/>
              <w:spacing w:after="0"/>
              <w:rPr>
                <w:sz w:val="20"/>
                <w:szCs w:val="20"/>
                <w:color w:val="auto"/>
              </w:rPr>
            </w:pPr>
            <w:r>
              <w:rPr>
                <w:rFonts w:ascii="Arial" w:cs="Arial" w:eastAsia="Arial" w:hAnsi="Arial"/>
                <w:sz w:val="18"/>
                <w:szCs w:val="18"/>
                <w:b w:val="1"/>
                <w:bCs w:val="1"/>
                <w:color w:val="auto"/>
              </w:rPr>
              <w:t>Name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r>
      <w:tr>
        <w:trPr>
          <w:trHeight w:val="210"/>
        </w:trPr>
        <w:tc>
          <w:tcPr>
            <w:tcW w:w="8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849,616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Michael R. Leach</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4,139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152,423</w:t>
            </w: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 Maida</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142,435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Company has an employment agreement with Richard S. Warzala, President, Chief Executive Officer and Chairman of the Board. The terms of this agreement are described in detail under the caption “Compensation of Executive Officers – Chief Executive Officer Employment Agreement”.</w:t>
      </w:r>
    </w:p>
    <w:p>
      <w:pPr>
        <w:spacing w:after="0" w:line="124"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 xml:space="preserve">The following table shows potential payouts under the Mr. Warzala’s Employment Agreement assuming that employment was terminated in each situation listed in the table and that termination occurred on the last business day of 2018. Upon a change in control of the Company, the executive would be entitled to payments and benefits under the change in control agreement discussed below and such payments are not to be duplicated by any requirements of the Employment Agreement. Refer to </w:t>
      </w:r>
      <w:r>
        <w:rPr>
          <w:rFonts w:ascii="Arial" w:cs="Arial" w:eastAsia="Arial" w:hAnsi="Arial"/>
          <w:sz w:val="16"/>
          <w:szCs w:val="16"/>
          <w:i w:val="1"/>
          <w:iCs w:val="1"/>
          <w:color w:val="auto"/>
        </w:rPr>
        <w:t>Definitions</w:t>
      </w:r>
      <w:r>
        <w:rPr>
          <w:rFonts w:ascii="Arial" w:cs="Arial" w:eastAsia="Arial" w:hAnsi="Arial"/>
          <w:sz w:val="16"/>
          <w:szCs w:val="16"/>
          <w:color w:val="auto"/>
        </w:rPr>
        <w:t xml:space="preserve"> section following the change in control tables for descriptions of terms used.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Voluntary</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Resignation</w:t>
            </w:r>
          </w:p>
        </w:tc>
        <w:tc>
          <w:tcPr>
            <w:tcW w:w="10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Voluntary</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without</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Resignation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Good Reason</w:t>
            </w:r>
          </w:p>
        </w:tc>
        <w:tc>
          <w:tcPr>
            <w:tcW w:w="1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with</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or</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Good Reason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Involuntary</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Termination</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Involuntary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with</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Termination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Death or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0"/>
                <w:szCs w:val="20"/>
                <w:color w:val="auto"/>
              </w:rPr>
            </w:pPr>
            <w:r>
              <w:rPr>
                <w:rFonts w:ascii="Arial" w:cs="Arial" w:eastAsia="Arial" w:hAnsi="Arial"/>
                <w:sz w:val="18"/>
                <w:szCs w:val="18"/>
                <w:b w:val="1"/>
                <w:bCs w:val="1"/>
                <w:color w:val="auto"/>
              </w:rPr>
              <w:t>Benefits and Payments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ind w:left="140"/>
              <w:spacing w:after="0" w:line="270" w:lineRule="exact"/>
              <w:rPr>
                <w:sz w:val="20"/>
                <w:szCs w:val="20"/>
                <w:color w:val="auto"/>
              </w:rPr>
            </w:pPr>
            <w:r>
              <w:rPr>
                <w:rFonts w:ascii="Arial" w:cs="Arial" w:eastAsia="Arial" w:hAnsi="Arial"/>
                <w:sz w:val="18"/>
                <w:szCs w:val="18"/>
                <w:b w:val="1"/>
                <w:bCs w:val="1"/>
                <w:color w:val="auto"/>
              </w:rPr>
              <w:t>Cause</w:t>
            </w:r>
            <w:r>
              <w:rPr>
                <w:rFonts w:ascii="Arial" w:cs="Arial" w:eastAsia="Arial" w:hAnsi="Arial"/>
                <w:sz w:val="29"/>
                <w:szCs w:val="29"/>
                <w:b w:val="1"/>
                <w:bCs w:val="1"/>
                <w:color w:val="auto"/>
                <w:vertAlign w:val="superscript"/>
              </w:rPr>
              <w:t>(1)</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Without Cause</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Disability</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Retirement</w:t>
            </w:r>
          </w:p>
        </w:tc>
        <w:tc>
          <w:tcPr>
            <w:tcW w:w="0" w:type="dxa"/>
            <w:vAlign w:val="bottom"/>
          </w:tcPr>
          <w:p>
            <w:pPr>
              <w:spacing w:after="0"/>
              <w:rPr>
                <w:sz w:val="1"/>
                <w:szCs w:val="1"/>
                <w:color w:val="auto"/>
              </w:rPr>
            </w:pPr>
          </w:p>
        </w:tc>
      </w:tr>
      <w:tr>
        <w:trPr>
          <w:trHeight w:val="210"/>
        </w:trPr>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Compensation:</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320" w:type="dxa"/>
            <w:vAlign w:val="bottom"/>
          </w:tcPr>
          <w:p>
            <w:pPr>
              <w:ind w:left="180"/>
              <w:spacing w:after="0"/>
              <w:rPr>
                <w:sz w:val="20"/>
                <w:szCs w:val="20"/>
                <w:color w:val="auto"/>
              </w:rPr>
            </w:pPr>
            <w:r>
              <w:rPr>
                <w:rFonts w:ascii="Arial" w:cs="Arial" w:eastAsia="Arial" w:hAnsi="Arial"/>
                <w:sz w:val="18"/>
                <w:szCs w:val="18"/>
                <w:color w:val="auto"/>
              </w:rPr>
              <w:t>Severance Pay</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line="256" w:lineRule="exact"/>
              <w:rPr>
                <w:sz w:val="20"/>
                <w:szCs w:val="20"/>
                <w:color w:val="auto"/>
              </w:rPr>
            </w:pPr>
            <w:r>
              <w:rPr>
                <w:rFonts w:ascii="Arial" w:cs="Arial" w:eastAsia="Arial" w:hAnsi="Arial"/>
                <w:sz w:val="18"/>
                <w:szCs w:val="18"/>
                <w:color w:val="auto"/>
              </w:rPr>
              <w:t xml:space="preserve">550,000 </w:t>
            </w:r>
            <w:r>
              <w:rPr>
                <w:rFonts w:ascii="Arial" w:cs="Arial" w:eastAsia="Arial" w:hAnsi="Arial"/>
                <w:sz w:val="29"/>
                <w:szCs w:val="29"/>
                <w:color w:val="auto"/>
                <w:vertAlign w:val="superscript"/>
              </w:rPr>
              <w:t>(2)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line="256" w:lineRule="exact"/>
              <w:rPr>
                <w:sz w:val="20"/>
                <w:szCs w:val="20"/>
                <w:color w:val="auto"/>
              </w:rPr>
            </w:pPr>
            <w:r>
              <w:rPr>
                <w:rFonts w:ascii="Arial" w:cs="Arial" w:eastAsia="Arial" w:hAnsi="Arial"/>
                <w:sz w:val="18"/>
                <w:szCs w:val="18"/>
                <w:color w:val="auto"/>
              </w:rPr>
              <w:t xml:space="preserve">137,500 </w:t>
            </w:r>
            <w:r>
              <w:rPr>
                <w:rFonts w:ascii="Arial" w:cs="Arial" w:eastAsia="Arial" w:hAnsi="Arial"/>
                <w:sz w:val="29"/>
                <w:szCs w:val="29"/>
                <w:color w:val="auto"/>
                <w:vertAlign w:val="superscript"/>
              </w:rPr>
              <w:t>(3)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Annual Cash Incentive Compensation</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line="256" w:lineRule="exact"/>
              <w:rPr>
                <w:sz w:val="20"/>
                <w:szCs w:val="20"/>
                <w:color w:val="auto"/>
              </w:rPr>
            </w:pPr>
            <w:r>
              <w:rPr>
                <w:rFonts w:ascii="Arial" w:cs="Arial" w:eastAsia="Arial" w:hAnsi="Arial"/>
                <w:sz w:val="18"/>
                <w:szCs w:val="18"/>
                <w:color w:val="auto"/>
              </w:rPr>
              <w:t xml:space="preserve">495,000 </w:t>
            </w:r>
            <w:r>
              <w:rPr>
                <w:rFonts w:ascii="Arial" w:cs="Arial" w:eastAsia="Arial" w:hAnsi="Arial"/>
                <w:sz w:val="29"/>
                <w:szCs w:val="29"/>
                <w:color w:val="auto"/>
                <w:vertAlign w:val="superscript"/>
              </w:rPr>
              <w:t>(4)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60"/>
              <w:spacing w:after="0" w:line="256" w:lineRule="exact"/>
              <w:rPr>
                <w:sz w:val="20"/>
                <w:szCs w:val="20"/>
                <w:color w:val="auto"/>
              </w:rPr>
            </w:pPr>
            <w:r>
              <w:rPr>
                <w:rFonts w:ascii="Arial" w:cs="Arial" w:eastAsia="Arial" w:hAnsi="Arial"/>
                <w:sz w:val="18"/>
                <w:szCs w:val="18"/>
                <w:color w:val="auto"/>
              </w:rPr>
              <w:t xml:space="preserve">412,500 </w:t>
            </w:r>
            <w:r>
              <w:rPr>
                <w:rFonts w:ascii="Arial" w:cs="Arial" w:eastAsia="Arial" w:hAnsi="Arial"/>
                <w:sz w:val="29"/>
                <w:szCs w:val="29"/>
                <w:color w:val="auto"/>
                <w:vertAlign w:val="superscript"/>
              </w:rPr>
              <w:t>(5)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00"/>
              <w:spacing w:after="0" w:line="256" w:lineRule="exact"/>
              <w:rPr>
                <w:sz w:val="20"/>
                <w:szCs w:val="20"/>
                <w:color w:val="auto"/>
              </w:rPr>
            </w:pPr>
            <w:r>
              <w:rPr>
                <w:rFonts w:ascii="Arial" w:cs="Arial" w:eastAsia="Arial" w:hAnsi="Arial"/>
                <w:sz w:val="18"/>
                <w:szCs w:val="18"/>
                <w:color w:val="auto"/>
              </w:rPr>
              <w:t xml:space="preserve">412,500 </w:t>
            </w:r>
            <w:r>
              <w:rPr>
                <w:rFonts w:ascii="Arial" w:cs="Arial" w:eastAsia="Arial" w:hAnsi="Arial"/>
                <w:sz w:val="29"/>
                <w:szCs w:val="29"/>
                <w:color w:val="auto"/>
                <w:vertAlign w:val="superscript"/>
              </w:rPr>
              <w:t>(5)</w:t>
            </w:r>
          </w:p>
        </w:tc>
        <w:tc>
          <w:tcPr>
            <w:tcW w:w="0" w:type="dxa"/>
            <w:vAlign w:val="bottom"/>
          </w:tcPr>
          <w:p>
            <w:pPr>
              <w:spacing w:after="0"/>
              <w:rPr>
                <w:sz w:val="1"/>
                <w:szCs w:val="1"/>
                <w:color w:val="auto"/>
              </w:rPr>
            </w:pPr>
          </w:p>
        </w:tc>
      </w:tr>
      <w:tr>
        <w:trPr>
          <w:trHeight w:val="256"/>
        </w:trPr>
        <w:tc>
          <w:tcPr>
            <w:tcW w:w="532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Return on Equity Cash Incentive Award </w:t>
            </w:r>
            <w:r>
              <w:rPr>
                <w:rFonts w:ascii="Arial" w:cs="Arial" w:eastAsia="Arial" w:hAnsi="Arial"/>
                <w:sz w:val="29"/>
                <w:szCs w:val="29"/>
                <w:color w:val="auto"/>
                <w:vertAlign w:val="superscript"/>
              </w:rPr>
              <w:t>(6)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542,000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542,000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542,000</w:t>
            </w: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Performance-Based Stock Awards </w:t>
            </w:r>
            <w:r>
              <w:rPr>
                <w:rFonts w:ascii="Arial" w:cs="Arial" w:eastAsia="Arial" w:hAnsi="Arial"/>
                <w:sz w:val="29"/>
                <w:szCs w:val="29"/>
                <w:color w:val="auto"/>
                <w:vertAlign w:val="superscript"/>
              </w:rPr>
              <w:t>(7)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957,363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957,363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32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Accelerated Vesting of Time-Based Equity Awards </w:t>
            </w:r>
            <w:r>
              <w:rPr>
                <w:rFonts w:ascii="Arial" w:cs="Arial" w:eastAsia="Arial" w:hAnsi="Arial"/>
                <w:sz w:val="29"/>
                <w:szCs w:val="29"/>
                <w:color w:val="auto"/>
                <w:vertAlign w:val="superscript"/>
              </w:rPr>
              <w:t>(8)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4,535,715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4,535,715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4,535,715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Benefits: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320" w:type="dxa"/>
            <w:vAlign w:val="bottom"/>
          </w:tcPr>
          <w:p>
            <w:pPr>
              <w:ind w:left="180"/>
              <w:spacing w:after="0"/>
              <w:rPr>
                <w:sz w:val="20"/>
                <w:szCs w:val="20"/>
                <w:color w:val="auto"/>
              </w:rPr>
            </w:pPr>
            <w:r>
              <w:rPr>
                <w:rFonts w:ascii="Arial" w:cs="Arial" w:eastAsia="Arial" w:hAnsi="Arial"/>
                <w:sz w:val="18"/>
                <w:szCs w:val="18"/>
                <w:color w:val="auto"/>
              </w:rPr>
              <w:t>Healthcare and other Insurance Benefits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100"/>
              <w:spacing w:after="0" w:line="256" w:lineRule="exact"/>
              <w:rPr>
                <w:sz w:val="20"/>
                <w:szCs w:val="20"/>
                <w:color w:val="auto"/>
              </w:rPr>
            </w:pPr>
            <w:r>
              <w:rPr>
                <w:rFonts w:ascii="Arial" w:cs="Arial" w:eastAsia="Arial" w:hAnsi="Arial"/>
                <w:sz w:val="18"/>
                <w:szCs w:val="18"/>
                <w:color w:val="auto"/>
              </w:rPr>
              <w:t xml:space="preserve">45,000 </w:t>
            </w:r>
            <w:r>
              <w:rPr>
                <w:rFonts w:ascii="Arial" w:cs="Arial" w:eastAsia="Arial" w:hAnsi="Arial"/>
                <w:sz w:val="29"/>
                <w:szCs w:val="29"/>
                <w:color w:val="auto"/>
                <w:vertAlign w:val="superscript"/>
              </w:rPr>
              <w:t>(9)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1020"/>
              <w:spacing w:after="0"/>
              <w:rPr>
                <w:sz w:val="20"/>
                <w:szCs w:val="20"/>
                <w:color w:val="auto"/>
              </w:rPr>
            </w:pPr>
            <w:r>
              <w:rPr>
                <w:rFonts w:ascii="Arial" w:cs="Arial" w:eastAsia="Arial" w:hAnsi="Arial"/>
                <w:sz w:val="17"/>
                <w:szCs w:val="17"/>
                <w:color w:val="auto"/>
                <w:w w:val="70"/>
              </w:rPr>
              <w:t>--</w:t>
            </w:r>
          </w:p>
        </w:tc>
        <w:tc>
          <w:tcPr>
            <w:tcW w:w="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7,125,079</w:t>
            </w:r>
          </w:p>
        </w:tc>
        <w:tc>
          <w:tcPr>
            <w:tcW w:w="1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6,585,079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5,490,215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0"/>
          <w:szCs w:val="20"/>
          <w:color w:val="auto"/>
        </w:rPr>
      </w:pPr>
    </w:p>
    <w:p>
      <w:pPr>
        <w:ind w:left="660" w:right="58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Termination due to resignation or involuntary termination with cause does not affect the Company’s obligation to make all payments to the executive which were fixed and determined prior to the effective Date of Termination.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12 months Base Salary payable in cash over a 12-month period.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ind w:left="660" w:right="140" w:hanging="652"/>
        <w:spacing w:after="0" w:line="31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Upon death, salary continues to the end of the month containing the date of death and for three months following. For disability, the Company shall continue the executive’s salary (adjusted for any compensation payable to him under any Company paid disability plan during such period) for the greater of (x) the remaining term of the Agreement or (y) until long term disability insurance coverage becomes effective.</w:t>
      </w:r>
    </w:p>
    <w:p>
      <w:pPr>
        <w:spacing w:after="0" w:line="148" w:lineRule="exact"/>
        <w:rPr>
          <w:rFonts w:ascii="Arial" w:cs="Arial" w:eastAsia="Arial" w:hAnsi="Arial"/>
          <w:sz w:val="16"/>
          <w:szCs w:val="16"/>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90% of Base Salary for the year in which the termination date occurs.</w:t>
      </w:r>
    </w:p>
    <w:p>
      <w:pPr>
        <w:spacing w:after="0" w:line="225" w:lineRule="exact"/>
        <w:rPr>
          <w:rFonts w:ascii="Arial" w:cs="Arial" w:eastAsia="Arial" w:hAnsi="Arial"/>
          <w:sz w:val="18"/>
          <w:szCs w:val="18"/>
          <w:color w:val="auto"/>
        </w:rPr>
      </w:pPr>
    </w:p>
    <w:p>
      <w:pPr>
        <w:ind w:left="660" w:right="30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pro rata portion (based on the number of days employed during the year in which employment is terminated) of the executive’s Annual Cash Incentive bonus for the year.</w:t>
      </w:r>
    </w:p>
    <w:p>
      <w:pPr>
        <w:spacing w:after="0" w:line="170" w:lineRule="exact"/>
        <w:rPr>
          <w:rFonts w:ascii="Arial" w:cs="Arial" w:eastAsia="Arial" w:hAnsi="Arial"/>
          <w:sz w:val="18"/>
          <w:szCs w:val="18"/>
          <w:color w:val="auto"/>
        </w:rPr>
      </w:pPr>
    </w:p>
    <w:p>
      <w:pPr>
        <w:ind w:left="660" w:right="30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pro rata portion (based on the number of days employed during the year in which employment is terminated) of the executive’s Return on Equity Cash Incentive award based on the return on equity performance criteria for the year.</w:t>
      </w:r>
    </w:p>
    <w:p>
      <w:pPr>
        <w:spacing w:after="0" w:line="170" w:lineRule="exact"/>
        <w:rPr>
          <w:rFonts w:ascii="Arial" w:cs="Arial" w:eastAsia="Arial" w:hAnsi="Arial"/>
          <w:sz w:val="18"/>
          <w:szCs w:val="18"/>
          <w:color w:val="auto"/>
        </w:rPr>
      </w:pPr>
    </w:p>
    <w:p>
      <w:pPr>
        <w:ind w:left="660" w:right="28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pro rata portion (based on the number of days employed during the applicable performance period during which employment is terminated or death occurs) of performance-based awards with respect to open performance periods.</w:t>
      </w:r>
    </w:p>
    <w:p>
      <w:pPr>
        <w:spacing w:after="0" w:line="170" w:lineRule="exact"/>
        <w:rPr>
          <w:rFonts w:ascii="Arial" w:cs="Arial" w:eastAsia="Arial" w:hAnsi="Arial"/>
          <w:sz w:val="18"/>
          <w:szCs w:val="18"/>
          <w:color w:val="auto"/>
        </w:rPr>
      </w:pPr>
    </w:p>
    <w:p>
      <w:pPr>
        <w:ind w:left="660" w:hanging="652"/>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acceleration of all time-based stock awards, including performance-based awards that were previously earned but remain subject to time-based vesting at the Date of Termination, based on our closing stock price of $48.50 per share as of December 31, 2019, plus accrued dividends.</w:t>
      </w:r>
    </w:p>
    <w:p>
      <w:pPr>
        <w:spacing w:after="0" w:line="183" w:lineRule="exact"/>
        <w:rPr>
          <w:rFonts w:ascii="Arial" w:cs="Arial" w:eastAsia="Arial" w:hAnsi="Arial"/>
          <w:sz w:val="18"/>
          <w:szCs w:val="18"/>
          <w:color w:val="auto"/>
        </w:rPr>
      </w:pPr>
    </w:p>
    <w:p>
      <w:pPr>
        <w:ind w:left="660" w:right="1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estimated incremental cost to the Company for one year of health, dental, long-term disability and life insurance coverages based on the coverage that existed at the Date of Termination.</w:t>
      </w:r>
    </w:p>
    <w:p>
      <w:pPr>
        <w:spacing w:after="0" w:line="170" w:lineRule="exact"/>
        <w:rPr>
          <w:rFonts w:ascii="Arial" w:cs="Arial" w:eastAsia="Arial" w:hAnsi="Arial"/>
          <w:sz w:val="18"/>
          <w:szCs w:val="18"/>
          <w:color w:val="auto"/>
        </w:rPr>
      </w:pPr>
    </w:p>
    <w:p>
      <w:pPr>
        <w:ind w:left="660" w:right="1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disability, the Company shall continue the same coverage under medical, dental, long-term disability and life insurance for the greater of (x) the remaining term of the Agreement or (y) until long term disability insurance coverage becomes effective.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Agreements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 has also entered into separate agreements with Messrs. Warzala, Leach and Maida that provide for certain payments upon termination of employment resulting within 90 days prior to or 24 months following a change in control of the Company. The agreements are extended automatically on January 1 of each year to a total term of two years, unless notice of non-renewal is given by the Company not later than the September 30 immediately preceding such January (meaning that notice must be given at least 15 months prior to termination). These agreements only provide benefits if there is both a change in control of the Company and termination of employment other than for cause. If the executive’s employment is terminated by the Company, other than for death, disability or cause, or the executive terminates the agreement for good reason, in each case following a change in control, then the executive will be entitled to certain benefits to be paid as a lump sum in cash. The most significant components of those benefits are as follows:</w:t>
      </w:r>
    </w:p>
    <w:p>
      <w:pPr>
        <w:spacing w:after="0" w:line="166" w:lineRule="exact"/>
        <w:rPr>
          <w:sz w:val="20"/>
          <w:szCs w:val="20"/>
          <w:color w:val="auto"/>
        </w:rPr>
      </w:pPr>
    </w:p>
    <w:p>
      <w:pPr>
        <w:ind w:left="660" w:right="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severance payment equal to a multiple (2.5 times for Mr. Warzala and 1.0 times for Messrs. Leach and Maida) of the executive’s annual Base Salary plus the highest amount paid or payable pursuant to the Annual Cash Incentive plan applicable to the executive for any of the 3 prior fiscal years;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benefit payment equal to 25% of annual salary for 24 months to purchase healthcare and other insurance benefits;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payment of all legal fees and expenses incurred as a result of termination;</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Warzala’s agreement provides for a prorata payment for the current year benefit pursuant to any annual or long-term incentive plan applicable to the executive for the year that includes the Date of Termination.</w:t>
      </w:r>
    </w:p>
    <w:p>
      <w:pPr>
        <w:spacing w:after="0" w:line="170"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following tables show potential payouts under the change of control agreements assuming that the employment of the executive was terminated in each situation listed in the table and that termination occurred on the last business day of 2019.</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Richard S. Warzala</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1520" w:type="dxa"/>
            <w:vAlign w:val="bottom"/>
            <w:tcBorders>
              <w:top w:val="single" w:sz="8" w:color="auto"/>
            </w:tcBorders>
          </w:tcPr>
          <w:p>
            <w:pPr>
              <w:spacing w:after="0"/>
              <w:rPr>
                <w:sz w:val="24"/>
                <w:szCs w:val="24"/>
                <w:color w:val="auto"/>
              </w:rPr>
            </w:pPr>
          </w:p>
        </w:tc>
        <w:tc>
          <w:tcPr>
            <w:tcW w:w="6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3"/>
              </w:rPr>
              <w:t>Voluntary</w:t>
            </w:r>
          </w:p>
        </w:tc>
        <w:tc>
          <w:tcPr>
            <w:tcW w:w="10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Voluntary</w:t>
            </w:r>
          </w:p>
        </w:tc>
      </w:tr>
      <w:tr>
        <w:trPr>
          <w:trHeight w:val="216"/>
        </w:trPr>
        <w:tc>
          <w:tcPr>
            <w:tcW w:w="15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7"/>
              </w:rPr>
              <w:t>Resignation</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Resignation</w:t>
            </w:r>
          </w:p>
        </w:tc>
      </w:tr>
      <w:tr>
        <w:trPr>
          <w:trHeight w:val="216"/>
        </w:trPr>
        <w:tc>
          <w:tcPr>
            <w:tcW w:w="15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without Good</w:t>
            </w: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with</w:t>
            </w:r>
          </w:p>
        </w:tc>
      </w:tr>
      <w:tr>
        <w:trPr>
          <w:trHeight w:val="216"/>
        </w:trPr>
        <w:tc>
          <w:tcPr>
            <w:tcW w:w="15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Reason or</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Good Reason</w:t>
            </w:r>
          </w:p>
        </w:tc>
      </w:tr>
      <w:tr>
        <w:trPr>
          <w:trHeight w:val="216"/>
        </w:trPr>
        <w:tc>
          <w:tcPr>
            <w:tcW w:w="15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4"/>
              </w:rPr>
              <w:t>Involuntary</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or</w:t>
            </w:r>
          </w:p>
        </w:tc>
      </w:tr>
      <w:tr>
        <w:trPr>
          <w:trHeight w:val="216"/>
        </w:trPr>
        <w:tc>
          <w:tcPr>
            <w:tcW w:w="15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Termination</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Involuntary</w:t>
            </w:r>
          </w:p>
        </w:tc>
      </w:tr>
      <w:tr>
        <w:trPr>
          <w:trHeight w:val="216"/>
        </w:trPr>
        <w:tc>
          <w:tcPr>
            <w:tcW w:w="15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with</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Termination</w:t>
            </w:r>
          </w:p>
        </w:tc>
      </w:tr>
      <w:tr>
        <w:trPr>
          <w:trHeight w:val="234"/>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Benefits and Payments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5"/>
              </w:rPr>
              <w:t>Cause</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Without Cause</w:t>
            </w:r>
          </w:p>
        </w:tc>
      </w:tr>
      <w:tr>
        <w:trPr>
          <w:trHeight w:val="210"/>
        </w:trPr>
        <w:tc>
          <w:tcPr>
            <w:tcW w:w="8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832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Severance Pay </w:t>
            </w:r>
            <w:r>
              <w:rPr>
                <w:rFonts w:ascii="Arial" w:cs="Arial" w:eastAsia="Arial" w:hAnsi="Arial"/>
                <w:sz w:val="29"/>
                <w:szCs w:val="29"/>
                <w:color w:val="auto"/>
                <w:vertAlign w:val="superscript"/>
              </w:rPr>
              <w:t>(1)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3,384,008</w:t>
            </w:r>
          </w:p>
        </w:tc>
        <w:tc>
          <w:tcPr>
            <w:tcW w:w="100" w:type="dxa"/>
            <w:vAlign w:val="bottom"/>
          </w:tcPr>
          <w:p>
            <w:pPr>
              <w:spacing w:after="0"/>
              <w:rPr>
                <w:sz w:val="22"/>
                <w:szCs w:val="22"/>
                <w:color w:val="auto"/>
              </w:rPr>
            </w:pPr>
          </w:p>
        </w:tc>
      </w:tr>
      <w:tr>
        <w:trPr>
          <w:trHeight w:val="257"/>
        </w:trPr>
        <w:tc>
          <w:tcPr>
            <w:tcW w:w="832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Annual Cash Incentive Compensation </w:t>
            </w:r>
            <w:r>
              <w:rPr>
                <w:rFonts w:ascii="Arial" w:cs="Arial" w:eastAsia="Arial" w:hAnsi="Arial"/>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412,500</w:t>
            </w:r>
          </w:p>
        </w:tc>
        <w:tc>
          <w:tcPr>
            <w:tcW w:w="100" w:type="dxa"/>
            <w:vAlign w:val="bottom"/>
            <w:shd w:val="clear" w:color="auto" w:fill="CCEEFF"/>
          </w:tcPr>
          <w:p>
            <w:pPr>
              <w:spacing w:after="0"/>
              <w:rPr>
                <w:sz w:val="22"/>
                <w:szCs w:val="22"/>
                <w:color w:val="auto"/>
              </w:rPr>
            </w:pPr>
          </w:p>
        </w:tc>
      </w:tr>
      <w:tr>
        <w:trPr>
          <w:trHeight w:val="257"/>
        </w:trPr>
        <w:tc>
          <w:tcPr>
            <w:tcW w:w="832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Return on Equity Cash Incentive Award </w:t>
            </w:r>
            <w:r>
              <w:rPr>
                <w:rFonts w:ascii="Arial" w:cs="Arial" w:eastAsia="Arial" w:hAnsi="Arial"/>
                <w:sz w:val="29"/>
                <w:szCs w:val="29"/>
                <w:color w:val="auto"/>
                <w:vertAlign w:val="superscript"/>
              </w:rPr>
              <w:t>(3)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542,000</w:t>
            </w:r>
          </w:p>
        </w:tc>
        <w:tc>
          <w:tcPr>
            <w:tcW w:w="100" w:type="dxa"/>
            <w:vAlign w:val="bottom"/>
          </w:tcPr>
          <w:p>
            <w:pPr>
              <w:spacing w:after="0"/>
              <w:rPr>
                <w:sz w:val="22"/>
                <w:szCs w:val="22"/>
                <w:color w:val="auto"/>
              </w:rPr>
            </w:pPr>
          </w:p>
        </w:tc>
      </w:tr>
      <w:tr>
        <w:trPr>
          <w:trHeight w:val="257"/>
        </w:trPr>
        <w:tc>
          <w:tcPr>
            <w:tcW w:w="832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Deferred Compensation Plan </w:t>
            </w:r>
            <w:r>
              <w:rPr>
                <w:rFonts w:ascii="Arial" w:cs="Arial" w:eastAsia="Arial" w:hAnsi="Arial"/>
                <w:sz w:val="29"/>
                <w:szCs w:val="29"/>
                <w:color w:val="auto"/>
                <w:vertAlign w:val="superscript"/>
              </w:rPr>
              <w:t>(4)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160,333</w:t>
            </w:r>
          </w:p>
        </w:tc>
        <w:tc>
          <w:tcPr>
            <w:tcW w:w="100" w:type="dxa"/>
            <w:vAlign w:val="bottom"/>
            <w:shd w:val="clear" w:color="auto" w:fill="CCEEFF"/>
          </w:tcPr>
          <w:p>
            <w:pPr>
              <w:spacing w:after="0"/>
              <w:rPr>
                <w:sz w:val="22"/>
                <w:szCs w:val="22"/>
                <w:color w:val="auto"/>
              </w:rPr>
            </w:pPr>
          </w:p>
        </w:tc>
      </w:tr>
      <w:tr>
        <w:trPr>
          <w:trHeight w:val="257"/>
        </w:trPr>
        <w:tc>
          <w:tcPr>
            <w:tcW w:w="832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Performance-Based Stock Awards </w:t>
            </w:r>
            <w:r>
              <w:rPr>
                <w:rFonts w:ascii="Arial" w:cs="Arial" w:eastAsia="Arial" w:hAnsi="Arial"/>
                <w:sz w:val="29"/>
                <w:szCs w:val="29"/>
                <w:color w:val="auto"/>
                <w:vertAlign w:val="superscript"/>
              </w:rPr>
              <w:t>(5)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957,363</w:t>
            </w:r>
          </w:p>
        </w:tc>
        <w:tc>
          <w:tcPr>
            <w:tcW w:w="100" w:type="dxa"/>
            <w:vAlign w:val="bottom"/>
          </w:tcPr>
          <w:p>
            <w:pPr>
              <w:spacing w:after="0"/>
              <w:rPr>
                <w:sz w:val="22"/>
                <w:szCs w:val="22"/>
                <w:color w:val="auto"/>
              </w:rPr>
            </w:pPr>
          </w:p>
        </w:tc>
      </w:tr>
      <w:tr>
        <w:trPr>
          <w:trHeight w:val="256"/>
        </w:trPr>
        <w:tc>
          <w:tcPr>
            <w:tcW w:w="832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Accelerated Vesting of Time-Based Equity Awards </w:t>
            </w:r>
            <w:r>
              <w:rPr>
                <w:rFonts w:ascii="Arial" w:cs="Arial" w:eastAsia="Arial" w:hAnsi="Arial"/>
                <w:sz w:val="29"/>
                <w:szCs w:val="29"/>
                <w:color w:val="auto"/>
                <w:vertAlign w:val="superscript"/>
              </w:rPr>
              <w:t>(6)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4,535,715</w:t>
            </w:r>
          </w:p>
        </w:tc>
        <w:tc>
          <w:tcPr>
            <w:tcW w:w="100" w:type="dxa"/>
            <w:vAlign w:val="bottom"/>
            <w:shd w:val="clear" w:color="auto" w:fill="CCEEFF"/>
          </w:tcPr>
          <w:p>
            <w:pPr>
              <w:spacing w:after="0"/>
              <w:rPr>
                <w:sz w:val="22"/>
                <w:szCs w:val="22"/>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Benefits: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832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Healthcare and other Insurance Benefits </w:t>
            </w:r>
            <w:r>
              <w:rPr>
                <w:rFonts w:ascii="Arial" w:cs="Arial" w:eastAsia="Arial" w:hAnsi="Arial"/>
                <w:sz w:val="29"/>
                <w:szCs w:val="29"/>
                <w:color w:val="auto"/>
                <w:vertAlign w:val="superscript"/>
              </w:rPr>
              <w:t>(7)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spacing w:after="0"/>
              <w:rPr>
                <w:sz w:val="23"/>
                <w:szCs w:val="23"/>
                <w:color w:val="auto"/>
              </w:rPr>
            </w:pPr>
          </w:p>
        </w:tc>
      </w:tr>
      <w:tr>
        <w:trPr>
          <w:trHeight w:val="250"/>
        </w:trPr>
        <w:tc>
          <w:tcPr>
            <w:tcW w:w="8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w w:val="82"/>
              </w:rPr>
              <w:t>--</w:t>
            </w: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10,266,919</w:t>
            </w:r>
          </w:p>
        </w:tc>
        <w:tc>
          <w:tcPr>
            <w:tcW w:w="100" w:type="dxa"/>
            <w:vAlign w:val="bottom"/>
          </w:tcPr>
          <w:p>
            <w:pPr>
              <w:spacing w:after="0"/>
              <w:rPr>
                <w:sz w:val="21"/>
                <w:szCs w:val="21"/>
                <w:color w:val="auto"/>
              </w:rPr>
            </w:pPr>
          </w:p>
        </w:tc>
      </w:tr>
      <w:tr>
        <w:trPr>
          <w:trHeight w:val="20"/>
        </w:trPr>
        <w:tc>
          <w:tcPr>
            <w:tcW w:w="15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7" w:lineRule="exact"/>
        <w:rPr>
          <w:sz w:val="20"/>
          <w:szCs w:val="20"/>
          <w:color w:val="auto"/>
        </w:rPr>
      </w:pPr>
    </w:p>
    <w:p>
      <w:pPr>
        <w:ind w:left="660" w:right="34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lump sum severance payment equal to 2.5 times the sum of the Base Salary and the highest amount paid or payable pursuant to the Annual Cash Incentive Plan for any of the 3 fiscal years ending prior to the Date of Termination.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estimated incentive compensation under the Company’s Annual Cash Incentive Plan.</w:t>
      </w:r>
    </w:p>
    <w:p>
      <w:pPr>
        <w:spacing w:after="0" w:line="225" w:lineRule="exact"/>
        <w:rPr>
          <w:rFonts w:ascii="Arial" w:cs="Arial" w:eastAsia="Arial" w:hAnsi="Arial"/>
          <w:sz w:val="18"/>
          <w:szCs w:val="18"/>
          <w:color w:val="auto"/>
        </w:rPr>
      </w:pPr>
    </w:p>
    <w:p>
      <w:pPr>
        <w:ind w:left="660" w:right="34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pro rata portion (based on the number of days employed during the year in which employment is terminated) of the executive’s Return on Equity Cash Incentive award based on the return on equity performance criteria for the year.</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a severance payment equal to the total of the previous three years performance awards under the Deferred Compensation Plan.</w:t>
      </w:r>
    </w:p>
    <w:p>
      <w:pPr>
        <w:spacing w:after="0" w:line="236" w:lineRule="exact"/>
        <w:rPr>
          <w:rFonts w:ascii="Arial" w:cs="Arial" w:eastAsia="Arial" w:hAnsi="Arial"/>
          <w:sz w:val="17"/>
          <w:szCs w:val="17"/>
          <w:color w:val="auto"/>
        </w:rPr>
      </w:pPr>
    </w:p>
    <w:p>
      <w:pPr>
        <w:ind w:left="660" w:right="56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pro rata portion (based on the number of calendar months employed during the applicable performance period during which employment is terminated) of the cash or securities under any performance-based awards.</w:t>
      </w:r>
    </w:p>
    <w:p>
      <w:pPr>
        <w:spacing w:after="0" w:line="170" w:lineRule="exact"/>
        <w:rPr>
          <w:rFonts w:ascii="Arial" w:cs="Arial" w:eastAsia="Arial" w:hAnsi="Arial"/>
          <w:sz w:val="18"/>
          <w:szCs w:val="18"/>
          <w:color w:val="auto"/>
        </w:rPr>
      </w:pPr>
    </w:p>
    <w:p>
      <w:pPr>
        <w:ind w:left="660" w:right="40" w:hanging="652"/>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acceleration of all time-based stock awards, including performance-based awards that were previously earned but remain subject to time-based vesting at the Date of Termination, based on our closing stock price of $48.50 per share as of December 31, 2019, plus accrued dividends.</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25% of Base Salary as of the Date of Termination for 24 months to assist in purchasing benefits.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Michael R. Leach</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1360" w:type="dxa"/>
            <w:vAlign w:val="bottom"/>
            <w:tcBorders>
              <w:top w:val="single" w:sz="8" w:color="auto"/>
            </w:tcBorders>
          </w:tcPr>
          <w:p>
            <w:pPr>
              <w:spacing w:after="0"/>
              <w:rPr>
                <w:sz w:val="24"/>
                <w:szCs w:val="24"/>
                <w:color w:val="auto"/>
              </w:rPr>
            </w:pPr>
          </w:p>
        </w:tc>
        <w:tc>
          <w:tcPr>
            <w:tcW w:w="34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Voluntary</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Voluntary</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Resignation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Resignation</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without Good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with</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Reason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Good Reason</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Involuntary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Termination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Involuntary</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with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Termination</w:t>
            </w:r>
          </w:p>
        </w:tc>
        <w:tc>
          <w:tcPr>
            <w:tcW w:w="0" w:type="dxa"/>
            <w:vAlign w:val="bottom"/>
          </w:tcPr>
          <w:p>
            <w:pPr>
              <w:spacing w:after="0"/>
              <w:rPr>
                <w:sz w:val="1"/>
                <w:szCs w:val="1"/>
                <w:color w:val="auto"/>
              </w:rPr>
            </w:pPr>
          </w:p>
        </w:tc>
      </w:tr>
      <w:tr>
        <w:trPr>
          <w:trHeight w:val="234"/>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Benefits and Payments</w:t>
            </w: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Cause</w:t>
            </w:r>
          </w:p>
        </w:tc>
        <w:tc>
          <w:tcPr>
            <w:tcW w:w="100" w:type="dxa"/>
            <w:vAlign w:val="bottom"/>
          </w:tcPr>
          <w:p>
            <w:pPr>
              <w:spacing w:after="0"/>
              <w:rPr>
                <w:sz w:val="20"/>
                <w:szCs w:val="20"/>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Without Cause</w:t>
            </w:r>
          </w:p>
        </w:tc>
        <w:tc>
          <w:tcPr>
            <w:tcW w:w="0" w:type="dxa"/>
            <w:vAlign w:val="bottom"/>
          </w:tcPr>
          <w:p>
            <w:pPr>
              <w:spacing w:after="0"/>
              <w:rPr>
                <w:sz w:val="1"/>
                <w:szCs w:val="1"/>
                <w:color w:val="auto"/>
              </w:rPr>
            </w:pPr>
          </w:p>
        </w:tc>
      </w:tr>
      <w:tr>
        <w:trPr>
          <w:trHeight w:val="209"/>
        </w:trPr>
        <w:tc>
          <w:tcPr>
            <w:tcW w:w="48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3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80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Severance Pay </w:t>
            </w:r>
            <w:r>
              <w:rPr>
                <w:rFonts w:ascii="Arial" w:cs="Arial" w:eastAsia="Arial" w:hAnsi="Arial"/>
                <w:sz w:val="29"/>
                <w:szCs w:val="29"/>
                <w:color w:val="auto"/>
                <w:vertAlign w:val="superscript"/>
              </w:rPr>
              <w:t>(1)</w:t>
            </w:r>
          </w:p>
        </w:tc>
        <w:tc>
          <w:tcPr>
            <w:tcW w:w="3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568,194</w:t>
            </w:r>
          </w:p>
        </w:tc>
        <w:tc>
          <w:tcPr>
            <w:tcW w:w="0" w:type="dxa"/>
            <w:vAlign w:val="bottom"/>
          </w:tcPr>
          <w:p>
            <w:pPr>
              <w:spacing w:after="0"/>
              <w:rPr>
                <w:sz w:val="1"/>
                <w:szCs w:val="1"/>
                <w:color w:val="auto"/>
              </w:rPr>
            </w:pPr>
          </w:p>
        </w:tc>
      </w:tr>
      <w:tr>
        <w:trPr>
          <w:trHeight w:val="256"/>
        </w:trPr>
        <w:tc>
          <w:tcPr>
            <w:tcW w:w="480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Annual Cash Incentive Compensation </w:t>
            </w:r>
            <w:r>
              <w:rPr>
                <w:rFonts w:ascii="Arial" w:cs="Arial" w:eastAsia="Arial" w:hAnsi="Arial"/>
                <w:sz w:val="29"/>
                <w:szCs w:val="29"/>
                <w:color w:val="auto"/>
                <w:vertAlign w:val="superscript"/>
              </w:rPr>
              <w:t>(2)</w:t>
            </w:r>
          </w:p>
        </w:tc>
        <w:tc>
          <w:tcPr>
            <w:tcW w:w="3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141,750</w:t>
            </w:r>
          </w:p>
        </w:tc>
        <w:tc>
          <w:tcPr>
            <w:tcW w:w="0" w:type="dxa"/>
            <w:vAlign w:val="bottom"/>
          </w:tcPr>
          <w:p>
            <w:pPr>
              <w:spacing w:after="0"/>
              <w:rPr>
                <w:sz w:val="1"/>
                <w:szCs w:val="1"/>
                <w:color w:val="auto"/>
              </w:rPr>
            </w:pPr>
          </w:p>
        </w:tc>
      </w:tr>
      <w:tr>
        <w:trPr>
          <w:trHeight w:val="257"/>
        </w:trPr>
        <w:tc>
          <w:tcPr>
            <w:tcW w:w="480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Performance-Based Stock Awards </w:t>
            </w:r>
            <w:r>
              <w:rPr>
                <w:rFonts w:ascii="Arial" w:cs="Arial" w:eastAsia="Arial" w:hAnsi="Arial"/>
                <w:sz w:val="29"/>
                <w:szCs w:val="29"/>
                <w:color w:val="auto"/>
                <w:vertAlign w:val="superscript"/>
              </w:rPr>
              <w:t>(3)</w:t>
            </w:r>
          </w:p>
        </w:tc>
        <w:tc>
          <w:tcPr>
            <w:tcW w:w="3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170,198</w:t>
            </w:r>
          </w:p>
        </w:tc>
        <w:tc>
          <w:tcPr>
            <w:tcW w:w="0" w:type="dxa"/>
            <w:vAlign w:val="bottom"/>
          </w:tcPr>
          <w:p>
            <w:pPr>
              <w:spacing w:after="0"/>
              <w:rPr>
                <w:sz w:val="1"/>
                <w:szCs w:val="1"/>
                <w:color w:val="auto"/>
              </w:rPr>
            </w:pPr>
          </w:p>
        </w:tc>
      </w:tr>
      <w:tr>
        <w:trPr>
          <w:trHeight w:val="256"/>
        </w:trPr>
        <w:tc>
          <w:tcPr>
            <w:tcW w:w="480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Accelerated Vesting of Time-Based Equity Awards </w:t>
            </w:r>
            <w:r>
              <w:rPr>
                <w:rFonts w:ascii="Arial" w:cs="Arial" w:eastAsia="Arial" w:hAnsi="Arial"/>
                <w:sz w:val="29"/>
                <w:szCs w:val="29"/>
                <w:color w:val="auto"/>
                <w:vertAlign w:val="superscript"/>
              </w:rPr>
              <w:t>(4)</w:t>
            </w:r>
          </w:p>
        </w:tc>
        <w:tc>
          <w:tcPr>
            <w:tcW w:w="3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674,154</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Benefits:</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80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Healthcare and other Insurance Benefits </w:t>
            </w:r>
            <w:r>
              <w:rPr>
                <w:rFonts w:ascii="Arial" w:cs="Arial" w:eastAsia="Arial" w:hAnsi="Arial"/>
                <w:sz w:val="29"/>
                <w:szCs w:val="29"/>
                <w:color w:val="auto"/>
                <w:vertAlign w:val="superscript"/>
              </w:rPr>
              <w:t>(5)</w:t>
            </w:r>
          </w:p>
        </w:tc>
        <w:tc>
          <w:tcPr>
            <w:tcW w:w="3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157,500</w:t>
            </w:r>
          </w:p>
        </w:tc>
        <w:tc>
          <w:tcPr>
            <w:tcW w:w="0" w:type="dxa"/>
            <w:vAlign w:val="bottom"/>
          </w:tcPr>
          <w:p>
            <w:pPr>
              <w:spacing w:after="0"/>
              <w:rPr>
                <w:sz w:val="1"/>
                <w:szCs w:val="1"/>
                <w:color w:val="auto"/>
              </w:rPr>
            </w:pPr>
          </w:p>
        </w:tc>
      </w:tr>
      <w:tr>
        <w:trPr>
          <w:trHeight w:val="250"/>
        </w:trPr>
        <w:tc>
          <w:tcPr>
            <w:tcW w:w="48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640" w:type="dxa"/>
            <w:vAlign w:val="bottom"/>
            <w:gridSpan w:val="2"/>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w w:val="82"/>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1,711,796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520" w:type="dxa"/>
            <w:vAlign w:val="bottom"/>
            <w:vMerge w:val="restart"/>
          </w:tcPr>
          <w:p>
            <w:pPr>
              <w:jc w:val="right"/>
              <w:ind w:right="25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13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Robert P. Maida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1280" w:type="dxa"/>
            <w:vAlign w:val="bottom"/>
            <w:tcBorders>
              <w:top w:val="single" w:sz="8" w:color="auto"/>
            </w:tcBorders>
          </w:tcPr>
          <w:p>
            <w:pPr>
              <w:spacing w:after="0"/>
              <w:rPr>
                <w:sz w:val="24"/>
                <w:szCs w:val="24"/>
                <w:color w:val="auto"/>
              </w:rPr>
            </w:pPr>
          </w:p>
        </w:tc>
        <w:tc>
          <w:tcPr>
            <w:tcW w:w="6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Voluntary</w:t>
            </w:r>
          </w:p>
        </w:tc>
      </w:tr>
      <w:tr>
        <w:trPr>
          <w:trHeight w:val="216"/>
        </w:trPr>
        <w:tc>
          <w:tcPr>
            <w:tcW w:w="128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Resignation</w:t>
            </w:r>
          </w:p>
        </w:tc>
      </w:tr>
      <w:tr>
        <w:trPr>
          <w:trHeight w:val="216"/>
        </w:trPr>
        <w:tc>
          <w:tcPr>
            <w:tcW w:w="128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Voluntary</w:t>
            </w: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with</w:t>
            </w:r>
          </w:p>
        </w:tc>
      </w:tr>
      <w:tr>
        <w:trPr>
          <w:trHeight w:val="216"/>
        </w:trPr>
        <w:tc>
          <w:tcPr>
            <w:tcW w:w="128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8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Resignation without</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Good Reason</w:t>
            </w:r>
          </w:p>
        </w:tc>
      </w:tr>
      <w:tr>
        <w:trPr>
          <w:trHeight w:val="216"/>
        </w:trPr>
        <w:tc>
          <w:tcPr>
            <w:tcW w:w="128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Good Reason or</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or</w:t>
            </w:r>
          </w:p>
        </w:tc>
      </w:tr>
      <w:tr>
        <w:trPr>
          <w:trHeight w:val="216"/>
        </w:trPr>
        <w:tc>
          <w:tcPr>
            <w:tcW w:w="128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Involuntary</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Involuntary</w:t>
            </w:r>
          </w:p>
        </w:tc>
      </w:tr>
      <w:tr>
        <w:trPr>
          <w:trHeight w:val="216"/>
        </w:trPr>
        <w:tc>
          <w:tcPr>
            <w:tcW w:w="128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Termination with</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Termination</w:t>
            </w:r>
          </w:p>
        </w:tc>
      </w:tr>
      <w:tr>
        <w:trPr>
          <w:trHeight w:val="234"/>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Benefits and Payments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Cause</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Without Cause</w:t>
            </w:r>
          </w:p>
        </w:tc>
      </w:tr>
      <w:tr>
        <w:trPr>
          <w:trHeight w:val="210"/>
        </w:trPr>
        <w:tc>
          <w:tcPr>
            <w:tcW w:w="8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804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Severance Pay </w:t>
            </w:r>
            <w:r>
              <w:rPr>
                <w:rFonts w:ascii="Arial" w:cs="Arial" w:eastAsia="Arial" w:hAnsi="Arial"/>
                <w:sz w:val="29"/>
                <w:szCs w:val="29"/>
                <w:color w:val="auto"/>
                <w:vertAlign w:val="superscript"/>
              </w:rPr>
              <w:t>(1)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491,130</w:t>
            </w:r>
          </w:p>
        </w:tc>
        <w:tc>
          <w:tcPr>
            <w:tcW w:w="100" w:type="dxa"/>
            <w:vAlign w:val="bottom"/>
          </w:tcPr>
          <w:p>
            <w:pPr>
              <w:spacing w:after="0"/>
              <w:rPr>
                <w:sz w:val="22"/>
                <w:szCs w:val="22"/>
                <w:color w:val="auto"/>
              </w:rPr>
            </w:pPr>
          </w:p>
        </w:tc>
      </w:tr>
      <w:tr>
        <w:trPr>
          <w:trHeight w:val="257"/>
        </w:trPr>
        <w:tc>
          <w:tcPr>
            <w:tcW w:w="804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Annual Cash Incentive Compensation </w:t>
            </w:r>
            <w:r>
              <w:rPr>
                <w:rFonts w:ascii="Arial" w:cs="Arial" w:eastAsia="Arial" w:hAnsi="Arial"/>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123,750</w:t>
            </w:r>
          </w:p>
        </w:tc>
        <w:tc>
          <w:tcPr>
            <w:tcW w:w="100" w:type="dxa"/>
            <w:vAlign w:val="bottom"/>
            <w:shd w:val="clear" w:color="auto" w:fill="CCEEFF"/>
          </w:tcPr>
          <w:p>
            <w:pPr>
              <w:spacing w:after="0"/>
              <w:rPr>
                <w:sz w:val="22"/>
                <w:szCs w:val="22"/>
                <w:color w:val="auto"/>
              </w:rPr>
            </w:pPr>
          </w:p>
        </w:tc>
      </w:tr>
      <w:tr>
        <w:trPr>
          <w:trHeight w:val="257"/>
        </w:trPr>
        <w:tc>
          <w:tcPr>
            <w:tcW w:w="804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Performance-Based Stock Awards </w:t>
            </w:r>
            <w:r>
              <w:rPr>
                <w:rFonts w:ascii="Arial" w:cs="Arial" w:eastAsia="Arial" w:hAnsi="Arial"/>
                <w:sz w:val="29"/>
                <w:szCs w:val="29"/>
                <w:color w:val="auto"/>
                <w:vertAlign w:val="superscript"/>
              </w:rPr>
              <w:t>(3)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138,502</w:t>
            </w:r>
          </w:p>
        </w:tc>
        <w:tc>
          <w:tcPr>
            <w:tcW w:w="100" w:type="dxa"/>
            <w:vAlign w:val="bottom"/>
          </w:tcPr>
          <w:p>
            <w:pPr>
              <w:spacing w:after="0"/>
              <w:rPr>
                <w:sz w:val="22"/>
                <w:szCs w:val="22"/>
                <w:color w:val="auto"/>
              </w:rPr>
            </w:pPr>
          </w:p>
        </w:tc>
      </w:tr>
      <w:tr>
        <w:trPr>
          <w:trHeight w:val="257"/>
        </w:trPr>
        <w:tc>
          <w:tcPr>
            <w:tcW w:w="804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Accelerated Vesting of Time-Based Equity Awards </w:t>
            </w:r>
            <w:r>
              <w:rPr>
                <w:rFonts w:ascii="Arial" w:cs="Arial" w:eastAsia="Arial" w:hAnsi="Arial"/>
                <w:sz w:val="29"/>
                <w:szCs w:val="29"/>
                <w:color w:val="auto"/>
                <w:vertAlign w:val="superscript"/>
              </w:rPr>
              <w:t>(4)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623,680</w:t>
            </w:r>
          </w:p>
        </w:tc>
        <w:tc>
          <w:tcPr>
            <w:tcW w:w="100" w:type="dxa"/>
            <w:vAlign w:val="bottom"/>
            <w:shd w:val="clear" w:color="auto" w:fill="CCEEFF"/>
          </w:tcPr>
          <w:p>
            <w:pPr>
              <w:spacing w:after="0"/>
              <w:rPr>
                <w:sz w:val="22"/>
                <w:szCs w:val="22"/>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Benefits: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804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Healthcare and other Insurance Benefits </w:t>
            </w:r>
            <w:r>
              <w:rPr>
                <w:rFonts w:ascii="Arial" w:cs="Arial" w:eastAsia="Arial" w:hAnsi="Arial"/>
                <w:sz w:val="29"/>
                <w:szCs w:val="29"/>
                <w:color w:val="auto"/>
                <w:vertAlign w:val="superscript"/>
              </w:rPr>
              <w:t>(5)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137,500</w:t>
            </w:r>
          </w:p>
        </w:tc>
        <w:tc>
          <w:tcPr>
            <w:tcW w:w="100" w:type="dxa"/>
            <w:vAlign w:val="bottom"/>
            <w:shd w:val="clear" w:color="auto" w:fill="CCEEFF"/>
          </w:tcPr>
          <w:p>
            <w:pPr>
              <w:spacing w:after="0"/>
              <w:rPr>
                <w:sz w:val="23"/>
                <w:szCs w:val="23"/>
                <w:color w:val="auto"/>
              </w:rPr>
            </w:pPr>
          </w:p>
        </w:tc>
      </w:tr>
      <w:tr>
        <w:trPr>
          <w:trHeight w:val="250"/>
        </w:trPr>
        <w:tc>
          <w:tcPr>
            <w:tcW w:w="8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ind w:left="1320"/>
              <w:spacing w:after="0"/>
              <w:rPr>
                <w:sz w:val="20"/>
                <w:szCs w:val="20"/>
                <w:color w:val="auto"/>
              </w:rPr>
            </w:pPr>
            <w:r>
              <w:rPr>
                <w:rFonts w:ascii="Arial" w:cs="Arial" w:eastAsia="Arial" w:hAnsi="Arial"/>
                <w:sz w:val="18"/>
                <w:szCs w:val="18"/>
                <w:color w:val="auto"/>
                <w:w w:val="82"/>
              </w:rPr>
              <w:t>--</w:t>
            </w:r>
          </w:p>
        </w:tc>
        <w:tc>
          <w:tcPr>
            <w:tcW w:w="2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1,514,562</w:t>
            </w:r>
          </w:p>
        </w:tc>
        <w:tc>
          <w:tcPr>
            <w:tcW w:w="100" w:type="dxa"/>
            <w:vAlign w:val="bottom"/>
          </w:tcPr>
          <w:p>
            <w:pPr>
              <w:spacing w:after="0"/>
              <w:rPr>
                <w:sz w:val="21"/>
                <w:szCs w:val="21"/>
                <w:color w:val="auto"/>
              </w:rPr>
            </w:pPr>
          </w:p>
        </w:tc>
      </w:tr>
      <w:tr>
        <w:trPr>
          <w:trHeight w:val="20"/>
        </w:trPr>
        <w:tc>
          <w:tcPr>
            <w:tcW w:w="12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7" w:lineRule="exact"/>
        <w:rPr>
          <w:sz w:val="20"/>
          <w:szCs w:val="20"/>
          <w:color w:val="auto"/>
        </w:rPr>
      </w:pPr>
    </w:p>
    <w:p>
      <w:pPr>
        <w:ind w:left="660" w:right="34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lump sum severance payment equal to 1.0 times the sum of the Base Salary and the highest amount paid or payable pursuant to the Annual Cash Incentive Plan for any of the 3 fiscal years ending prior to the Date of Termination.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estimated incentive compensation under the Company’s Annual Cash Incentive Plan.</w:t>
      </w:r>
    </w:p>
    <w:p>
      <w:pPr>
        <w:spacing w:after="0" w:line="225" w:lineRule="exact"/>
        <w:rPr>
          <w:rFonts w:ascii="Arial" w:cs="Arial" w:eastAsia="Arial" w:hAnsi="Arial"/>
          <w:sz w:val="18"/>
          <w:szCs w:val="18"/>
          <w:color w:val="auto"/>
        </w:rPr>
      </w:pPr>
    </w:p>
    <w:p>
      <w:pPr>
        <w:ind w:left="660" w:right="56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pro rata portion (based on the number of calendar months employed during the applicable performance period during which employment is terminated) of the cash or securities under any performance-based awards.</w:t>
      </w:r>
    </w:p>
    <w:p>
      <w:pPr>
        <w:spacing w:after="0" w:line="170" w:lineRule="exact"/>
        <w:rPr>
          <w:rFonts w:ascii="Arial" w:cs="Arial" w:eastAsia="Arial" w:hAnsi="Arial"/>
          <w:sz w:val="18"/>
          <w:szCs w:val="18"/>
          <w:color w:val="auto"/>
        </w:rPr>
      </w:pPr>
    </w:p>
    <w:p>
      <w:pPr>
        <w:ind w:left="660" w:right="40" w:hanging="652"/>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acceleration of all time-based stock awards, including performance-based awards that were previously earned but remain subject to time-based vesting at the Date of Termination, based on our closing stock price of $48.50 per share as of December 31, 2019, plus accrued dividends.</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25% of Base Salary as of the Date of Termination for 24 months to assist in purchasing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description of the definitions and assumptions that were used in creating the change in control tables above.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“Date of Termination” means (i) thirty days after providing the Notice of Termination for a termination for disability, or (ii) the date specified in the Notice of Termination for a termination for cause, good reason, death or retirement.</w:t>
      </w:r>
    </w:p>
    <w:p>
      <w:pPr>
        <w:spacing w:after="0" w:line="170"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“Notice of Termination” means a written notice that indicates the specific termination provision of the change of control agreement relied upon and sets forth in reasonable detail the facts and circumstances claimed to provide a basis for Termination of employment under the provision indicated.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 Salary” means an amount equal to the annual base salary in effect immediately prior to the Notice of Termination.</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 “Change in control of the Company” means any of the following: (i) a person (other than any officer or director) is or becomes the beneficial owner, directly or indirectly, of securities of the Company representing more than 45% of the combined voting power of the Company’s then outstanding securities; (ii) upon the first purchase of outstanding shares of the Company’s outstanding common stock pursuant to a tender or exchange offer, with certain exceptions; (iii) a change in the composition of the Board of Directors such that the incumbent directors cease to constitute at least a majority of the Board during any period of two consecutive years (including, for purposes of computing a majority, those persons approved by a vote of at least two-thirds of the Company directors then still in office who either (1) were directors at the beginning of the period or (2) whose election or nomination for election was previously so approved); (iv) the shareholders of the Company approve a merger or consolidation of the Company, with certain exceptions; or (v) the shareholders of the Company approve a plan of complete liquidation of the Company or an agreement for the sale or disposition by the Company of all or substantially all of the Company’s assets (excluding a spinoff distribution to shareholders of all or part of the Company’s equity interest in a subsidiary entity).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ind w:right="20" w:firstLine="648"/>
        <w:spacing w:after="0" w:line="255" w:lineRule="auto"/>
        <w:rPr>
          <w:sz w:val="20"/>
          <w:szCs w:val="20"/>
          <w:color w:val="auto"/>
        </w:rPr>
      </w:pPr>
      <w:r>
        <w:rPr>
          <w:rFonts w:ascii="Arial" w:cs="Arial" w:eastAsia="Arial" w:hAnsi="Arial"/>
          <w:sz w:val="18"/>
          <w:szCs w:val="18"/>
          <w:color w:val="auto"/>
        </w:rPr>
        <w:t>A termination is for “Cause” if it is for any of the following reasons: (i) an act of dishonesty constituting a felony under the laws of the executive’s domicile resulting or intending to result in gain or personal enrichment at the expense of the Company; (ii) the use of drugs or excessive and habitual use of alcohol either of which substantially affects the executive’s ability to perform their duties with the Company; or (iii) continued unauthorized and significant absences from duty (with certain exceptions). Notwithstanding the foregoing, the executive will not be deemed to have been terminated for cause unless there is a resolution adopted by at least three-fourths of the full Board of Directors finding that in their good faith opinion the executive was guilty of conduct set forth above and specifying the particulars in detail.</w:t>
      </w:r>
    </w:p>
    <w:p>
      <w:pPr>
        <w:spacing w:after="0" w:line="192"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A termination is for “Good Reason” if it is within two years following any of the following events: (i) a change in the executive’s title or corporation office that results in a material diminution of the executive’s authority, duties or responsibilities; the assignment to the executive of any duties inconsistent with their status with the Company; or a substantial adverse alteration in the nature or status of the executive’s responsibilities; (ii) the change of the principal business of the Company (as evidenced by certain conditions) to the extent that the change results in a material negative change to the executive’s duties, conditions under which the duties are performed, or compensation; (iii) a reduction in annual base salary, without the executive’s consent; (iv) the relocation of the executive’s principal office to a location more than 50 miles from the location where such office is located immediately prior to the change in control of the Company; (v) the failure to pay within seven days, without the executive’s consent, any portion of current compensation or installment of deferred compensation under any applicable deferred compensation program (with certain conditions); (vi) the failure to continue any compensation plan or equivalent plan in which the executive participated in immediately prior to a change in control (with certain conditions);</w:t>
      </w:r>
    </w:p>
    <w:p>
      <w:pPr>
        <w:spacing w:after="0" w:line="6" w:lineRule="exact"/>
        <w:rPr>
          <w:sz w:val="20"/>
          <w:szCs w:val="20"/>
          <w:color w:val="auto"/>
        </w:rPr>
      </w:pPr>
    </w:p>
    <w:p>
      <w:pPr>
        <w:jc w:val="both"/>
        <w:ind w:firstLine="8"/>
        <w:spacing w:after="0" w:line="271" w:lineRule="auto"/>
        <w:tabs>
          <w:tab w:leader="none" w:pos="3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failure to provide the executive with benefits substantially similar to those provided at the time of the change in control of the Company, the taking of any action by the Company that would directly or indirectly materially reduce any of such benefits or deprive the executive of any material fringe benefit provided at the time of the change in control of the Company, or the failure by the Company to provide the number of paid vacation days the executive is entitled on the basis of years of service with the Company in accordance with the Company’s normal vacation policy in effect at the time of the change in control of the Company; (viii) a breach of duty; or (ix) any termination of employment without a Notice of Termination.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TRANSACTIONS AND RELATIONSHIPS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 has entered into a change in control agreement with certain of the Company’s executive officers. See “Potential Payments Upon Termination or Change in Control”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 Policies and Procedures.</w:t>
      </w:r>
    </w:p>
    <w:p>
      <w:pPr>
        <w:spacing w:after="0" w:line="229" w:lineRule="exact"/>
        <w:rPr>
          <w:sz w:val="20"/>
          <w:szCs w:val="20"/>
          <w:color w:val="auto"/>
        </w:rPr>
      </w:pPr>
    </w:p>
    <w:p>
      <w:pPr>
        <w:ind w:right="440" w:firstLine="648"/>
        <w:spacing w:after="0" w:line="257" w:lineRule="auto"/>
        <w:rPr>
          <w:sz w:val="20"/>
          <w:szCs w:val="20"/>
          <w:color w:val="auto"/>
        </w:rPr>
      </w:pPr>
      <w:r>
        <w:rPr>
          <w:rFonts w:ascii="Arial" w:cs="Arial" w:eastAsia="Arial" w:hAnsi="Arial"/>
          <w:sz w:val="18"/>
          <w:szCs w:val="18"/>
          <w:color w:val="auto"/>
        </w:rPr>
        <w:t>The Company’s Board of Directors is responsible for the review, approval and ratification of transactions between the Company or any of its subsidiaries and a senior officer or director of the Company, members of their immediate family, a shareholder owning in excess of five percent of the Company or an entity which is owned or controlled by one of the foregoing. The Audit Committee assists the Board in exercising this authority by reviewing each such transaction and then reporting the results of its review to the Board with, if appropriate, a recommendation to approve, ratify or disallow such transaction.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OF COMPANY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To the best of our knowledge, no person or group (as those terms are used in Section 13(d)(3) of the Securities Exchange Act of 1934, as amended) beneficially owned, as of March 1, 2020, more than five percent of the shares of Common Stock outstanding, except as set forth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jc w:val="right"/>
              <w:ind w:right="954"/>
              <w:spacing w:after="0"/>
              <w:rPr>
                <w:sz w:val="20"/>
                <w:szCs w:val="20"/>
                <w:color w:val="auto"/>
              </w:rPr>
            </w:pPr>
            <w:r>
              <w:rPr>
                <w:rFonts w:ascii="Arial" w:cs="Arial" w:eastAsia="Arial" w:hAnsi="Arial"/>
                <w:sz w:val="18"/>
                <w:szCs w:val="18"/>
                <w:b w:val="1"/>
                <w:bCs w:val="1"/>
                <w:color w:val="auto"/>
              </w:rPr>
              <w:t>Amount of Common</w:t>
            </w:r>
          </w:p>
        </w:tc>
        <w:tc>
          <w:tcPr>
            <w:tcW w:w="180" w:type="dxa"/>
            <w:vAlign w:val="bottom"/>
          </w:tcPr>
          <w:p>
            <w:pPr>
              <w:spacing w:after="0"/>
              <w:rPr>
                <w:sz w:val="19"/>
                <w:szCs w:val="19"/>
                <w:color w:val="auto"/>
              </w:rPr>
            </w:pPr>
          </w:p>
        </w:tc>
        <w:tc>
          <w:tcPr>
            <w:tcW w:w="3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Percent of</w:t>
            </w:r>
          </w:p>
        </w:tc>
        <w:tc>
          <w:tcPr>
            <w:tcW w:w="0" w:type="dxa"/>
            <w:vAlign w:val="bottom"/>
          </w:tcPr>
          <w:p>
            <w:pPr>
              <w:spacing w:after="0"/>
              <w:rPr>
                <w:sz w:val="1"/>
                <w:szCs w:val="1"/>
                <w:color w:val="auto"/>
              </w:rPr>
            </w:pPr>
          </w:p>
        </w:tc>
      </w:tr>
      <w:tr>
        <w:trPr>
          <w:trHeight w:val="270"/>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20" w:type="dxa"/>
            <w:vAlign w:val="bottom"/>
            <w:tcBorders>
              <w:bottom w:val="single" w:sz="8" w:color="CCEEFF"/>
            </w:tcBorders>
          </w:tcPr>
          <w:p>
            <w:pPr>
              <w:spacing w:after="0"/>
              <w:rPr>
                <w:sz w:val="23"/>
                <w:szCs w:val="23"/>
                <w:color w:val="auto"/>
              </w:rPr>
            </w:pPr>
          </w:p>
        </w:tc>
        <w:tc>
          <w:tcPr>
            <w:tcW w:w="366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b w:val="1"/>
                <w:bCs w:val="1"/>
                <w:color w:val="auto"/>
              </w:rPr>
              <w:t>Stock Beneficially Owned</w:t>
            </w:r>
          </w:p>
        </w:tc>
        <w:tc>
          <w:tcPr>
            <w:tcW w:w="180" w:type="dxa"/>
            <w:vAlign w:val="bottom"/>
            <w:tcBorders>
              <w:bottom w:val="single" w:sz="8" w:color="CCEEFF"/>
            </w:tcBorders>
          </w:tcPr>
          <w:p>
            <w:pPr>
              <w:spacing w:after="0"/>
              <w:rPr>
                <w:sz w:val="23"/>
                <w:szCs w:val="23"/>
                <w:color w:val="auto"/>
              </w:rPr>
            </w:pPr>
          </w:p>
        </w:tc>
        <w:tc>
          <w:tcPr>
            <w:tcW w:w="346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8"/>
              </w:rPr>
              <w:t xml:space="preserve">Common Stock </w:t>
            </w:r>
            <w:r>
              <w:rPr>
                <w:rFonts w:ascii="Arial" w:cs="Arial" w:eastAsia="Arial" w:hAnsi="Arial"/>
                <w:sz w:val="29"/>
                <w:szCs w:val="29"/>
                <w:b w:val="1"/>
                <w:bCs w:val="1"/>
                <w:color w:val="auto"/>
                <w:w w:val="88"/>
                <w:vertAlign w:val="superscript"/>
              </w:rPr>
              <w:t>(1)</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3660" w:type="dxa"/>
            <w:vAlign w:val="bottom"/>
            <w:shd w:val="clear" w:color="auto" w:fill="CCEEFF"/>
          </w:tcPr>
          <w:p>
            <w:pPr>
              <w:spacing w:after="0" w:line="142" w:lineRule="exact"/>
              <w:rPr>
                <w:sz w:val="20"/>
                <w:szCs w:val="20"/>
                <w:color w:val="auto"/>
              </w:rPr>
            </w:pPr>
            <w:r>
              <w:rPr>
                <w:rFonts w:ascii="Arial" w:cs="Arial" w:eastAsia="Arial" w:hAnsi="Arial"/>
                <w:sz w:val="16"/>
                <w:szCs w:val="16"/>
                <w:color w:val="auto"/>
              </w:rPr>
              <w:t>Richard S. Warzala</w:t>
            </w:r>
          </w:p>
        </w:tc>
        <w:tc>
          <w:tcPr>
            <w:tcW w:w="120" w:type="dxa"/>
            <w:vAlign w:val="bottom"/>
            <w:shd w:val="clear" w:color="auto" w:fill="CCEEFF"/>
          </w:tcPr>
          <w:p>
            <w:pPr>
              <w:spacing w:after="0"/>
              <w:rPr>
                <w:sz w:val="12"/>
                <w:szCs w:val="12"/>
                <w:color w:val="auto"/>
              </w:rPr>
            </w:pPr>
          </w:p>
        </w:tc>
        <w:tc>
          <w:tcPr>
            <w:tcW w:w="366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auto"/>
              </w:rPr>
              <w:t>1,042,658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(2)</w:t>
            </w:r>
          </w:p>
        </w:tc>
        <w:tc>
          <w:tcPr>
            <w:tcW w:w="36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44"/>
        </w:trPr>
        <w:tc>
          <w:tcPr>
            <w:tcW w:w="36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60" w:type="dxa"/>
            <w:vAlign w:val="bottom"/>
            <w:shd w:val="clear" w:color="auto" w:fill="CCEEFF"/>
          </w:tcPr>
          <w:p>
            <w:pPr>
              <w:spacing w:after="0"/>
              <w:rPr>
                <w:sz w:val="3"/>
                <w:szCs w:val="3"/>
                <w:color w:val="auto"/>
              </w:rPr>
            </w:pPr>
          </w:p>
        </w:tc>
        <w:tc>
          <w:tcPr>
            <w:tcW w:w="180" w:type="dxa"/>
            <w:vAlign w:val="bottom"/>
            <w:vMerge w:val="continue"/>
            <w:shd w:val="clear" w:color="auto" w:fill="CCEEFF"/>
          </w:tcPr>
          <w:p>
            <w:pPr>
              <w:spacing w:after="0"/>
              <w:rPr>
                <w:sz w:val="3"/>
                <w:szCs w:val="3"/>
                <w:color w:val="auto"/>
              </w:rPr>
            </w:pPr>
          </w:p>
        </w:tc>
        <w:tc>
          <w:tcPr>
            <w:tcW w:w="34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495 Commerce Drive, Suite 3</w:t>
            </w:r>
          </w:p>
        </w:tc>
        <w:tc>
          <w:tcPr>
            <w:tcW w:w="12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Amherst, NY 14228</w:t>
            </w:r>
          </w:p>
        </w:tc>
        <w:tc>
          <w:tcPr>
            <w:tcW w:w="1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line="149" w:lineRule="exact"/>
              <w:rPr>
                <w:sz w:val="20"/>
                <w:szCs w:val="20"/>
                <w:color w:val="auto"/>
              </w:rPr>
            </w:pPr>
            <w:r>
              <w:rPr>
                <w:rFonts w:ascii="Arial" w:cs="Arial" w:eastAsia="Arial" w:hAnsi="Arial"/>
                <w:sz w:val="17"/>
                <w:szCs w:val="17"/>
                <w:color w:val="auto"/>
              </w:rPr>
              <w:t>BlackRock, Inc.</w:t>
            </w:r>
          </w:p>
        </w:tc>
        <w:tc>
          <w:tcPr>
            <w:tcW w:w="120" w:type="dxa"/>
            <w:vAlign w:val="bottom"/>
          </w:tcPr>
          <w:p>
            <w:pPr>
              <w:spacing w:after="0"/>
              <w:rPr>
                <w:sz w:val="12"/>
                <w:szCs w:val="12"/>
                <w:color w:val="auto"/>
              </w:rPr>
            </w:pPr>
          </w:p>
        </w:tc>
        <w:tc>
          <w:tcPr>
            <w:tcW w:w="3660" w:type="dxa"/>
            <w:vAlign w:val="bottom"/>
          </w:tcPr>
          <w:p>
            <w:pPr>
              <w:jc w:val="right"/>
              <w:spacing w:after="0" w:line="149" w:lineRule="exact"/>
              <w:rPr>
                <w:sz w:val="20"/>
                <w:szCs w:val="20"/>
                <w:color w:val="auto"/>
              </w:rPr>
            </w:pPr>
            <w:r>
              <w:rPr>
                <w:rFonts w:ascii="Arial" w:cs="Arial" w:eastAsia="Arial" w:hAnsi="Arial"/>
                <w:sz w:val="17"/>
                <w:szCs w:val="17"/>
                <w:color w:val="auto"/>
              </w:rPr>
              <w:t>502,694</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w w:val="87"/>
              </w:rPr>
              <w:t>(3)</w:t>
            </w:r>
          </w:p>
        </w:tc>
        <w:tc>
          <w:tcPr>
            <w:tcW w:w="3620" w:type="dxa"/>
            <w:vAlign w:val="bottom"/>
            <w:gridSpan w:val="2"/>
          </w:tcPr>
          <w:p>
            <w:pPr>
              <w:jc w:val="right"/>
              <w:ind w:right="20"/>
              <w:spacing w:after="0" w:line="149" w:lineRule="exact"/>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44"/>
        </w:trPr>
        <w:tc>
          <w:tcPr>
            <w:tcW w:w="3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3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55 East 52nd Street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New York, NY 10055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17830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83080" cy="8890"/>
                    </a:xfrm>
                    <a:prstGeom prst="rect">
                      <a:avLst/>
                    </a:prstGeom>
                    <a:noFill/>
                  </pic:spPr>
                </pic:pic>
              </a:graphicData>
            </a:graphic>
          </wp:anchor>
        </w:drawing>
        <w:t>The percentages are based upon 9,642,428 shares of Common Stock outstanding as of the Record Date.</w:t>
      </w:r>
    </w:p>
    <w:p>
      <w:pPr>
        <w:spacing w:after="0" w:line="225" w:lineRule="exact"/>
        <w:rPr>
          <w:rFonts w:ascii="Arial" w:cs="Arial" w:eastAsia="Arial" w:hAnsi="Arial"/>
          <w:sz w:val="18"/>
          <w:szCs w:val="18"/>
          <w:color w:val="auto"/>
        </w:rPr>
      </w:pPr>
    </w:p>
    <w:p>
      <w:pPr>
        <w:jc w:val="both"/>
        <w:ind w:left="660" w:hanging="652"/>
        <w:spacing w:after="0" w:line="31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87,936 shares of Common Stock granted as incentive restricted shares under the Company’s stock incentive plans that have not yet vested and 16,010 shares of Common Stock credited to the Company’s Employee Stock Ownership Plan (“ESOP”) account of Mr. Warzala. Except as set forth in this note (2), does not include shares held by the ESOP as to which Mr. Warzala serves as one of four trustees.</w:t>
      </w:r>
    </w:p>
    <w:p>
      <w:pPr>
        <w:spacing w:after="0" w:line="148" w:lineRule="exact"/>
        <w:rPr>
          <w:rFonts w:ascii="Arial" w:cs="Arial" w:eastAsia="Arial" w:hAnsi="Arial"/>
          <w:sz w:val="16"/>
          <w:szCs w:val="16"/>
          <w:color w:val="auto"/>
        </w:rPr>
      </w:pPr>
    </w:p>
    <w:p>
      <w:pPr>
        <w:ind w:left="660" w:right="60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upon a Statement on Schedule 13G filed with the SEC that indicated that BlackRock, Inc. has sole dispositive power with respect to 502,694 shares of Common Stock and sole voting power with respect to 494,281 shares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 and Directors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sets forth certain information available to the Company with respect to shares of Common Stock owned by each director, each nominee for director, each executive officer and all directors, nominees and executive officers as a group, as March 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Borders>
              <w:bottom w:val="single" w:sz="8" w:color="auto"/>
            </w:tcBorders>
            <w:gridSpan w:val="5"/>
          </w:tcPr>
          <w:p>
            <w:pPr>
              <w:jc w:val="center"/>
              <w:ind w:left="110"/>
              <w:spacing w:after="0"/>
              <w:rPr>
                <w:sz w:val="20"/>
                <w:szCs w:val="20"/>
                <w:color w:val="auto"/>
              </w:rPr>
            </w:pPr>
            <w:r>
              <w:rPr>
                <w:rFonts w:ascii="Arial" w:cs="Arial" w:eastAsia="Arial" w:hAnsi="Arial"/>
                <w:sz w:val="18"/>
                <w:szCs w:val="18"/>
                <w:b w:val="1"/>
                <w:bCs w:val="1"/>
                <w:color w:val="auto"/>
                <w:w w:val="91"/>
              </w:rPr>
              <w:t>Amount and Nature of Beneficial Ownership</w:t>
            </w: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6"/>
              </w:rPr>
              <w:t>Unvested</w:t>
            </w:r>
          </w:p>
        </w:tc>
        <w:tc>
          <w:tcPr>
            <w:tcW w:w="1060" w:type="dxa"/>
            <w:vAlign w:val="bottom"/>
          </w:tcPr>
          <w:p>
            <w:pPr>
              <w:jc w:val="center"/>
              <w:ind w:left="90"/>
              <w:spacing w:after="0" w:line="191" w:lineRule="exact"/>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Percentage of</w:t>
            </w:r>
          </w:p>
        </w:tc>
        <w:tc>
          <w:tcPr>
            <w:tcW w:w="0" w:type="dxa"/>
            <w:vAlign w:val="bottom"/>
          </w:tcPr>
          <w:p>
            <w:pPr>
              <w:spacing w:after="0"/>
              <w:rPr>
                <w:sz w:val="1"/>
                <w:szCs w:val="1"/>
                <w:color w:val="auto"/>
              </w:rPr>
            </w:pPr>
          </w:p>
        </w:tc>
      </w:tr>
      <w:tr>
        <w:trPr>
          <w:trHeight w:val="180"/>
        </w:trPr>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200"/>
              <w:spacing w:after="0" w:line="181" w:lineRule="exact"/>
              <w:rPr>
                <w:sz w:val="20"/>
                <w:szCs w:val="20"/>
                <w:color w:val="auto"/>
              </w:rPr>
            </w:pPr>
            <w:r>
              <w:rPr>
                <w:rFonts w:ascii="Arial" w:cs="Arial" w:eastAsia="Arial" w:hAnsi="Arial"/>
                <w:sz w:val="18"/>
                <w:szCs w:val="18"/>
                <w:b w:val="1"/>
                <w:bCs w:val="1"/>
                <w:color w:val="auto"/>
                <w:w w:val="88"/>
              </w:rPr>
              <w:t>Restricted</w:t>
            </w:r>
          </w:p>
        </w:tc>
        <w:tc>
          <w:tcPr>
            <w:tcW w:w="1060" w:type="dxa"/>
            <w:vAlign w:val="bottom"/>
          </w:tcPr>
          <w:p>
            <w:pPr>
              <w:jc w:val="center"/>
              <w:ind w:left="90"/>
              <w:spacing w:after="0" w:line="181" w:lineRule="exact"/>
              <w:rPr>
                <w:sz w:val="20"/>
                <w:szCs w:val="20"/>
                <w:color w:val="auto"/>
              </w:rPr>
            </w:pPr>
            <w:r>
              <w:rPr>
                <w:rFonts w:ascii="Arial" w:cs="Arial" w:eastAsia="Arial" w:hAnsi="Arial"/>
                <w:sz w:val="18"/>
                <w:szCs w:val="18"/>
                <w:b w:val="1"/>
                <w:bCs w:val="1"/>
                <w:color w:val="auto"/>
                <w:w w:val="89"/>
              </w:rPr>
              <w:t>Beneficial</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Common Stock</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Stock</w:t>
            </w:r>
          </w:p>
        </w:tc>
        <w:tc>
          <w:tcPr>
            <w:tcW w:w="106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Ownership</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20" w:type="dxa"/>
            <w:vAlign w:val="bottom"/>
            <w:gridSpan w:val="3"/>
          </w:tcPr>
          <w:p>
            <w:pPr>
              <w:jc w:val="right"/>
              <w:ind w:right="200"/>
              <w:spacing w:after="0" w:line="270" w:lineRule="exact"/>
              <w:rPr>
                <w:sz w:val="20"/>
                <w:szCs w:val="20"/>
                <w:color w:val="auto"/>
              </w:rPr>
            </w:pPr>
            <w:r>
              <w:rPr>
                <w:rFonts w:ascii="Arial" w:cs="Arial" w:eastAsia="Arial" w:hAnsi="Arial"/>
                <w:sz w:val="18"/>
                <w:szCs w:val="18"/>
                <w:b w:val="1"/>
                <w:bCs w:val="1"/>
                <w:color w:val="auto"/>
                <w:w w:val="93"/>
              </w:rPr>
              <w:t xml:space="preserve">Common Stock </w:t>
            </w:r>
            <w:r>
              <w:rPr>
                <w:rFonts w:ascii="Arial" w:cs="Arial" w:eastAsia="Arial" w:hAnsi="Arial"/>
                <w:sz w:val="29"/>
                <w:szCs w:val="29"/>
                <w:b w:val="1"/>
                <w:bCs w:val="1"/>
                <w:color w:val="auto"/>
                <w:w w:val="93"/>
                <w:vertAlign w:val="superscript"/>
              </w:rPr>
              <w:t>(1)</w:t>
            </w:r>
          </w:p>
        </w:tc>
        <w:tc>
          <w:tcPr>
            <w:tcW w:w="0" w:type="dxa"/>
            <w:vAlign w:val="bottom"/>
          </w:tcPr>
          <w:p>
            <w:pPr>
              <w:spacing w:after="0"/>
              <w:rPr>
                <w:sz w:val="1"/>
                <w:szCs w:val="1"/>
                <w:color w:val="auto"/>
              </w:rPr>
            </w:pPr>
          </w:p>
        </w:tc>
      </w:tr>
      <w:tr>
        <w:trPr>
          <w:trHeight w:val="210"/>
        </w:trPr>
        <w:tc>
          <w:tcPr>
            <w:tcW w:w="5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Linda P. Duch</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Robert B. Engel</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10,486</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243</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10,729</w:t>
            </w:r>
          </w:p>
        </w:tc>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Federico</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37,879</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1,592</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39,471</w:t>
            </w:r>
          </w:p>
        </w:tc>
        <w:tc>
          <w:tcPr>
            <w:tcW w:w="1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320" w:type="dxa"/>
            <w:vAlign w:val="bottom"/>
            <w:gridSpan w:val="2"/>
          </w:tcPr>
          <w:p>
            <w:pPr>
              <w:spacing w:after="0"/>
              <w:rPr>
                <w:sz w:val="20"/>
                <w:szCs w:val="20"/>
                <w:color w:val="auto"/>
              </w:rPr>
            </w:pPr>
            <w:r>
              <w:rPr>
                <w:rFonts w:ascii="Arial" w:cs="Arial" w:eastAsia="Arial" w:hAnsi="Arial"/>
                <w:sz w:val="18"/>
                <w:szCs w:val="18"/>
                <w:color w:val="auto"/>
              </w:rPr>
              <w:t>Gerald J. (Bud) Laber.</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37,771</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1,143</w:t>
            </w:r>
          </w:p>
        </w:tc>
        <w:tc>
          <w:tcPr>
            <w:tcW w:w="1060" w:type="dxa"/>
            <w:vAlign w:val="bottom"/>
          </w:tcPr>
          <w:p>
            <w:pPr>
              <w:jc w:val="right"/>
              <w:spacing w:after="0"/>
              <w:rPr>
                <w:sz w:val="20"/>
                <w:szCs w:val="20"/>
                <w:color w:val="auto"/>
              </w:rPr>
            </w:pPr>
            <w:r>
              <w:rPr>
                <w:rFonts w:ascii="Arial" w:cs="Arial" w:eastAsia="Arial" w:hAnsi="Arial"/>
                <w:sz w:val="18"/>
                <w:szCs w:val="18"/>
                <w:color w:val="auto"/>
              </w:rPr>
              <w:t>38,914</w:t>
            </w:r>
          </w:p>
        </w:tc>
        <w:tc>
          <w:tcPr>
            <w:tcW w:w="280" w:type="dxa"/>
            <w:vAlign w:val="bottom"/>
            <w:gridSpan w:val="2"/>
          </w:tcPr>
          <w:p>
            <w:pPr>
              <w:jc w:val="right"/>
              <w:ind w:right="100"/>
              <w:spacing w:after="0"/>
              <w:rPr>
                <w:sz w:val="20"/>
                <w:szCs w:val="20"/>
                <w:color w:val="auto"/>
              </w:rPr>
            </w:pPr>
            <w:r>
              <w:rPr>
                <w:rFonts w:ascii="Arial" w:cs="Arial" w:eastAsia="Arial" w:hAnsi="Arial"/>
                <w:sz w:val="15"/>
                <w:szCs w:val="15"/>
                <w:color w:val="auto"/>
                <w:w w:val="87"/>
              </w:rPr>
              <w:t>(2)</w:t>
            </w:r>
          </w:p>
        </w:tc>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Leach</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14,853</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14,273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7"/>
              </w:rPr>
              <w:t>(3)</w:t>
            </w:r>
          </w:p>
        </w:tc>
        <w:tc>
          <w:tcPr>
            <w:tcW w:w="1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320" w:type="dxa"/>
            <w:vAlign w:val="bottom"/>
            <w:gridSpan w:val="2"/>
          </w:tcPr>
          <w:p>
            <w:pPr>
              <w:spacing w:after="0"/>
              <w:rPr>
                <w:sz w:val="20"/>
                <w:szCs w:val="20"/>
                <w:color w:val="auto"/>
              </w:rPr>
            </w:pPr>
            <w:r>
              <w:rPr>
                <w:rFonts w:ascii="Arial" w:cs="Arial" w:eastAsia="Arial" w:hAnsi="Arial"/>
                <w:sz w:val="18"/>
                <w:szCs w:val="18"/>
                <w:color w:val="auto"/>
              </w:rPr>
              <w:t>Robert P. Maida.</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42,543</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13,067</w:t>
            </w:r>
          </w:p>
        </w:tc>
        <w:tc>
          <w:tcPr>
            <w:tcW w:w="1060" w:type="dxa"/>
            <w:vAlign w:val="bottom"/>
          </w:tcPr>
          <w:p>
            <w:pPr>
              <w:jc w:val="right"/>
              <w:spacing w:after="0"/>
              <w:rPr>
                <w:sz w:val="20"/>
                <w:szCs w:val="20"/>
                <w:color w:val="auto"/>
              </w:rPr>
            </w:pPr>
            <w:r>
              <w:rPr>
                <w:rFonts w:ascii="Arial" w:cs="Arial" w:eastAsia="Arial" w:hAnsi="Arial"/>
                <w:sz w:val="18"/>
                <w:szCs w:val="18"/>
                <w:color w:val="auto"/>
              </w:rPr>
              <w:t>58,042</w:t>
            </w:r>
          </w:p>
        </w:tc>
        <w:tc>
          <w:tcPr>
            <w:tcW w:w="280" w:type="dxa"/>
            <w:vAlign w:val="bottom"/>
            <w:gridSpan w:val="2"/>
          </w:tcPr>
          <w:p>
            <w:pPr>
              <w:jc w:val="right"/>
              <w:ind w:right="100"/>
              <w:spacing w:after="0"/>
              <w:rPr>
                <w:sz w:val="20"/>
                <w:szCs w:val="20"/>
                <w:color w:val="auto"/>
              </w:rPr>
            </w:pPr>
            <w:r>
              <w:rPr>
                <w:rFonts w:ascii="Arial" w:cs="Arial" w:eastAsia="Arial" w:hAnsi="Arial"/>
                <w:sz w:val="15"/>
                <w:szCs w:val="15"/>
                <w:color w:val="auto"/>
                <w:w w:val="87"/>
              </w:rPr>
              <w:t>(4)</w:t>
            </w:r>
          </w:p>
        </w:tc>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448,966</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450,109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7"/>
              </w:rPr>
              <w:t>(5)</w:t>
            </w: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James J. Tanous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15,002</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1,143</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16,145</w:t>
            </w:r>
          </w:p>
        </w:tc>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954,722</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87,936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1,042,658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7"/>
              </w:rPr>
              <w:t>(6)</w:t>
            </w: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Michael R. Winter</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14,975</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1,143</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16,118</w:t>
            </w:r>
          </w:p>
        </w:tc>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Stock Ownership Plan</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394,276</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394,276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7"/>
              </w:rPr>
              <w:t>(7)</w:t>
            </w: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All directors, nominees and executive officers as a group</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1,956,428</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122,055</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2,078,483</w:t>
            </w: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7830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6"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25"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percentages are based upon 9,642,428 shares of Common Stock outstanding as of the Record Date.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12,000 shares of Common Stock held by Mr. Laber’s 401k Plan.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774 shares of Common Stock credited to the ESOP account of Mr. Leach.</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2,432 shares of Common Stock credited to the ESOP account of Mr. Maida.</w:t>
      </w:r>
    </w:p>
    <w:p>
      <w:pPr>
        <w:spacing w:after="0" w:line="225"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(i) 420,022 shares of Common Stock held by Smith Family Trust, of which Mr. Smith is trustee and (ii) 28,200 shares of Common Stock held by UGMA accounts for the benefit of Mr. Smith’s grandchildren.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 note (2) under “Security Ownership of Certain Beneficial Owners.”</w:t>
      </w:r>
    </w:p>
    <w:p>
      <w:pPr>
        <w:spacing w:after="0" w:line="225" w:lineRule="exact"/>
        <w:rPr>
          <w:rFonts w:ascii="Arial" w:cs="Arial" w:eastAsia="Arial" w:hAnsi="Arial"/>
          <w:sz w:val="18"/>
          <w:szCs w:val="18"/>
          <w:color w:val="auto"/>
        </w:rPr>
      </w:pPr>
    </w:p>
    <w:p>
      <w:pPr>
        <w:ind w:left="660" w:right="40" w:hanging="652"/>
        <w:spacing w:after="0" w:line="31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Messrs. Warzala and Leach are trustees of the ESOP and could be deemed to have shared investment power over those shares. The ESOP holds an aggregate of 394,276 shares of Common Stock, including 774 shares credited to the ESOP account of Mr. Leach, 2,432 shares credited to the ESOP account of Mr. Maida, and 16,010 shares credited to the ESOP account of Mr. Warzala, previously reported in this table.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Section 16(a) of the Securities Exchange Act of 1934 requires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were met for 2019 with the exception of certain filings to report the withholding of shares to pay taxes upon the vesting of restricted stock awards to three executive officers. All reports are current as of the date hereof.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1" w:name="page32"/>
    <w:bookmarkEnd w:id="31"/>
    <w:p>
      <w:pPr>
        <w:jc w:val="center"/>
        <w:ind w:right="-59"/>
        <w:spacing w:after="0"/>
        <w:rPr>
          <w:sz w:val="20"/>
          <w:szCs w:val="20"/>
          <w:color w:val="auto"/>
        </w:rPr>
      </w:pPr>
      <w:r>
        <w:rPr>
          <w:rFonts w:ascii="Arial" w:cs="Arial" w:eastAsia="Arial" w:hAnsi="Arial"/>
          <w:sz w:val="18"/>
          <w:szCs w:val="18"/>
          <w:b w:val="1"/>
          <w:bCs w:val="1"/>
          <w:color w:val="auto"/>
        </w:rPr>
        <w:t>AUDIT COMMITTEE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84"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Management is responsible for the Company’s financial statements and reporting process. The Company’s independent registered public accounting firm, Deloitte &amp; Touch LLP is responsible for performing an independent audit of the Company’s annual financial statements in accordance with the standards of the Public Company Accounting Oversight Board (United States) (“PCAOB”) and for issuing a report on those statements.</w:t>
      </w:r>
    </w:p>
    <w:p>
      <w:pPr>
        <w:spacing w:after="0" w:line="14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As members of the Audit Committee, our work is guided by our Audit Committee Charter. The Charter is reviewed annually by the Board of Directors. The Charter is posted on the Company’s website. We have completed all Charter tasks scheduled to be performed in 2019 prior to year-end and all Charter tasks scheduled to be performed in 2020 prior to the filing of this proxy statement. Our work included, among other procedures:</w:t>
      </w:r>
    </w:p>
    <w:p>
      <w:pPr>
        <w:spacing w:after="0" w:line="165" w:lineRule="exact"/>
        <w:rPr>
          <w:sz w:val="20"/>
          <w:szCs w:val="20"/>
          <w:color w:val="auto"/>
        </w:rPr>
      </w:pPr>
    </w:p>
    <w:p>
      <w:pPr>
        <w:ind w:left="1180" w:hanging="52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pre-approved audit and permitted non-audit services of the Company’s independent auditors.</w:t>
      </w:r>
    </w:p>
    <w:p>
      <w:pPr>
        <w:spacing w:after="0" w:line="225" w:lineRule="exact"/>
        <w:rPr>
          <w:rFonts w:ascii="Arial" w:cs="Arial" w:eastAsia="Arial" w:hAnsi="Arial"/>
          <w:sz w:val="18"/>
          <w:szCs w:val="18"/>
          <w:color w:val="auto"/>
        </w:rPr>
      </w:pPr>
    </w:p>
    <w:p>
      <w:pPr>
        <w:ind w:right="460" w:firstLine="656"/>
        <w:spacing w:after="0" w:line="277" w:lineRule="auto"/>
        <w:tabs>
          <w:tab w:leader="none" w:pos="1169"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met with management and the independent auditors on a quarterly basis to discuss financial statements and related reports and to review significant accounting and reporting matters.</w:t>
      </w:r>
    </w:p>
    <w:p>
      <w:pPr>
        <w:spacing w:after="0" w:line="170" w:lineRule="exact"/>
        <w:rPr>
          <w:rFonts w:ascii="Arial" w:cs="Arial" w:eastAsia="Arial" w:hAnsi="Arial"/>
          <w:sz w:val="18"/>
          <w:szCs w:val="18"/>
          <w:color w:val="auto"/>
        </w:rPr>
      </w:pPr>
    </w:p>
    <w:p>
      <w:pPr>
        <w:ind w:right="100" w:firstLine="656"/>
        <w:spacing w:after="0" w:line="263" w:lineRule="auto"/>
        <w:tabs>
          <w:tab w:leader="none" w:pos="1169"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discussed with the independent auditors their independence and the matters required to be discussed by Auditing Standards No. 1301, “Communications with Audit Committees.” We received the written disclosures from the independent auditors required by PCAOB Rule 3526, “Communication with Audit Committees Concerning Independence.”</w:t>
      </w:r>
    </w:p>
    <w:p>
      <w:pPr>
        <w:spacing w:after="0" w:line="183" w:lineRule="exact"/>
        <w:rPr>
          <w:rFonts w:ascii="Arial" w:cs="Arial" w:eastAsia="Arial" w:hAnsi="Arial"/>
          <w:sz w:val="18"/>
          <w:szCs w:val="18"/>
          <w:color w:val="auto"/>
        </w:rPr>
      </w:pPr>
    </w:p>
    <w:p>
      <w:pPr>
        <w:ind w:right="100" w:firstLine="656"/>
        <w:spacing w:after="0" w:line="277" w:lineRule="auto"/>
        <w:tabs>
          <w:tab w:leader="none" w:pos="1173"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to their publication, we reviewed and discussed with management and the independent auditors the Company’s December 31, 2019, audited financial statements, the related audit report, and the applicable management’s discussion and analysis.</w:t>
      </w:r>
    </w:p>
    <w:p>
      <w:pPr>
        <w:spacing w:after="0" w:line="170"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Based on the work referred to above, we recommended to the Board of Directors that the Board approve the inclusion of the Company’s audited financial statements in the Company’s Annual Report on Form 10-K for the fiscal year ended December 31, 2019, for filing with the SEC.</w:t>
      </w:r>
    </w:p>
    <w:p>
      <w:pPr>
        <w:spacing w:after="0" w:line="1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Submitted by: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AUDIT COMMITTEE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R. Winter, Chairman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Linda P. Duch</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Robert B. Engel</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Gerald J. (Bud) Laber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James J. Tanous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Independent Registered Public Accounting Firm</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Audit Committee is responsible for the appointment, fees and oversight of the Company’s independent registered public accounting firm. In 2018, as part of its governance oversight, the Audit Committee conducted a comprehensive, competitive process to select the company’s independent registered public accounting firm. The Audit Committee invited several public accounting firms to participate in this process, including EKS&amp;H LLP. As a result of this process, on August 1, 2018, the Audit Committee approved the appointment of Deloitte &amp; Touche LLP, as the company’s independent registered public accounting firm for the fiscal year ending December 31, 2018. This action effectively dismissed EKS&amp;H as the Company’s independent registered public accounting firm.</w:t>
      </w:r>
    </w:p>
    <w:p>
      <w:pPr>
        <w:spacing w:after="0" w:line="19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audit reports of EKS&amp;H LLP on the Company’s financial statements for the fiscal years ended December 31, 2017 and 2016 did not contain an adverse opinion or a disclaimer of opinion and were not qualified or modified as to uncertainty, audit scope or accounting principles. During the fiscal years ended December 31, 2017 and 2016 and through August 1, 2018, there were no disagreements with EKS&amp;H LLP on any matter of accounting principles or practices, financial statement disclosures, or auditing scope or procedure, which disagreements, if not resolved to the satisfaction of EKS&amp;H LLP, would have caused EKS&amp;H LLP to make reference to the subject matter of the disagreements in connection with its reports on the Company’s financial statements for such periods. Also during the fiscal years ended December 31, 2017 and 2016 and through August 1, 2018, there were no “reportable events” as described in Item 304(a)(1)(v) of Regulation S-K. The Company requested that EKS&amp;H LLP furnish it with a letter addressed to the SEC stating whether or not EKS&amp;H LLP agreed with the above statements. A copy of such letter, dated August 1, 2018, was filed as Exhibit 16.1 to the Company’s Current Report on Form 8-K filed on August 7, 2018.</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2" w:name="page33"/>
    <w:bookmarkEnd w:id="32"/>
    <w:p>
      <w:pPr>
        <w:ind w:right="20" w:firstLine="648"/>
        <w:spacing w:after="0" w:line="308" w:lineRule="auto"/>
        <w:rPr>
          <w:sz w:val="20"/>
          <w:szCs w:val="20"/>
          <w:color w:val="auto"/>
        </w:rPr>
      </w:pPr>
      <w:r>
        <w:rPr>
          <w:rFonts w:ascii="Arial" w:cs="Arial" w:eastAsia="Arial" w:hAnsi="Arial"/>
          <w:sz w:val="17"/>
          <w:szCs w:val="17"/>
          <w:color w:val="auto"/>
        </w:rPr>
        <w:t>During the Company’s fiscal years ended December 31, 2017 and 2016 and through August 1, 2018, neither the Company nor anyone acting on its behalf consulted with Deloitte &amp; Touche regarding any of the matters described in Items 304(a)(2)(i) and (ii) of Regulation S-K.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For Pre-Approval of Audit and Permitted Non-Audit Services</w:t>
      </w:r>
    </w:p>
    <w:p>
      <w:pPr>
        <w:spacing w:after="0" w:line="229"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The Audit Committee of the Board has adopted policies and procedures providing for the pre-approval of audit and non-audit services performed by the Company’s independent registered public accounting firm. Pre-approval may be given as part of the Audit Committee’s approval on the engagement of the independent auditor or on an individual case-by-case basis before the independent auditor is engaged to provide each service. The pre-approval of services may be delegated to the Audit Committee chairman, but the decision is subsequently reported to the full Audit Committee.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Fees and Services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 shows fees for the audit and other services provided by Deloitte &amp; Touche LLP and EKS&amp;H LLP for 2019 and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Borders>
              <w:bottom w:val="single" w:sz="8" w:color="CCEEFF"/>
            </w:tcBorders>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09"/>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34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818,000</w:t>
            </w: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Audit-Related Fees(2)</w:t>
            </w:r>
          </w:p>
        </w:tc>
        <w:tc>
          <w:tcPr>
            <w:tcW w:w="37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44,000</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37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64,000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tcBorders>
              <w:bottom w:val="single" w:sz="8" w:color="CCEEFF"/>
            </w:tcBorders>
          </w:tcPr>
          <w:p>
            <w:pPr>
              <w:spacing w:after="0"/>
              <w:rPr>
                <w:sz w:val="19"/>
                <w:szCs w:val="19"/>
                <w:color w:val="auto"/>
              </w:rPr>
            </w:pPr>
          </w:p>
        </w:tc>
        <w:tc>
          <w:tcPr>
            <w:tcW w:w="3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23"/>
        </w:trPr>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4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0"/>
          <w:szCs w:val="20"/>
          <w:color w:val="auto"/>
        </w:rPr>
      </w:pPr>
    </w:p>
    <w:p>
      <w:pPr>
        <w:ind w:left="1680" w:right="500" w:hanging="646"/>
        <w:spacing w:after="0" w:line="286" w:lineRule="auto"/>
        <w:tabs>
          <w:tab w:leader="none" w:pos="1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Audit fees includes amounts related to professional services provided in connection with the audits of the Company’s annual financial statements, including the audit of the Company’s internal control over financial reporting, reviews of the Company’s quarterly financial statements and audit services provided in connection with other regulatory filings.</w:t>
      </w:r>
    </w:p>
    <w:p>
      <w:pPr>
        <w:spacing w:after="0" w:line="165" w:lineRule="exact"/>
        <w:rPr>
          <w:rFonts w:ascii="Arial" w:cs="Arial" w:eastAsia="Arial" w:hAnsi="Arial"/>
          <w:sz w:val="17"/>
          <w:szCs w:val="17"/>
          <w:color w:val="auto"/>
        </w:rPr>
      </w:pPr>
    </w:p>
    <w:p>
      <w:pPr>
        <w:ind w:left="1680" w:hanging="646"/>
        <w:spacing w:after="0"/>
        <w:tabs>
          <w:tab w:leader="none" w:pos="1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Audit-related fees are for benefit plan audits.</w:t>
      </w:r>
    </w:p>
    <w:p>
      <w:pPr>
        <w:spacing w:after="0" w:line="225" w:lineRule="exact"/>
        <w:rPr>
          <w:rFonts w:ascii="Arial" w:cs="Arial" w:eastAsia="Arial" w:hAnsi="Arial"/>
          <w:sz w:val="18"/>
          <w:szCs w:val="18"/>
          <w:color w:val="auto"/>
        </w:rPr>
      </w:pPr>
    </w:p>
    <w:p>
      <w:pPr>
        <w:ind w:left="1680" w:hanging="646"/>
        <w:spacing w:after="0"/>
        <w:tabs>
          <w:tab w:leader="none" w:pos="1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Tax fees consists of fees for tax consulting services.</w:t>
      </w:r>
    </w:p>
    <w:p>
      <w:pPr>
        <w:spacing w:after="0" w:line="225"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The Audit Committee has considered whether provision of the non-audit related services described above is compatible with maintaining the independent accountants’ independence and has determined that those services have not adversely affected Deloitte &amp; Touche LLP’s independence.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Our management does not know of any other matters to come before the 2020 Annual Meeting. However, if any other matters come before the Annual Meeting, it is the intention of the persons designated as proxies to vote in accordance with their judgment on such matters.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PROPOSALS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2021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for the Company’s Proxy Material</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Any Company shareholder who wishes to submit a proposal to be included in the Proxy Material for the Company’s 2021 Annual Meeting of Shareholders must submit such proposal to the Company at its office at 495 Commerce Drive, Suite 3, Amherst, New York 14228, Attention: Secretary, no later than December 4, 2020, in order to be considered for inclusion, if appropriate, in the Company’s proxy statement and form of proxy relating to its 2021 Annual Meeting of Shareholders.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Proposals to be Introduced at the Annual Meeting but not Intended to be Included in the Company’s Proxy Material</w:t>
      </w:r>
    </w:p>
    <w:p>
      <w:pPr>
        <w:spacing w:after="0" w:line="229"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For any shareholder proposal to be presented in connection with the 2021 Annual Meeting of Shareholders, including any proposal relating to the nomination of a director to be elected to the Board of Directors of the Company, a shareholder must give timely written notice thereof in writing to the Secretary of the Company in compliance with the advance notice and eligibility requirements contained in the Company’s Bylaws. To be timely, a shareholder’s notice must be delivered to the Secretary at the principal executive offices of the Company not less than 60 days and not more than 90 days prior to the first anniversary of the preceding year’s annual meeting; provided, however, that in the event the date of the annual meeting has been changed by more than 30 days from the date contemplated at the time of the previous year’s proxy statement, notice by the shareholder to be timely must be so received at a reasonable time before the solicitation is made. The notice must contain specified information about each nominee or the proposed business and the shareholder making the nomination or proposal.</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upon a meeting date of May 6, 2020 for the 2020 Annual Meeting of Shareholders, a qualified shareholder intending to introduce a proposal or nominate a director at the 2021 Annual Meeting of Shareholders should give written notice to the Company’s Secretary not later than March 7, 2021 and not earlier than February 5, 2021.</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specific requirements of these advance notice and eligibility provisions are set forth in Article II of the Company’s Bylaws, a copy of which is available upon request.</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Such requests and any shareholder proposals should be sent to the Secretary of the Company at Allied Motion Technologies Inc., 495 Commerce Drive, Suite 3, Amherst, New York 14228.</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1234440" cy="4883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3444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JOSEPH P. KUBAREK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3,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ALLIED MOTION TECHNOLOGIES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495 Commerce Drive, Suite 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Amherst, New York 14228</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undersigned hereby appoints Richard S. Warzala and Richard D. Federico, or either of them, proxies for the undersigned, each with the power of substitution, and hereby authorizes them to vote, as designated below, all the shares of common stock, no par value, which the undersigned would be entitled to vote at the annual meeting of shareholders of Allied Motion Technologies Inc. (the “Company”) to be held on May 6, 2020, and at all adjournments thereof, and directs that the shares represented by this proxy should be voted as indicated on the reverse: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ANNUAL MEETING OF SHAREHOLDERS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ALLIED MOTION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6,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INTERNET AVAILABILITY OF PROXY MATERIAL: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Notice of Meeting, proxy statement and proxy card are available at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www.proxyvote.com</w:t>
      </w:r>
    </w:p>
    <w:p>
      <w:pPr>
        <w:spacing w:after="0" w:line="21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TO ELECT SEVEN DIRECTORS TO HOLD OFFICE UNTIL THE NEXT ANNUAL MEETING OF SHAREHOLDERS.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NOMINEE:</w:t>
            </w:r>
          </w:p>
        </w:tc>
        <w:tc>
          <w:tcPr>
            <w:tcW w:w="1880" w:type="dxa"/>
            <w:vAlign w:val="bottom"/>
            <w:vMerge w:val="restart"/>
          </w:tcPr>
          <w:p>
            <w:pPr>
              <w:ind w:left="7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p>
        </w:tc>
        <w:tc>
          <w:tcPr>
            <w:tcW w:w="1900" w:type="dxa"/>
            <w:vAlign w:val="bottom"/>
            <w:vMerge w:val="restart"/>
          </w:tcPr>
          <w:p>
            <w:pPr>
              <w:ind w:lef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AGAINST</w:t>
            </w:r>
          </w:p>
        </w:tc>
        <w:tc>
          <w:tcPr>
            <w:tcW w:w="3920" w:type="dxa"/>
            <w:vAlign w:val="bottom"/>
            <w:vMerge w:val="restart"/>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ABSTAIN</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900" w:type="dxa"/>
            <w:vAlign w:val="bottom"/>
          </w:tcPr>
          <w:p>
            <w:pPr>
              <w:ind w:left="140"/>
              <w:spacing w:after="0" w:line="183" w:lineRule="exact"/>
              <w:rPr>
                <w:sz w:val="20"/>
                <w:szCs w:val="20"/>
                <w:color w:val="auto"/>
              </w:rPr>
            </w:pPr>
            <w:r>
              <w:rPr>
                <w:rFonts w:ascii="Arial" w:cs="Arial" w:eastAsia="Arial" w:hAnsi="Arial"/>
                <w:sz w:val="18"/>
                <w:szCs w:val="18"/>
                <w:color w:val="auto"/>
              </w:rPr>
              <w:t>L.P. Duch</w:t>
            </w:r>
          </w:p>
        </w:tc>
        <w:tc>
          <w:tcPr>
            <w:tcW w:w="1880" w:type="dxa"/>
            <w:vAlign w:val="bottom"/>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3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R.B. Engel</w:t>
            </w:r>
          </w:p>
        </w:tc>
        <w:tc>
          <w:tcPr>
            <w:tcW w:w="1880" w:type="dxa"/>
            <w:vAlign w:val="bottom"/>
          </w:tcPr>
          <w:p>
            <w:pPr>
              <w:ind w:left="7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p>
        </w:tc>
        <w:tc>
          <w:tcPr>
            <w:tcW w:w="1900" w:type="dxa"/>
            <w:vAlign w:val="bottom"/>
          </w:tcPr>
          <w:p>
            <w:pPr>
              <w:ind w:lef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AGAINST</w:t>
            </w:r>
          </w:p>
        </w:tc>
        <w:tc>
          <w:tcPr>
            <w:tcW w:w="392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ABSTAIN</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R.D. Federico</w:t>
            </w:r>
          </w:p>
        </w:tc>
        <w:tc>
          <w:tcPr>
            <w:tcW w:w="1880" w:type="dxa"/>
            <w:vAlign w:val="bottom"/>
          </w:tcPr>
          <w:p>
            <w:pPr>
              <w:ind w:left="7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p>
        </w:tc>
        <w:tc>
          <w:tcPr>
            <w:tcW w:w="1900" w:type="dxa"/>
            <w:vAlign w:val="bottom"/>
          </w:tcPr>
          <w:p>
            <w:pPr>
              <w:ind w:lef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AGAINST</w:t>
            </w:r>
          </w:p>
        </w:tc>
        <w:tc>
          <w:tcPr>
            <w:tcW w:w="392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ABSTAIN</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G.J. Laber</w:t>
            </w:r>
          </w:p>
        </w:tc>
        <w:tc>
          <w:tcPr>
            <w:tcW w:w="1880" w:type="dxa"/>
            <w:vAlign w:val="bottom"/>
          </w:tcPr>
          <w:p>
            <w:pPr>
              <w:ind w:left="7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p>
        </w:tc>
        <w:tc>
          <w:tcPr>
            <w:tcW w:w="1900" w:type="dxa"/>
            <w:vAlign w:val="bottom"/>
          </w:tcPr>
          <w:p>
            <w:pPr>
              <w:ind w:lef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AGAINST</w:t>
            </w:r>
          </w:p>
        </w:tc>
        <w:tc>
          <w:tcPr>
            <w:tcW w:w="392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ABSTAIN</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J.J. Tanous</w:t>
            </w:r>
          </w:p>
        </w:tc>
        <w:tc>
          <w:tcPr>
            <w:tcW w:w="1880" w:type="dxa"/>
            <w:vAlign w:val="bottom"/>
          </w:tcPr>
          <w:p>
            <w:pPr>
              <w:ind w:left="7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p>
        </w:tc>
        <w:tc>
          <w:tcPr>
            <w:tcW w:w="1900" w:type="dxa"/>
            <w:vAlign w:val="bottom"/>
          </w:tcPr>
          <w:p>
            <w:pPr>
              <w:ind w:lef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AGAINST</w:t>
            </w:r>
          </w:p>
        </w:tc>
        <w:tc>
          <w:tcPr>
            <w:tcW w:w="392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ABSTAIN</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R.S. Warzala</w:t>
            </w:r>
          </w:p>
        </w:tc>
        <w:tc>
          <w:tcPr>
            <w:tcW w:w="1880" w:type="dxa"/>
            <w:vAlign w:val="bottom"/>
          </w:tcPr>
          <w:p>
            <w:pPr>
              <w:ind w:left="7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p>
        </w:tc>
        <w:tc>
          <w:tcPr>
            <w:tcW w:w="1900" w:type="dxa"/>
            <w:vAlign w:val="bottom"/>
          </w:tcPr>
          <w:p>
            <w:pPr>
              <w:ind w:lef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AGAINST</w:t>
            </w:r>
          </w:p>
        </w:tc>
        <w:tc>
          <w:tcPr>
            <w:tcW w:w="392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ABSTAIN</w:t>
            </w:r>
          </w:p>
        </w:tc>
        <w:tc>
          <w:tcPr>
            <w:tcW w:w="0" w:type="dxa"/>
            <w:vAlign w:val="bottom"/>
          </w:tcPr>
          <w:p>
            <w:pPr>
              <w:spacing w:after="0"/>
              <w:rPr>
                <w:sz w:val="1"/>
                <w:szCs w:val="1"/>
                <w:color w:val="auto"/>
              </w:rPr>
            </w:pPr>
          </w:p>
        </w:tc>
      </w:tr>
      <w:tr>
        <w:trPr>
          <w:trHeight w:val="283"/>
        </w:trPr>
        <w:tc>
          <w:tcPr>
            <w:tcW w:w="660" w:type="dxa"/>
            <w:vAlign w:val="bottom"/>
          </w:tcPr>
          <w:p>
            <w:pPr>
              <w:spacing w:after="0"/>
              <w:rPr>
                <w:sz w:val="24"/>
                <w:szCs w:val="24"/>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M.R. Winter</w:t>
            </w:r>
          </w:p>
        </w:tc>
        <w:tc>
          <w:tcPr>
            <w:tcW w:w="1880" w:type="dxa"/>
            <w:vAlign w:val="bottom"/>
          </w:tcPr>
          <w:p>
            <w:pPr>
              <w:ind w:left="7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p>
        </w:tc>
        <w:tc>
          <w:tcPr>
            <w:tcW w:w="1900" w:type="dxa"/>
            <w:vAlign w:val="bottom"/>
          </w:tcPr>
          <w:p>
            <w:pPr>
              <w:ind w:lef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AGAINST</w:t>
            </w:r>
          </w:p>
        </w:tc>
        <w:tc>
          <w:tcPr>
            <w:tcW w:w="392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ABSTAIN</w:t>
            </w:r>
          </w:p>
        </w:tc>
        <w:tc>
          <w:tcPr>
            <w:tcW w:w="0" w:type="dxa"/>
            <w:vAlign w:val="bottom"/>
          </w:tcPr>
          <w:p>
            <w:pPr>
              <w:spacing w:after="0"/>
              <w:rPr>
                <w:sz w:val="1"/>
                <w:szCs w:val="1"/>
                <w:color w:val="auto"/>
              </w:rPr>
            </w:pPr>
          </w:p>
        </w:tc>
      </w:tr>
      <w:tr>
        <w:trPr>
          <w:trHeight w:val="365"/>
        </w:trPr>
        <w:tc>
          <w:tcPr>
            <w:tcW w:w="660" w:type="dxa"/>
            <w:vAlign w:val="bottom"/>
          </w:tcPr>
          <w:p>
            <w:pPr>
              <w:spacing w:after="0"/>
              <w:rPr>
                <w:sz w:val="20"/>
                <w:szCs w:val="20"/>
                <w:color w:val="auto"/>
              </w:rPr>
            </w:pPr>
            <w:r>
              <w:rPr>
                <w:rFonts w:ascii="Arial" w:cs="Arial" w:eastAsia="Arial" w:hAnsi="Arial"/>
                <w:sz w:val="18"/>
                <w:szCs w:val="18"/>
                <w:color w:val="auto"/>
              </w:rPr>
              <w:t>Item 2.</w:t>
            </w:r>
          </w:p>
        </w:tc>
        <w:tc>
          <w:tcPr>
            <w:tcW w:w="9600" w:type="dxa"/>
            <w:vAlign w:val="bottom"/>
            <w:gridSpan w:val="4"/>
          </w:tcPr>
          <w:p>
            <w:pPr>
              <w:ind w:left="140"/>
              <w:spacing w:after="0"/>
              <w:rPr>
                <w:sz w:val="20"/>
                <w:szCs w:val="20"/>
                <w:color w:val="auto"/>
              </w:rPr>
            </w:pPr>
            <w:r>
              <w:rPr>
                <w:rFonts w:ascii="Arial" w:cs="Arial" w:eastAsia="Arial" w:hAnsi="Arial"/>
                <w:sz w:val="18"/>
                <w:szCs w:val="18"/>
                <w:color w:val="auto"/>
              </w:rPr>
              <w:t>ADVISORY VOTE TO APPROVE THE COMPENSATION OF OUR NAMED EXECUTIVE OFFICERS.</w:t>
            </w:r>
          </w:p>
        </w:tc>
        <w:tc>
          <w:tcPr>
            <w:tcW w:w="0" w:type="dxa"/>
            <w:vAlign w:val="bottom"/>
          </w:tcPr>
          <w:p>
            <w:pPr>
              <w:spacing w:after="0"/>
              <w:rPr>
                <w:sz w:val="1"/>
                <w:szCs w:val="1"/>
                <w:color w:val="auto"/>
              </w:rPr>
            </w:pPr>
          </w:p>
        </w:tc>
      </w:tr>
      <w:tr>
        <w:trPr>
          <w:trHeight w:val="283"/>
        </w:trPr>
        <w:tc>
          <w:tcPr>
            <w:tcW w:w="6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80" w:type="dxa"/>
            <w:vAlign w:val="bottom"/>
          </w:tcPr>
          <w:p>
            <w:pPr>
              <w:ind w:left="7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p>
        </w:tc>
        <w:tc>
          <w:tcPr>
            <w:tcW w:w="1900" w:type="dxa"/>
            <w:vAlign w:val="bottom"/>
          </w:tcPr>
          <w:p>
            <w:pPr>
              <w:ind w:lef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AGAINST</w:t>
            </w:r>
          </w:p>
        </w:tc>
        <w:tc>
          <w:tcPr>
            <w:tcW w:w="392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ABSTAIN</w:t>
            </w:r>
          </w:p>
        </w:tc>
        <w:tc>
          <w:tcPr>
            <w:tcW w:w="0" w:type="dxa"/>
            <w:vAlign w:val="bottom"/>
          </w:tcPr>
          <w:p>
            <w:pPr>
              <w:spacing w:after="0"/>
              <w:rPr>
                <w:sz w:val="1"/>
                <w:szCs w:val="1"/>
                <w:color w:val="auto"/>
              </w:rPr>
            </w:pPr>
          </w:p>
        </w:tc>
      </w:tr>
      <w:tr>
        <w:trPr>
          <w:trHeight w:val="365"/>
        </w:trPr>
        <w:tc>
          <w:tcPr>
            <w:tcW w:w="660" w:type="dxa"/>
            <w:vAlign w:val="bottom"/>
          </w:tcPr>
          <w:p>
            <w:pPr>
              <w:spacing w:after="0"/>
              <w:rPr>
                <w:sz w:val="20"/>
                <w:szCs w:val="20"/>
                <w:color w:val="auto"/>
              </w:rPr>
            </w:pPr>
            <w:r>
              <w:rPr>
                <w:rFonts w:ascii="Arial" w:cs="Arial" w:eastAsia="Arial" w:hAnsi="Arial"/>
                <w:sz w:val="18"/>
                <w:szCs w:val="18"/>
                <w:color w:val="auto"/>
              </w:rPr>
              <w:t>Item 3.</w:t>
            </w:r>
          </w:p>
        </w:tc>
        <w:tc>
          <w:tcPr>
            <w:tcW w:w="9600" w:type="dxa"/>
            <w:vAlign w:val="bottom"/>
            <w:gridSpan w:val="4"/>
          </w:tcPr>
          <w:p>
            <w:pPr>
              <w:ind w:left="140"/>
              <w:spacing w:after="0"/>
              <w:rPr>
                <w:sz w:val="20"/>
                <w:szCs w:val="20"/>
                <w:color w:val="auto"/>
              </w:rPr>
            </w:pPr>
            <w:r>
              <w:rPr>
                <w:rFonts w:ascii="Arial" w:cs="Arial" w:eastAsia="Arial" w:hAnsi="Arial"/>
                <w:sz w:val="18"/>
                <w:szCs w:val="18"/>
                <w:color w:val="auto"/>
                <w:w w:val="96"/>
              </w:rPr>
              <w:t>RATIFICATION OF THE APPOINTMENT OF THE COMPANY’S INDEPENDENT PUBLIC ACCOUNTING FIRM FOR 2020</w:t>
            </w:r>
          </w:p>
        </w:tc>
        <w:tc>
          <w:tcPr>
            <w:tcW w:w="0" w:type="dxa"/>
            <w:vAlign w:val="bottom"/>
          </w:tcPr>
          <w:p>
            <w:pPr>
              <w:spacing w:after="0"/>
              <w:rPr>
                <w:sz w:val="1"/>
                <w:szCs w:val="1"/>
                <w:color w:val="auto"/>
              </w:rPr>
            </w:pPr>
          </w:p>
        </w:tc>
      </w:tr>
      <w:tr>
        <w:trPr>
          <w:trHeight w:val="283"/>
        </w:trPr>
        <w:tc>
          <w:tcPr>
            <w:tcW w:w="6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80" w:type="dxa"/>
            <w:vAlign w:val="bottom"/>
          </w:tcPr>
          <w:p>
            <w:pPr>
              <w:ind w:left="7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p>
        </w:tc>
        <w:tc>
          <w:tcPr>
            <w:tcW w:w="1900" w:type="dxa"/>
            <w:vAlign w:val="bottom"/>
          </w:tcPr>
          <w:p>
            <w:pPr>
              <w:ind w:lef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AGAINST</w:t>
            </w:r>
          </w:p>
        </w:tc>
        <w:tc>
          <w:tcPr>
            <w:tcW w:w="392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ABSTAIN</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Item 1 and FOR proposals 2 and 3. In their discretion, the proxies are authorized to vote upon such other business as may properly come before the Annual Meeting.</w:t>
      </w:r>
    </w:p>
    <w:p>
      <w:pPr>
        <w:spacing w:after="0" w:line="18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27" w:lineRule="exact"/>
        <w:rPr>
          <w:sz w:val="20"/>
          <w:szCs w:val="20"/>
          <w:color w:val="auto"/>
        </w:rPr>
      </w:pPr>
    </w:p>
    <w:p>
      <w:pPr>
        <w:spacing w:after="0"/>
        <w:tabs>
          <w:tab w:leader="none" w:pos="4380" w:val="left"/>
          <w:tab w:leader="none" w:pos="6500" w:val="left"/>
          <w:tab w:leader="none" w:pos="9760" w:val="left"/>
        </w:tabs>
        <w:rPr>
          <w:sz w:val="20"/>
          <w:szCs w:val="20"/>
          <w:color w:val="auto"/>
        </w:rPr>
      </w:pPr>
      <w:r>
        <w:rPr>
          <w:rFonts w:ascii="Arial" w:cs="Arial" w:eastAsia="Arial" w:hAnsi="Arial"/>
          <w:sz w:val="18"/>
          <w:szCs w:val="18"/>
          <w:color w:val="auto"/>
        </w:rPr>
        <w:t>Signature (PLEASE SIGN WITHIN BOX)</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 (Joint Owners)</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lvl w:ilvl="1">
      <w:lvlJc w:val="left"/>
      <w:lvlText w:val="(%2)"/>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ü"/>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lvl w:ilvl="1">
      <w:lvlJc w:val="left"/>
      <w:lvlText w:val="-"/>
      <w:numFmt w:val="bullet"/>
      <w:start w:val="1"/>
    </w:lvl>
  </w:abstractNum>
  <w:abstractNum w:abstractNumId="10">
    <w:nsid w:val="436C6125"/>
    <w:multiLevelType w:val="hybridMultilevel"/>
    <w:lvl w:ilvl="0">
      <w:lvlJc w:val="left"/>
      <w:lvlText w:val="(%1)"/>
      <w:numFmt w:val="lowerRoman"/>
      <w:start w:val="1"/>
    </w:lvl>
  </w:abstractNum>
  <w:abstractNum w:abstractNumId="11">
    <w:nsid w:val="628C895D"/>
    <w:multiLevelType w:val="hybridMultilevel"/>
    <w:lvl w:ilvl="0">
      <w:lvlJc w:val="left"/>
      <w:lvlText w:val="(%1)"/>
      <w:numFmt w:val="lowerRoman"/>
      <w:start w:val="3"/>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4"/>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3"/>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lowerRoman"/>
      <w:start w:val="7"/>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2020-04-03T12:00:05Z</dcterms:created>
  <dcterms:modified xsi:type="dcterms:W3CDTF">2020-04-03T12:00:05Z</dcterms:modified>
</cp:coreProperties>
</file>