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lnt-20260528xsd.htm"/>
      <w:bookmarkStart w:id="1" w:name="ksalnt20260528xsd"/>
      <w:bookmarkEnd w:id="0"/>
      <w:bookmarkEnd w:id="1"/>
      <w:r>
        <w:rPr/>
        <w:t>​</w:t>
      </w:r>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SD</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SPECIALIZED DISCLOSURE REPORT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tbl>
      <w:tblPr>
        <w:tblW w:w="5915" w:type="dxa"/>
        <w:jc w:val="center"/>
        <w:tblInd w:w="0" w:type="dxa"/>
        <w:tblLayout w:type="fixed"/>
        <w:tblCellMar>
          <w:top w:w="0" w:type="dxa"/>
          <w:left w:w="0" w:type="dxa"/>
          <w:bottom w:w="0" w:type="dxa"/>
          <w:right w:w="0" w:type="dxa"/>
        </w:tblCellMar>
      </w:tblPr>
      <w:tblGrid>
        <w:gridCol w:w="2011"/>
        <w:gridCol w:w="226"/>
        <w:gridCol w:w="2296"/>
        <w:gridCol w:w="226"/>
        <w:gridCol w:w="115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76985" cy="175260"/>
                      <wp:effectExtent l="0" t="0" r="0" b="0"/>
                      <wp:wrapNone/>
                      <wp:docPr id="1" name="Frame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510" cy="175260"/>
                      <wp:effectExtent l="0" t="0" r="0" b="0"/>
                      <wp:wrapNone/>
                      <wp:docPr id="2"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57960" cy="175260"/>
                      <wp:effectExtent l="0" t="0" r="0" b="0"/>
                      <wp:wrapNone/>
                      <wp:docPr id="3" name="Frame3"/>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34060" cy="175260"/>
                      <wp:effectExtent l="0" t="0" r="0" b="0"/>
                      <wp:wrapNone/>
                      <wp:docPr id="5" name="Frame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Colorado</w:t>
            </w:r>
          </w:p>
        </w:tc>
        <w:tc>
          <w:tcPr>
            <w:tcW w:w="22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0-04041</w:t>
            </w:r>
          </w:p>
        </w:tc>
        <w:tc>
          <w:tcPr>
            <w:tcW w:w="2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84-0518115</w:t>
            </w:r>
          </w:p>
        </w:tc>
      </w:tr>
      <w:tr>
        <w:trPr/>
        <w:tc>
          <w:tcPr>
            <w:tcW w:w="201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r>
          </w:p>
        </w:tc>
        <w:tc>
          <w:tcPr>
            <w:tcW w:w="2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FEIN)</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 Commerce Dr., Amherst, NY 14228</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James A. Michaud, 716-217-5544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(Name and telephone number, including area code, of the person to contact in connection with this report.)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pPr>
      <w:r>
        <w:rPr/>
        <w:t xml:space="preserve">☒  </w:t>
      </w:r>
      <w:r>
        <w:rPr>
          <w:rFonts w:ascii="Times New Roman;Times;serif" w:hAnsi="Times New Roman;Times;serif"/>
          <w:sz w:val="20"/>
        </w:rPr>
        <w:t>Rule 13p-1 under the Securities Exchange Act (17 CFR 240.13p-1) for the reporting period from January 1 to December 31, 2025.</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1 - Conflict Minerals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1.01 Conflict Minerals Disclosure and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copy of the Company’s Conflict Minerals Report is provided as Exhibit 1.01 hereto and is publicly available at: www.Allient.com. Any reference in this Report or the attached exhibit(s) to our corporate website(s) and the contents thereof is provided for convenience only; such websites and the contents thereof are not incorporated by reference into this Report nor deemed filed with the Securities and Exchange Commission.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1.02 Exhibit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Conflict Minerals Report required by Item 1.01 is filed as Exhibit 1.01 to this Form SD.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2 - Exhibits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2.01 Exhibits</w:t>
      </w:r>
    </w:p>
    <w:p>
      <w:pPr>
        <w:pStyle w:val="TextBody"/>
        <w:bidi w:val="0"/>
        <w:spacing w:before="0" w:after="240"/>
        <w:ind w:left="0" w:right="0" w:hanging="0"/>
        <w:jc w:val="left"/>
        <w:rPr/>
      </w:pPr>
      <w:hyperlink w:anchor="alnt-20260528xex1d01.htm">
        <w:r>
          <w:rPr>
            <w:rStyle w:val="InternetLink"/>
            <w:rFonts w:ascii="Times New Roman;Times;serif" w:hAnsi="Times New Roman;Times;serif"/>
            <w:b w:val="false"/>
            <w:i w:val="false"/>
            <w:caps w:val="false"/>
            <w:smallCaps w:val="false"/>
            <w:sz w:val="20"/>
          </w:rPr>
          <w:t>Exhibit 1.01 - Conflict Minerals Report as required by Items 1.01 and 1.02 of this Form.</w:t>
        </w:r>
      </w:hyperlink>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pPr>
      <w:r>
        <w:rPr/>
        <w:t>​</w:t>
      </w:r>
    </w:p>
    <w:tbl>
      <w:tblPr>
        <w:tblW w:w="6154" w:type="dxa"/>
        <w:jc w:val="center"/>
        <w:tblInd w:w="0" w:type="dxa"/>
        <w:tblLayout w:type="fixed"/>
        <w:tblCellMar>
          <w:top w:w="0" w:type="dxa"/>
          <w:left w:w="0" w:type="dxa"/>
          <w:bottom w:w="0" w:type="dxa"/>
          <w:right w:w="0" w:type="dxa"/>
        </w:tblCellMar>
      </w:tblPr>
      <w:tblGrid>
        <w:gridCol w:w="1261"/>
        <w:gridCol w:w="346"/>
        <w:gridCol w:w="406"/>
        <w:gridCol w:w="4141"/>
      </w:tblGrid>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28, 2026</w:t>
            </w:r>
          </w:p>
        </w:tc>
        <w:tc>
          <w:tcPr>
            <w:tcW w:w="346" w:type="dxa"/>
            <w:tcBorders/>
            <w:vAlign w:val="center"/>
          </w:tcPr>
          <w:p>
            <w:pPr>
              <w:pStyle w:val="TableContents"/>
              <w:bidi w:val="0"/>
              <w:spacing w:before="0" w:after="0"/>
              <w:ind w:left="0" w:right="0" w:hanging="0"/>
              <w:jc w:val="left"/>
              <w:rPr/>
            </w:pPr>
            <w:r>
              <w:rPr/>
              <w:t>  ​ ​ ​</w:t>
            </w:r>
          </w:p>
        </w:tc>
        <w:tc>
          <w:tcPr>
            <w:tcW w:w="4547" w:type="dxa"/>
            <w:gridSpan w:val="2"/>
            <w:tcBorders/>
            <w:vAlign w:val="center"/>
          </w:tcPr>
          <w:p>
            <w:pPr>
              <w:pStyle w:val="TableContents"/>
              <w:bidi w:val="0"/>
              <w:spacing w:before="0" w:after="0"/>
              <w:ind w:left="0" w:right="0" w:hanging="0"/>
              <w:jc w:val="left"/>
              <w:rPr/>
            </w:pPr>
            <w:r>
              <w:rPr/>
              <w:t>​</w:t>
            </w:r>
          </w:p>
        </w:tc>
      </w:tr>
      <w:tr>
        <w:trPr/>
        <w:tc>
          <w:tcPr>
            <w:tcW w:w="12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47" w:type="dxa"/>
            <w:gridSpan w:val="2"/>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ALLIENT INC.</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47" w:type="dxa"/>
            <w:gridSpan w:val="2"/>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A. Michaud</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A. Michaud</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 w:name="alnt-20260528xex1d01.htm"/>
      <w:bookmarkStart w:id="3" w:name="ksalnt20260528xex1d01"/>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Allient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Conflict Minerals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Conflict Minerals Report (“CMR”) for the year ended December 31, 2025 is presented to comply with Rule 13p-1 under the Securities Exchange Act of 1934 (the “Rule”). The Securities and Exchange Commission (“SEC”) adopted the Rule to implement reporting and disclosure requirements related to conflict minerals as directed by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are defined as cassiterite, columbite-tantalite, gold, wolframite, and their derivatives, which are limited to tin, tantalum, tungsten, and gold (“3TG”). These requirements apply to registrants whatever the geographic origin of the conflict minerals and whether or not the conflict minerals fund armed conflict in the Democratic Republic of the Congo (“DRC”) or an adjoining country (together with the DRC, the “Covered Countries”).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Introduction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Company and Product 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report has been prepared by management of Allient Inc. (herein referred to as “Allient”, the “Company,” “we,” “us,” or “our”). The information in this report covers the activities of Allient and all of its consolidated subsidiaries.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Allient is </w:t>
      </w:r>
      <w:r>
        <w:rPr>
          <w:rFonts w:ascii="Times New Roman;Times;serif" w:hAnsi="Times New Roman;Times;serif"/>
          <w:sz w:val="20"/>
          <w:shd w:fill="FFFFFF" w:val="clear"/>
        </w:rPr>
        <w:t>a global company that is engaged in the business of designing, manufacturing, and selling precision motion, control, power and structural composites to provide integrated system solutions as well as individual products, to a broad spectrum of customers throughout the world primarily for the industrial, vehicle, medical, and aerospace and defense markets. We are headquartered in Amherst, NY, and have operations in the United States, Canada, Mexico, Europe, and Asia-Pacific.</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sells its products into a subset of the following broad markets:</w:t>
      </w:r>
    </w:p>
    <w:p>
      <w:pPr>
        <w:pStyle w:val="TextBody"/>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Industrial</w:t>
      </w:r>
      <w:r>
        <w:rPr>
          <w:rFonts w:ascii="Times New Roman;Times;serif" w:hAnsi="Times New Roman;Times;serif"/>
          <w:sz w:val="20"/>
        </w:rPr>
        <w:t>: products and solutions are used in factory automation, specialty equipment, material handling equipment, commercial grade floor polishers and cleaners, commercial building equipment such as welders, cable pullers and assembly tools, the handling, inspection, and testing of components and final products such as PCs, high definition printers, tunable lasers and spectrum analyzers for the fiber optic industry, test and processing equipment for the semiconductor manufacturing industry, power quality products to filter distortion caused by variable frequency drives and other power electronic equipment, nano technology motion systems in silicon photonics, micro assembly, digital pathology, genome sequencing, laser processing and microelectronics, PLC manufacturers and distributors.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Vehicle</w:t>
      </w:r>
      <w:r>
        <w:rPr>
          <w:rFonts w:ascii="Times New Roman;Times;serif" w:hAnsi="Times New Roman;Times;serif"/>
          <w:sz w:val="20"/>
        </w:rPr>
        <w:t>: electronic power steering and drive-by-wire applications to electrically replace, or provide power-assist to, a variety of mechanical linkages, traction / drive systems and pumps, automated and remotely guided power steering systems, various high performance vehicle applications, actuation systems (e.g., lifts, slide-outs, covers, etc.), HVAC systems, solutions to improve energy efficiency of vehicles while idling and alternative fuel systems such as liquified petroleum gas (“LPG”), fuel cell and hybrid vehicles. Vehicle types include off- and on-road construction and agricultural equipment; trucks, buses, boats, utility, recreational (e.g., RVs, ATVs (all-terrain vehicles), specialty automotive, automated and remotely guided vehicles).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Medical</w:t>
      </w:r>
      <w:r>
        <w:rPr>
          <w:rFonts w:ascii="Times New Roman;Times;serif" w:hAnsi="Times New Roman;Times;serif"/>
          <w:sz w:val="20"/>
        </w:rPr>
        <w:t>: surgical robots, prosthetics, electric powered surgical hand pieces, programmable pumps to meter and administer infusions associated with chemotherapy, pain control and antibiotics, nuclear imaging systems, radiology equipment, automated pharmacy dispensing equipment, kidney dialysis equipment, respiratory ventilators, heart pumps, and patient handling equipment (e.g., wheelchairs, scooters, stair lifts, patient lifts, transport tables and hospital beds).</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Aerospace &amp; Defense</w:t>
      </w:r>
      <w:r>
        <w:rPr>
          <w:rFonts w:ascii="Times New Roman;Times;serif" w:hAnsi="Times New Roman;Times;serif"/>
          <w:sz w:val="20"/>
        </w:rPr>
        <w:t>: inertial guided missiles, mid-range smart munitions systems, weapons systems on armed personnel carriers, unmanned vehicles, security and access control, camera systems, door access control, airport screening scanning devices, and light-weighting vehicle technologies.</w:t>
      </w:r>
    </w:p>
    <w:p>
      <w:pPr>
        <w:pStyle w:val="TextBody"/>
        <w:bidi w:val="0"/>
        <w:spacing w:before="0" w:after="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Covered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an analysis of the products that we manufacture, or contract to be manufactured, and found that 3TG are in a large majority of our products (and generally are required for their functionality or production as specified under the Rule) included in the Company and Product Overview. These products are collectively referred to in this Report as the “Covered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Supply Chain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supply chain includes over 3,000 different suppliers. Because of our size, the complexity of our products, and the depth, breadth, and constant evolution of our supply chain, it is difficult to identify actors upstream from our direct suppliers. There are many tiers of suppliers and sub-suppliers between the Company and a smelter that processes 3TG that is contained in a particular product. Therefore, it is inherently difficult to ascertain the ultimate source of 3TG in the products we manufacture.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we are relying on our direct suppliers to provide information on the origin of the 3TG contained in components and materials supplied to us — including sources of 3TG that are supplied to them from lower tier suppliers.  Our primary means of determining country of origin of necessary 3TG was by conducting a supply chain survey with direct suppliers using the Responsible Minerals Initiative’s (“RMI”) Conflict Minerals Reporting Template (“CMRT”), version 6.6 or higher. All of our direct suppliers were surveyed as we could not definitively determine which supplier sourced material contained 3TG that were necessary to the functionality or production of our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Conflict Minerals Policy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Allient has adopted a policy statement supporting the aims and objectives of the U.S. legislation on the supply of conflict minerals and committing to not knowingly procure conflict minerals that originate from facilities in the “Conflict Region” that are not certified as “conflict free.” Allient’s suppliers are asked to undertake reasonable due diligence with their supply chains to assure that specified metals are being sourced only from:</w:t>
      </w:r>
    </w:p>
    <w:p>
      <w:pPr>
        <w:pStyle w:val="TextBody"/>
        <w:bidi w:val="0"/>
        <w:spacing w:before="0" w:after="0"/>
        <w:ind w:left="0" w:right="0" w:hanging="0"/>
        <w:jc w:val="left"/>
        <w:rPr/>
      </w:pPr>
      <w:r>
        <w:rPr/>
        <w:t>​</w:t>
      </w:r>
    </w:p>
    <w:tbl>
      <w:tblPr>
        <w:tblW w:w="4518" w:type="dxa"/>
        <w:jc w:val="left"/>
        <w:tblInd w:w="0" w:type="dxa"/>
        <w:tblLayout w:type="fixed"/>
        <w:tblCellMar>
          <w:top w:w="0" w:type="dxa"/>
          <w:left w:w="0" w:type="dxa"/>
          <w:bottom w:w="0" w:type="dxa"/>
          <w:right w:w="0" w:type="dxa"/>
        </w:tblCellMar>
      </w:tblPr>
      <w:tblGrid>
        <w:gridCol w:w="23"/>
        <w:gridCol w:w="17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Mines and smelters outside the “Conflict Region,”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Mines and smelters that have been certified by an independent third party as “conflict free” if sourced from within the “Conflict Region.” with respect to conflict minerals.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policy is publicly available on our website at https://www.allient.com/conflict-minerals/.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Conflict of Minerals Compliance Process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Reasonable Country of Origin Inquiry (“RCOI”)</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RCOI was designed to provide a reasonable basis for us to determine whether we source 3TG from the Covered Countries.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primary means of determining country of origin of necessary 3TG was by conducting a supply chain survey with direct suppliers using the CMRT. The CMRT was developed to facilitate disclosure and communication of information regarding smelters that provide material to a company’s supply chain. It includes questions regarding a direct supplier’s conflict minerals policy, engagement with its direct suppliers, and a listing of the smelters the direct supplier and its suppliers use. In addition, the CMRT contains questions about the origin of conflict minerals included in the direct supplier’s products, as well as supplier due diligence. Written instructions and recorded training illustrating the use of the tool are available on the RMI website of the Responsible Business Alliance. Many companies are using the CMRT in their compliance processes related to conflict minerals. All of our direct suppliers were surveyed as we could not definitively determine which products contained 3TG that were necessary to the functionality or production of our products.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began our supplier scoping process by filtering our vendor list to remove:</w:t>
      </w:r>
    </w:p>
    <w:p>
      <w:pPr>
        <w:pStyle w:val="TextBody"/>
        <w:bidi w:val="0"/>
        <w:spacing w:before="0" w:after="0"/>
        <w:ind w:left="0" w:right="0" w:hanging="0"/>
        <w:jc w:val="left"/>
        <w:rPr/>
      </w:pPr>
      <w:r>
        <w:rPr/>
        <w:t>​</w:t>
      </w:r>
    </w:p>
    <w:tbl>
      <w:tblPr>
        <w:tblW w:w="2418" w:type="dxa"/>
        <w:jc w:val="left"/>
        <w:tblInd w:w="0" w:type="dxa"/>
        <w:tblLayout w:type="fixed"/>
        <w:tblCellMar>
          <w:top w:w="0" w:type="dxa"/>
          <w:left w:w="0" w:type="dxa"/>
          <w:bottom w:w="0" w:type="dxa"/>
          <w:right w:w="0" w:type="dxa"/>
        </w:tblCellMar>
      </w:tblPr>
      <w:tblGrid>
        <w:gridCol w:w="23"/>
        <w:gridCol w:w="17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providers/suppliers</w:t>
            </w:r>
          </w:p>
        </w:tc>
      </w:tr>
    </w:tbl>
    <w:tbl>
      <w:tblPr>
        <w:tblW w:w="2403" w:type="dxa"/>
        <w:jc w:val="left"/>
        <w:tblInd w:w="0" w:type="dxa"/>
        <w:tblLayout w:type="fixed"/>
        <w:tblCellMar>
          <w:top w:w="0" w:type="dxa"/>
          <w:left w:w="0" w:type="dxa"/>
          <w:bottom w:w="0" w:type="dxa"/>
          <w:right w:w="0" w:type="dxa"/>
        </w:tblCellMar>
      </w:tblPr>
      <w:tblGrid>
        <w:gridCol w:w="23"/>
        <w:gridCol w:w="17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 materials suppliers</w:t>
            </w:r>
          </w:p>
        </w:tc>
      </w:tr>
    </w:tbl>
    <w:tbl>
      <w:tblPr>
        <w:tblW w:w="4773" w:type="dxa"/>
        <w:jc w:val="left"/>
        <w:tblInd w:w="0" w:type="dxa"/>
        <w:tblLayout w:type="fixed"/>
        <w:tblCellMar>
          <w:top w:w="0" w:type="dxa"/>
          <w:left w:w="0" w:type="dxa"/>
          <w:bottom w:w="0" w:type="dxa"/>
          <w:right w:w="0" w:type="dxa"/>
        </w:tblCellMar>
      </w:tblPr>
      <w:tblGrid>
        <w:gridCol w:w="23"/>
        <w:gridCol w:w="170"/>
        <w:gridCol w:w="4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Inactive suppliers (minimum 5 years since last purchase)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was done to ensure that all suppliers surveyed provided items to Allient that were used in final products in the year 2025. Once the filtering was completed, we populated the list, composed of 373 suppliers, with contact information and then conducted the supplier survey portion of the RCOI.</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supplier survey, suppliers were contacted directly by our internal Purchasing Analyst.  Non-responsive suppliers were contacted a minimum of three times by the Purchasing Analyst. For the 2025 reporting period, Allient received responses from 294, or 79% of its suppliers, which represented 92% of the annual spend with all contacted suppliers.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year’s program includes automated data validation on all submitted CMRTs. The goal of data validation is to increase the accuracy of submissions and identify any contradictory answers in the CMRT.  All submitted forms are accepted and classified as valid or invalid so that data is still retained.  Suppliers were contacted in regard to invalid forms and were encouraged to resubmit a valid form. As of May 28, 2026, we still had 79 invalid supplier submissions, representing 8% of the annual spend with all contacted suppliers, that were not yet corrected.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the basis of the responses to our RCOI, Allient is unable to determine that 3TGs necessary to the functionality or production of our products did not originate in any of the Covered Countries. Therefore, in accordance with Rule 13p-1, Allient engaged in the due diligence measures on the source and chain of custody of those 3TGs, as described in the next section of this Conflict Minerals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Management Systems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2.2.1</w:t>
      </w:r>
      <w:r>
        <w:rPr>
          <w:rFonts w:ascii="Times New Roman;Times;serif" w:hAnsi="Times New Roman;Times;serif"/>
          <w:b/>
          <w:sz w:val="20"/>
        </w:rPr>
        <w:t>Conflict Minerals Policy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described above, we have adopted a conflict minerals policy, which is posted on our website at https://www.allient.com/conflict-minerals/.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2.2.2</w:t>
      </w:r>
      <w:r>
        <w:rPr>
          <w:rFonts w:ascii="Times New Roman;Times;serif" w:hAnsi="Times New Roman;Times;serif"/>
          <w:b/>
          <w:sz w:val="20"/>
        </w:rPr>
        <w:t>Internal Team and Training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established a management team relating to conflict minerals. Our management team is overseen by the Chief Financial Officer and a team of subject matter experts from relevant functions such as quality, supply chain, operations, finance and legal. The team of subject matter experts is responsible for implementing our conflict minerals compliance strategy and is led by the Corporate Quality Director, who acts as the conflict minerals program manager. Senior management is briefed about the results of our due diligence efforts on a regular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developed internal training programs to educate those employees within the Company who are a potential contact point for suppliers or other external parties regarding the Company’s conflict minerals compliance efforts. We intend to review our training programs at least annually to make sure they are continuously aligned with current regulations, our initiatives, and the tools we use.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Control Systems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we do not typically have a direct relationship with 3TG smelters and refiners, we are engaged and actively cooperate with other manufacturers in our industry and other sectors.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controls include our Code of Business Conduct and Ethics, which outlines expected behaviors for all our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2.2.4</w:t>
      </w:r>
      <w:r>
        <w:rPr>
          <w:rFonts w:ascii="Times New Roman;Times;serif" w:hAnsi="Times New Roman;Times;serif"/>
          <w:b/>
          <w:sz w:val="20"/>
        </w:rPr>
        <w:t>Supplier Engagement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rely on our direct suppliers to provide information on the origin of the 3TG contained in components and materials supplied to us — including sources of 3TG that are supplied to them from lower tier suppliers.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the Organization for Economic Co-operation and Development (“OECD”) requirement to strengthen engagement with suppliers, we have provided education to suppliers on the Conflict Minerals regulations as well as the expectations of the law (see Section 2.4, below). In addition, we have leveraged the existing communications within the Company, specifically through our procurement personnel, to encourage suppliers to understand the need for completion of the surveys. Feedback from this process has allowed us to enhance the training, focus it and adapt it to each user’s needs. It has also allowed for our supplier communications to be more focused and ensure expectations are clear.</w:t>
      </w:r>
    </w:p>
    <w:p>
      <w:pPr>
        <w:pStyle w:val="TextBody"/>
        <w:bidi w:val="0"/>
        <w:spacing w:before="0" w:after="0"/>
        <w:ind w:left="0" w:right="0" w:firstLine="55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year we placed strong emphasis on supplier education, training, and outreach, ensuring that our suppliers were able to timely deliver responses.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2.2.5</w:t>
      </w:r>
      <w:r>
        <w:rPr>
          <w:rFonts w:ascii="Times New Roman;Times;serif" w:hAnsi="Times New Roman;Times;serif"/>
          <w:b/>
          <w:sz w:val="20"/>
        </w:rPr>
        <w:t>Grievance Mechanism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longstanding grievance mechanisms whereby employees can report violations of the Company’s policies, including our conflict minerals policy.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2.2.6</w:t>
      </w:r>
      <w:r>
        <w:rPr>
          <w:rFonts w:ascii="Times New Roman;Times;serif" w:hAnsi="Times New Roman;Times;serif"/>
          <w:b/>
          <w:sz w:val="20"/>
        </w:rPr>
        <w:t>Records Maintenance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retained all relevant documentation from our RCOI and due diligence. Our existing policy related to relevant documentation of our conflict mineral compliance process requires that documentation will be retained for a period of at least five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Identify and Assess Risk in Our Supply Chain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Due to our size, the complexity of our products, and the depth, breadth, and constant evolution of our supply chain, it is difficult to identify actors upstream from our direct suppliers. Risks are identified by members of our Conflict Minerals team internally who contact the supplier, gather pertinent data and perform an assessment of the supplier’s conflict minerals status.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One risk we identified with respect to the reporting period ended December 31, 2025, related to the nature of the responses received. A large number of the responses received provided data at a company or divisional level or were unable to specify the smelters or refiners used for 3TGs in the components supplied to the Company. Additionally, some suppliers indicated that they received information regarding their supply chains from fewer than 75% of their suppliers and, therefore, they could not provide a comprehensive list of all smelters or refiners in their supply chains.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OECD Guidelines, it is important to identify and assess risks associated with conflict minerals in the supply chain. Risks were identified by assessing the due diligence practices of smelters and refiners identified in the supply chain by upstream suppliers that listed mineral processing facilities on their CMRT declarations. We compared these facilities listed in the responses to the list of smelters and refiners maintained by the RMI to ensure that the facilities met the RMI definition of a 3TGs processing facility that was operational during the 2024 calendar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order to assess the risk that any of these smelters posed to our supply chain, we determined if the smelter had been audited against a standard in conformance with the OECD Guidance, such as the RMAP. We do not typically have a direct relationship with 3TGs smelters and refiners and do not perform or direct audits of these entities within our supply chain. Smelters that have completed an RMAP audit are considered to be DRC-Conflict Free. In cases where the smelter’s due diligence practices have not been audited against the RMAP standard, a potential supply chain risk exists.</w:t>
      </w:r>
    </w:p>
    <w:p>
      <w:pPr>
        <w:pStyle w:val="TextBody"/>
        <w:pBdr/>
        <w:bidi w:val="0"/>
        <w:spacing w:before="0" w:after="0"/>
        <w:ind w:left="0" w:right="0" w:firstLine="72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May 28, 2026, we have validated 592 smelters or refiners and are working to validate the additional smelter/refiner entries from the submitted CMRTs. Due to the provision of primarily supplier-level CMRTs, we cannot definitely determine their connection to the Covered Products</w:t>
      </w:r>
    </w:p>
    <w:p>
      <w:pPr>
        <w:pStyle w:val="TextBody"/>
        <w:pBdr/>
        <w:bidi w:val="0"/>
        <w:spacing w:before="0" w:after="0"/>
        <w:ind w:left="0" w:right="0" w:firstLine="72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Each facility that meets the RMI definition of a smelter or refiner of a 3TGs mineral is assessed according to red flag indicators defined in the OECD Guidance. We use numerous factors to determine the level of risk that each smelter poses to the supply chain by identifying red flags. These factors include:</w:t>
      </w:r>
    </w:p>
    <w:p>
      <w:pPr>
        <w:pStyle w:val="TextBody"/>
        <w:pBdr/>
        <w:bidi w:val="0"/>
        <w:spacing w:before="0" w:after="0"/>
        <w:ind w:left="0" w:right="0" w:firstLine="720"/>
        <w:jc w:val="left"/>
        <w:rPr/>
      </w:pPr>
      <w:r>
        <w:rPr/>
        <w:t>​</w:t>
      </w:r>
    </w:p>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proximity to the DRC and covered countries;</w:t>
            </w:r>
          </w:p>
        </w:tc>
      </w:tr>
    </w:tbl>
    <w:tbl>
      <w:tblPr>
        <w:tblW w:w="3513" w:type="dxa"/>
        <w:jc w:val="left"/>
        <w:tblInd w:w="0" w:type="dxa"/>
        <w:tblLayout w:type="fixed"/>
        <w:tblCellMar>
          <w:top w:w="0" w:type="dxa"/>
          <w:left w:w="0" w:type="dxa"/>
          <w:bottom w:w="0" w:type="dxa"/>
          <w:right w:w="0" w:type="dxa"/>
        </w:tblCellMar>
      </w:tblPr>
      <w:tblGrid>
        <w:gridCol w:w="23"/>
        <w:gridCol w:w="17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Known mineral source country of origin;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Responsible Minerals Assurance Process (RMAP) audit status;</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Credible evidence of unethical or conflict sourcing;</w:t>
            </w:r>
          </w:p>
        </w:tc>
      </w:tr>
    </w:tbl>
    <w:tbl>
      <w:tblPr>
        <w:tblW w:w="5118" w:type="dxa"/>
        <w:jc w:val="left"/>
        <w:tblInd w:w="0" w:type="dxa"/>
        <w:tblLayout w:type="fixed"/>
        <w:tblCellMar>
          <w:top w:w="0" w:type="dxa"/>
          <w:left w:w="0" w:type="dxa"/>
          <w:bottom w:w="0" w:type="dxa"/>
          <w:right w:w="0" w:type="dxa"/>
        </w:tblCellMar>
      </w:tblPr>
      <w:tblGrid>
        <w:gridCol w:w="23"/>
        <w:gridCol w:w="17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Peer Assessments conducted by credible third-party sources. </w:t>
            </w:r>
          </w:p>
        </w:tc>
      </w:tr>
    </w:tbl>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part of our risk management plan under the OECD Guidance, when facilities with red flags were reported on a CMRT by one of the suppliers surveyed, risk mitigation activities are initiated. Submissions that include any red flag facilities immediately produce a receipt instructing the supplier to take their own risk mitigation actions, including submission of a product specific CMRT to better identify the connection to products that they supply to the Company, and escalating up to removal of these red flag smelters from their supply chain.</w:t>
      </w:r>
    </w:p>
    <w:p>
      <w:pPr>
        <w:pStyle w:val="TextBody"/>
        <w:pBdr/>
        <w:bidi w:val="0"/>
        <w:spacing w:before="0" w:after="0"/>
        <w:ind w:left="0" w:right="0" w:firstLine="72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per the OECD Guidance, risk mitigation will depend on the supplier’s specific context. Suppliers are given clear performance objectives within reasonable timeframes with the ultimate goal of progressive elimination of these red flags from the supply chain.</w:t>
      </w:r>
    </w:p>
    <w:p>
      <w:pPr>
        <w:pStyle w:val="TextBody"/>
        <w:pBdr/>
        <w:bidi w:val="0"/>
        <w:spacing w:before="0" w:after="0"/>
        <w:ind w:left="0" w:right="0" w:firstLine="72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suppliers are evaluated on program strength (further assisting in identifying risk in the supply chain).</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Evaluating and tracking the strength of the program meets the OECD Due Diligence Guidelines and can assist in making key risk mitigation decisions as the program progresses. The criteria used to evaluate the strength of the program are based on these four questions in the CMRT:</w:t>
      </w:r>
    </w:p>
    <w:p>
      <w:pPr>
        <w:pStyle w:val="TextBody"/>
        <w:pBdr/>
        <w:bidi w:val="0"/>
        <w:spacing w:before="0" w:after="0"/>
        <w:ind w:left="0" w:right="0" w:hanging="0"/>
        <w:jc w:val="left"/>
        <w:rPr/>
      </w:pPr>
      <w:r>
        <w:rPr/>
        <w:t>​</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 Have you established a conflict minerals sourcing policy?</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E. Have you implemented due diligence measures for conflict-free sourcing?</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G. Do you review due diligence information received from your suppliers against your company’s expectations?</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H. Does your review process include corrective action management?</w:t>
      </w:r>
    </w:p>
    <w:p>
      <w:pPr>
        <w:pStyle w:val="TextBody"/>
        <w:pBdr/>
        <w:bidi w:val="0"/>
        <w:spacing w:before="0" w:after="0"/>
        <w:ind w:left="0" w:right="0" w:hanging="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When suppliers meet or exceed those criteria (Yes to at least A, E, G, H), they are deemed to have a strong program. When suppliers do not meet those criteria, they are deemed to have a weak program. At this time, 43 of our responsive suppliers have been identified as having a weak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Design and Implement a Strategy to Respond to Risks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response to this risk assessment, the Company has an approved risk management plan through which the conflict minerals program is implemented, managed and monitored. Updates to this risk assessment are provided regularly to senior management.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provided each supplier a copy of the CMRT to complete for purposes of conflict minerals tracking. Furthermore, we reviewed responses to the reporting CMRT with specific suppliers where we needed clarification. As described in our conflict minerals policy, we intend to engage any of our suppliers whom we have reason to believe are supplying us with 3TG from sources that may support conflict in a Covered Country to establish an alternative source of 3TG that does not support such conflict, as provided in the OECD guidance.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Carry out Independent Third Party Audit of Supply Chain Due Diligence at Identified Points in the Supply Chain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Allient does not have a direct relationship with conflict minerals smelters or refiners and as a result, Allient does not perform direct audits of these entities in its supply chain. Allient relies on the efforts of the industry associations that administer independent third-party smelter and refinery audit programs and encourages suppliers with more direct relationships with smelters to participate in comparable due diligence validation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Report on Supply Chain Due Diligence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conflict minerals report is being filed with the SEC as an exhibit to our specialized disclosure report on Form SD and is available on our website at www.allient.com under “Investor Relations” after such filing is made.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Due Diligence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Design of Due Diligence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Allient designed its due diligence process to be in conformity, in all material respects, with the due diligence framework in the Organization of Economic Co-operation and Development Due Diligence Guidance for Responsible Supply Chains of Minerals from Conflict-Affected and High-Risk Areas, Second Edition and related Supplements on Tin, Tantalum and Tungsten and on Gold (collectively the “OECD Guidance”). Allient’s due diligence process is based on multi-industry initiatives with the smelters and refiners who provide conflict minerals within global supply chains.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Due Diligence Results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our due diligence efforts, members of the Allient supply chain team made at least three follow-up inquiries, via email or phone, to each supplier who did not respond to our initial survey. We reviewed the responses against criteria developed to determine which required further engagement with our suppliers. These criteria included incomplete responses as well as inconsistencies within the data reported in the CMRT. We worked directly with those suppliers to provide more detailed and/or corrected responses.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information that we received from a majority of our suppliers was at their company-wide level. Thus, the smelters or refiners identified by our suppliers contained in the tables below may contain smelters or refiners that processed conflict minerals that our suppliers supplied to their other customers, but not to us. As a result, we are unable to conclusively determine whether the smelters or refiners included in Appendix A were used to process the conflict minerals necessary to the functionality or production of our products during 2025. Because of this uncertainty, we are also unable to conclusively determine whether each of the countries of origin listed were the country of origin of conflict minerals in our products during 2025, and therefore also unable to conclusively determine the source and chain of custody of those conflict minerals. In addition, the third-party audits conducted by the RMI and information that we receive from our suppliers may yield inaccurate or incomplete information. For example, the information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received from our suppliers may be incomplete because they may not have received accurate and complete conflict minerals information from all of the suppliers in their own supply chain. We also do not have access to audit reports or detailed findings of the third-party audits conducted as part of the RMI Responsible Minerals Assurance Process and, as a result, are not responsible for the quality of these audits or the audit findings.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Appendix A includes, as of May 28, 2026, the smelters or refiners identified by our suppliers that may have been used to process conflict minerals necessary to the functionality or production of our products during 2025. For all responses that indicated a smelter, our third party consultant compared the facilities listed to the list of smelters maintained by the Conflict-Free Sourcing Initiative (“RMI”). If a supplier indicated that the facility was identified as “Conflict-Free”, we confirmed that the name was listed by RMI as a Conflict-Free smelter. No violations were identified. As of May 28, 2026, we have validated 592 legitimate smelters or refiners and we are working to validate the additional smelter/refiner entries from the submitted CMRTs. We have not listed in Appendix A any smelters or refiners that we have not been able to validate. Appendix A also includes an aggregated list of the countries of origin from which the reported facilities collectively source conflict minerals, based on information provided by suppliers and the RMI.</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on the smelter lists provided by suppliers via the CMRTs and publicly available information, we have identified 550 Conflict-Free smelters.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Efforts to Determine Mine or Location of Origin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By requesting our suppliers to complete the CMRT, and, as the program progresses, requiring full completion of all necessary smelter identification information which will enable the validation and disclosure of the smelters as well as the tracing of the 3TGs to their location of origin. we have determined that seeking information about 3TG smelters and refiners in our supply chain represents the most reasonable effort we can make to determine the mines or locations of origin of the 3TG in our supply chain.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Planned Process Improvements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taken or intend to take the following steps to improve our conflict minerals program:</w:t>
      </w:r>
    </w:p>
    <w:p>
      <w:pPr>
        <w:pStyle w:val="TextBody"/>
        <w:bidi w:val="0"/>
        <w:spacing w:before="0" w:after="0"/>
        <w:ind w:left="0" w:right="0" w:hanging="0"/>
        <w:jc w:val="left"/>
        <w:rPr/>
      </w:pPr>
      <w:r>
        <w:rPr/>
        <w:t>​</w:t>
      </w:r>
    </w:p>
    <w:tbl>
      <w:tblPr>
        <w:tblW w:w="9153" w:type="dxa"/>
        <w:jc w:val="left"/>
        <w:tblInd w:w="0" w:type="dxa"/>
        <w:tblLayout w:type="fixed"/>
        <w:tblCellMar>
          <w:top w:w="0" w:type="dxa"/>
          <w:left w:w="0" w:type="dxa"/>
          <w:bottom w:w="0" w:type="dxa"/>
          <w:right w:w="0" w:type="dxa"/>
        </w:tblCellMar>
      </w:tblPr>
      <w:tblGrid>
        <w:gridCol w:w="23"/>
        <w:gridCol w:w="15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Track and add new suppliers to the Company’s Conflict Minerals program as they enter Allient’s supply chain.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with suppliers and direct them to training resources to attempt to increase the response rate and improve the content of the supplier survey responses.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with those of our suppliers, if any, who are found to be supplying the Company with 3TG from sources in a Covered Country where the supplier is unable to demonstrate are “DRC conflict free” to establish an alternative source of 3TG that will enable them to demonstrate are “DRC conflict free”.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tbl>
      <w:tblPr>
        <w:tblW w:w="10205" w:type="dxa"/>
        <w:jc w:val="left"/>
        <w:tblInd w:w="0" w:type="dxa"/>
        <w:tblLayout w:type="fixed"/>
        <w:tblCellMar>
          <w:top w:w="0" w:type="dxa"/>
          <w:left w:w="0" w:type="dxa"/>
          <w:bottom w:w="0" w:type="dxa"/>
          <w:right w:w="0" w:type="dxa"/>
        </w:tblCellMar>
      </w:tblPr>
      <w:tblGrid>
        <w:gridCol w:w="570"/>
        <w:gridCol w:w="106"/>
        <w:gridCol w:w="4859"/>
        <w:gridCol w:w="971"/>
        <w:gridCol w:w="1950"/>
        <w:gridCol w:w="1122"/>
        <w:gridCol w:w="470"/>
        <w:gridCol w:w="157"/>
      </w:tblGrid>
      <w:tr>
        <w:trPr/>
        <w:tc>
          <w:tcPr>
            <w:tcW w:w="570" w:type="dxa"/>
            <w:tcBorders/>
            <w:vAlign w:val="center"/>
          </w:tcPr>
          <w:p>
            <w:pPr>
              <w:pStyle w:val="TableContents"/>
              <w:bidi w:val="0"/>
              <w:spacing w:before="0" w:after="283"/>
              <w:ind w:left="0" w:right="0" w:hanging="0"/>
              <w:jc w:val="left"/>
              <w:rPr>
                <w:sz w:val="4"/>
                <w:szCs w:val="4"/>
              </w:rPr>
            </w:pPr>
            <w:r>
              <w:rPr>
                <w:sz w:val="4"/>
                <w:szCs w:val="4"/>
              </w:rPr>
            </w:r>
          </w:p>
        </w:tc>
        <w:tc>
          <w:tcPr>
            <w:tcW w:w="5936" w:type="dxa"/>
            <w:gridSpan w:val="3"/>
            <w:tcBorders/>
            <w:vAlign w:val="center"/>
          </w:tcPr>
          <w:p>
            <w:pPr>
              <w:pStyle w:val="TableContents"/>
              <w:bidi w:val="0"/>
              <w:spacing w:before="0" w:after="283"/>
              <w:ind w:left="0" w:right="0" w:hanging="0"/>
              <w:jc w:val="left"/>
              <w:rPr>
                <w:sz w:val="4"/>
                <w:szCs w:val="4"/>
              </w:rPr>
            </w:pPr>
            <w:r>
              <w:rPr>
                <w:sz w:val="4"/>
                <w:szCs w:val="4"/>
              </w:rPr>
            </w:r>
          </w:p>
        </w:tc>
        <w:tc>
          <w:tcPr>
            <w:tcW w:w="307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2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Metal</w:t>
            </w:r>
          </w:p>
        </w:tc>
        <w:tc>
          <w:tcPr>
            <w:tcW w:w="4859"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Smelter Name</w:t>
            </w:r>
          </w:p>
        </w:tc>
        <w:tc>
          <w:tcPr>
            <w:tcW w:w="2921" w:type="dxa"/>
            <w:gridSpan w:val="2"/>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Smelter Country</w:t>
            </w:r>
          </w:p>
        </w:tc>
        <w:tc>
          <w:tcPr>
            <w:tcW w:w="1592" w:type="dxa"/>
            <w:gridSpan w:val="2"/>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Helvetica;sans-serif" w:hAnsi="Helvetica;sans-serif"/>
                <w:b/>
                <w:sz w:val="22"/>
              </w:rPr>
            </w:pPr>
            <w:r>
              <w:rPr>
                <w:rFonts w:ascii="Helvetica;sans-serif" w:hAnsi="Helvetica;sans-serif"/>
                <w:b/>
                <w:sz w:val="22"/>
              </w:rPr>
              <w:t>Comments</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8853 S.p.A.</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ABC Refinery Pty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AUSTRALIA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Abington Reldan Metals, LLC</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Advanced Chemical Company</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African Gold Refinery</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Uganda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Agosi AG</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Aida Chemical Industries Co.,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 Etihad Gold Refinery DMCC</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 Ghaith Gold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Albino Mountinho Lda.</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PORTUGAL</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Alexy Metals</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Almalyk Mining and Metallurgical Complex (AMMC)</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UZBEKISTAN</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AngloGold Ashanti Corrego do Sitio Mineracao</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Argor-Heraeus S.A.</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ARY Aurum Plus</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Asahi Pretec Corp.</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Asahi Refining Canada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CANADA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Asahi Refining USA Inc.</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Asaka Riken Co.,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Atasay Kuyumculuk Sanayi Ve Ticaret A.S.</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Turkey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Attero Recycling Pvt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 Traders and Refiners</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 AFRICA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Augmont Enterprises Private Limited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Aurubis AG</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Bangalore Refinery</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Bangko Sentral ng Pilipinas (Central Bank of the Philippines)</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PHILIPPINES</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Bauer Walser AG</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Boliden Ronnskar</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Sweden</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 Hafner GmbH + Co. KG</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C.I Metales Procesados Industriales SAS</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COLOMBIA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Caridad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MEXICO</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CCR Refinery - Glencore Canada Corporation</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Canada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Cendres + Metaux S.A.</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CGR Metalloys Pvt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Chimet S.p.A.</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Chugai Mining</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Coimpa Industrial LTDA</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85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Daejin Indus Co., Ltd.</w:t>
            </w:r>
          </w:p>
        </w:tc>
        <w:tc>
          <w:tcPr>
            <w:tcW w:w="2921"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592"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28" w:type="dxa"/>
          <w:bottom w:w="28" w:type="dxa"/>
          <w:right w:w="28" w:type="dxa"/>
        </w:tblCellMar>
      </w:tblPr>
      <w:tblGrid>
        <w:gridCol w:w="586"/>
        <w:gridCol w:w="4732"/>
        <w:gridCol w:w="3136"/>
        <w:gridCol w:w="1596"/>
        <w:gridCol w:w="155"/>
      </w:tblGrid>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Daye Non-Ferrous Metals Mining Ltd.</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Degussa Sonne / Mond Goldhandel GmbH</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Dijllah Gold Refinery FZC</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DODUCO Contacts and Refining GmbH</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Dongwu Gold Group</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Dowa</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DSC (Do Sung Corporation)</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Eco-System Recycling Co., Ltd. East Plant</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Eco-System Recycling Co., Ltd. North Plant</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Eco-System Recycling Co., Ltd. West Plant</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Elemetal Refining, LLC</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Elite Industech Co., Ltd.</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Emerald Jewel Industry India Limited (Unit 1)</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Emerald Jewel Industry India Limited (Unit 2)</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Emerald Jewel Industry India Limited (Unit 3)</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Emerald Jewel Industry India Limited (Unit 4)</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Emirates Gold DMCC</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Faggi Enrico S.p.A.</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Faggi Enrico S.p.A.</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Fidelity Printers and Refiners Ltd.</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Zimbabwe</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Freeport Cobalt Oy</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FINLAND</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Fujairah Gold FZC</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Gasabo Gold Refinery Ltd</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RWANDA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Geib Refining Corporation</w:t>
            </w:r>
          </w:p>
        </w:tc>
        <w:tc>
          <w:tcPr>
            <w:tcW w:w="313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GG Refinery Ltd.</w:t>
            </w:r>
          </w:p>
        </w:tc>
        <w:tc>
          <w:tcPr>
            <w:tcW w:w="3136" w:type="dxa"/>
            <w:tcBorders>
              <w:right w:val="single" w:sz="2" w:space="0" w:color="000000"/>
            </w:tcBorders>
            <w:tcMar>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TANZANIA, UNITED REPUBLIC OF</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GGC Gujrat Gold Centre Pvt. Ltd.</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 by Gold Colombia</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COLOMBIA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 Coast Refinery</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GHANA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right w:val="single" w:sz="2" w:space="0" w:color="000000"/>
            </w:tcBorders>
            <w:tcMar>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 Refinery of Zijin Mining Group Co., Ltd.</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Great Wall Precious Metals Co., Ltd. of CBPM</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top w:val="single" w:sz="2" w:space="0" w:color="000000"/>
              <w:bottom w:val="single" w:sz="2" w:space="0" w:color="000000"/>
              <w:right w:val="single" w:sz="2" w:space="0" w:color="000000"/>
            </w:tcBorders>
            <w:tcMar>
              <w:top w:w="28"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Guangdong Hua Jian Trade Co., Ltd.</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Guangdong Jinding Gold Limited</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GUANGDONG JINXIAN GAOXIN CAI LIAO GONG SI</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73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Guoda Safina High-Tech Environmental Refinery Co., Ltd.</w:t>
            </w:r>
          </w:p>
        </w:tc>
        <w:tc>
          <w:tcPr>
            <w:tcW w:w="313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9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586"/>
        <w:gridCol w:w="5318"/>
        <w:gridCol w:w="2539"/>
        <w:gridCol w:w="1607"/>
        <w:gridCol w:w="155"/>
      </w:tblGrid>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Hang Seng Technology</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Hangzhou Fuchunjiang Smelting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Heimerle + Meule GmbH</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Henan Yuguang Gold &amp; Lead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Heraeus Germany GmbH Co. KG</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Heraeus Metals Hong Kong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Hetai Gold Mineral Guangdong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Hop Hing electroplating factory Zhejiang</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House of Currency of Brazil (Casa da Moeda do Brazil)</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Chenzhou Mining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Guiyang yinxing Nonferrous Smelting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Hung Cheong Metal Manufacturing Limited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HwaSeong CJ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Impala Platinum - Platinum Metals Refinery (PMR)</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 AFRICA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Impala Platinum - Rustenburg Smelter</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 AFRICA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Impala Refineries – Base Metals Refinery (BMR)</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 AFRICA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Inca One (Chala One Plant)</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PERU</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Inca One (Koricancha Plant)</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PERU</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Industrial Refining Company</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BELGIUM</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Inner Mongolia Qiankun Gold and Silver Refinery Share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International Precious Metal Refiners</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Ishifuku Metal Industry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Istanbul Gold Refinery</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Turkey</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Italpreziosi</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JALAN &amp; Company</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 Mint</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Copper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Jin Jinyin Refining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Jinlong Copper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JSC Ekaterinburg Non-Ferrous Metal Processing Plant</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JSC Novosibirsk Refinery</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JSC Uralelectromed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JX Nippon Mining &amp; Metals Co., Ltd.</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 Rasmussen</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NORWAY</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1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Kaloti Precious Metals</w:t>
            </w:r>
          </w:p>
        </w:tc>
        <w:tc>
          <w:tcPr>
            <w:tcW w:w="253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60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586"/>
        <w:gridCol w:w="4522"/>
        <w:gridCol w:w="3253"/>
        <w:gridCol w:w="1688"/>
        <w:gridCol w:w="156"/>
      </w:tblGrid>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Kazakhmys Smelting LLC</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Kazakhstan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Kazzinc</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KAZAKHSTAN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Kennecott Utah Copper LLC</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KGHM Polska Miedz Spolka Akcyjna</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POLAND</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Kojima Chemicals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Zinc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KP Sanghvi International Airport</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Kundan Care Products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Kyrgyzaltyn JSC</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Kyrgyzstan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Kyshtym Copper-Electrolytic Plant ZAO</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L'azurde Company For Jewelry</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SAUDI ARABIA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Lingbao Gold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Lingbao Jinyuan Tonghui Refinery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L'Orfebre S.A.</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ANDORRA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LS MnM Inc.</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LT Metal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Luoyang Zijin Yinhui Gold Refinery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Marsam Metals</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Materion</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Matsuda Sangyo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MD Overseas</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 Concentrators SA (Pty)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 Africa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Metallix Refining Inc.</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Metalor Technologies (Hong Kong)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Metalor Technologies (Singapore) Pte.,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Singapore</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Metalor Technologies (Suzhou)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Metalor Technologies S.A.</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Metalor USA Refining Corporation</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Metalurgica Met-Mex Penoles S.A. De C.V.</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MEXICO</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Minera Titán del Perú SRL (MTP) - Belen Plant</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Peru</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Mitsubishi Materials Corporation</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Mitsui Mining and Smelting Co.,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MKS PAMP SA</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MMTC-PAMP India Pvt., Ltd.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Modeltech Sdn Bhd</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Morris and Watson</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NEW ZEALAND</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Morris and Watson Gold Coast</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AUSTRALIA</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Moscow Special Alloys Processing Plant</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452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Nadir Metal Rafineri San. Ve Tic. A.S.</w:t>
            </w:r>
          </w:p>
        </w:tc>
        <w:tc>
          <w:tcPr>
            <w:tcW w:w="325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Turkey</w:t>
            </w:r>
          </w:p>
        </w:tc>
        <w:tc>
          <w:tcPr>
            <w:tcW w:w="168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586"/>
        <w:gridCol w:w="5366"/>
        <w:gridCol w:w="2605"/>
        <w:gridCol w:w="1492"/>
        <w:gridCol w:w="156"/>
      </w:tblGrid>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Navoi Mining and Metallurgical Combinat</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Uzbekistan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NH Recytech Company</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Nihon Material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NOBLE METAL SERVICES</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Nyrstar Metals</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Ogussa Osterreichische Gold- und Silber-Scheideanstalt GmbH</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Austria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Ohura Precious Metal Industry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OJSC "The Gulidov Krasnoyarsk Non-Ferrous Metals Plant" (OJSC Krastsvetmet)</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Pease &amp; Curren</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Penglai Penggang Gold Industry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Planta Recuperadora de Metales SpA</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Chile</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Prioksky Plant of Non-Ferrous Metals</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Aneka Tambang (Persero) Tbk</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PX Precinox S.A.</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QG Refining, LLC</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Rand Refinery (Pty)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 Africa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Realized the Enterprise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Refinery of Seemine Gold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REMONDIS PMR B.V.</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NETHERLANDS</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Republic Metals Corporation</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Royal Canadian Mint</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Canada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SAAMP</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France</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Sabin Metal Corp.</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Safimet S.p.A</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SAFINA A.S.</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 </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Sai Refinery</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SAM Precious Metals FZ-LLC</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ARAB EMIRATES</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Samduck Precious Metals</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Samwon Metals Corp.</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Sancus ZFS (L’Orfebre, SA)</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COLOMBIA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SAXONIA Edelmetalle GmbH</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Schone Edelmetaal B.V.</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Netherlands</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Sellem Industries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MAURITANIA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SEMPSA Joyeria Plateria S.A.</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Spain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 Dong Huangjin</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 Tou Shi Yong Yuan Jin Shu Zai Sheng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 Jin Jinyin Refining Limited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366"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Gold Smelting Co., Ltd.</w:t>
            </w:r>
          </w:p>
        </w:tc>
        <w:tc>
          <w:tcPr>
            <w:tcW w:w="260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9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586"/>
        <w:gridCol w:w="5469"/>
        <w:gridCol w:w="2515"/>
        <w:gridCol w:w="1479"/>
        <w:gridCol w:w="156"/>
      </w:tblGrid>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Hengbang Smelter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Humon Smelting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penglai gold smelter</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Tiancheng Biological Gold Industrial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Yanggu Xiangguang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Shandong Zhaojin Gold &amp; Silver Refinery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Shenzhen CuiLu Gold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Shenzhen Heng Zhong Industry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SHENZHEN JINJUNWEI RESOURCE COMPREHENSIVE DEVELOPMENT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Shenzhen Zhonghenglong Real Industry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Shirpur Gold Refinery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Sichuan Tianze Precious Metals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Singway Technology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Sino-Platinum Metals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SOE Shyolkovsky Factory of Secondary Precious Metals</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Solar Applied Materials Technology Corp.</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Sovereign Metals</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State Research Institute Center for Physical Sciences and Technology</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LITHUANIA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Sudan Gold Refinery</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SUDAN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Sumitomo Metal Mining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SungEel HiMetal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Super Dragon Technology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SuZhou ShenChuang recycling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T.C.A S.p.A</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Italy</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 Perng</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TOTAI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Tanaka Kikinzoku Kogyo K.K.</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TITAN COMPANY LIMITED, JEWELLERY DIVISION</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Tokuriki Honten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Tongling Nonferrous Metals Group Co., Ltd.</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TOO Tau-Ken-Altyn</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KAZAKHSTAN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Torecom</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Tsai Brother industries</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TSK Pretech</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54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Umicore Brasil Ltda.</w:t>
            </w:r>
          </w:p>
        </w:tc>
        <w:tc>
          <w:tcPr>
            <w:tcW w:w="251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1021"/>
        <w:gridCol w:w="3597"/>
        <w:gridCol w:w="3978"/>
        <w:gridCol w:w="1453"/>
        <w:gridCol w:w="156"/>
      </w:tblGrid>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Umicore Precious Metals Thailand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THAILAND</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Umicore S.A. Business Unit Precious Metals Refining</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BELGIUM</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Precious Metal Refining, Inc.</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 </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Universal Precious Metals Refining Zambia</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Zambia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Valcambi S.A.</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Value Trading</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BELGIUM</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Viagra Di precious metals (Zhaoyuan)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WEEEREFINING</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France</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Western Australian Mint (T/a The Perth Mint)</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AUSTRALIA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WIELAND Edelmetalle GmbH</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Wuzhong Group</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Xiamen JInbo Metal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Yamakin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Yokohama Metal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Copper Industry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Gold Mining Group Co., Ltd. (YGMG)</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Zhaojun Maifu</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Zhe Jiang Guang Yuan Noble Metal Smelting Factory</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Zhongkuang Gold Industry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Zhongshan Hyper-Toxic Substance Monopolized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Zhongshan Poison Material Proprietary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Zhongyuan Gold Smelter of Zhongjin Gold Corporation</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Zhuhai toxic materials Monopoly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Gold</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Zhuzhou Smelting Group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5D Production OU</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ESTONIA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AMG Brasil</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ANHUI HERRMAN IMPEX CO.</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Asaka Riken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Avon Specialty Metals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KINGDOM OF GREAT BRITAIN AND NORTHERN IRELAND</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Changsha South Tantalum Niobium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Chongyi Zhangyuan Tungsten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CMT Rare Metal Advanced Materials (Hunan) Co., Ltd.</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59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CP Metals Inc.</w:t>
            </w:r>
          </w:p>
        </w:tc>
        <w:tc>
          <w:tcPr>
            <w:tcW w:w="397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5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1021"/>
        <w:gridCol w:w="4355"/>
        <w:gridCol w:w="3428"/>
        <w:gridCol w:w="1246"/>
        <w:gridCol w:w="155"/>
      </w:tblGrid>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 Block Metals, LLC</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Duoluoshan</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Exotech Inc.</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F&amp;X Electro-Materials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FIR Metals &amp; Resource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Gannon &amp; Scott</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Global Advanced Metals</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Global Advanced Metals Aizu</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Global Advanced Metals Boyertown</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Guangdong Rising Rare Metals-EO Materials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H.C. Starck GmbH Laufenburg</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H.C. Starck Hermsdorf GmbH</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Hengyang King Xing Lifeng New Materials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Hi-Temp Specialty Metals, Inc.</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Dinghai Tantalum &amp; Niobium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Sanshi Nonferrous Metals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Tuohong New Raw Material</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Jiujiang Janny New Material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JiuJiang JinXin Nonferrous Metals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Jiujiang Tanbre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Jiujiang Zhongao Tantalum &amp; Niobium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KEMET Blue Powder</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KEMET de Mexico</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MEXICO</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King-Tan Tantalum Industry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 Smelting Corporation (MSC)</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Materion</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Materion Newton Inc.</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 Materials</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NORTH MACEDONIA, REPUBLIC OF</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Metallurgical Products India Pvt.,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Mineracao Taboca S.A.</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Mineração Taboca S.A.</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Mitsui Mining and Smelting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Ningxia Orient Tantalum Industry Co.,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NPM Silmet AS</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Estonia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Plansee SE Liezen</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PowerX Ltd.</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Rwanda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QuantumClean</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4355"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Resind Industria e Comercio Ltda.</w:t>
            </w:r>
          </w:p>
        </w:tc>
        <w:tc>
          <w:tcPr>
            <w:tcW w:w="342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1021"/>
        <w:gridCol w:w="3633"/>
        <w:gridCol w:w="3952"/>
        <w:gridCol w:w="1444"/>
        <w:gridCol w:w="155"/>
      </w:tblGrid>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RFH Recycling Metals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RFH Yancheng Jinye New Material Technology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Rui Da Hung</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Shanghai Jiangxi Metals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Solikamsk Magnesium Works OAO</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Taike Technology (Suzhou) Co.,Ltd.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Taki Chemical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TANIOBIS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THAILAND</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TANIOBIS GmbH</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TANIOBIS Japan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TANIOBIS Smelting GmbH &amp; Co. KG</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Telex Metals</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Tranzact, Inc.</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Ulba Metallurgical Plant JSC</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Kazakhstan</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ULVAC Inc.</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V&amp;D New Materials (Jiangsu)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XIMEI RESOURCES (GUANGDONG) LIMITED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XIMEI RESOURCES(GUIZHOU) TECHNOLOGY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XinXing HaoRong Electronic Material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Yanling Jincheng Tantalum &amp; Niobium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Yichun Jin Yang Rare Metal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Tantalum</w:t>
            </w:r>
          </w:p>
        </w:tc>
        <w:tc>
          <w:tcPr>
            <w:tcW w:w="363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Zhuzhou Cemented Carbide Group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5N Plus</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KINGDOM OF GREAT BRITAIN AND NORTHERN IRELAND</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Alpha</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An Thai Minerals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An Vinh Joint Stock Mineral Processing Company</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Aurubis Beerse</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Belgium</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Aurubis Berango</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SPAIN</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Chenzhou Yunxiang Mining and Metallurgy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Chifeng Dajingzi Tin Industry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 Tin Group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Chofu Works</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CNMC (Guangxi) PGMA Co., Ltd.</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Conecsus LLC</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63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Cooperativa Metalurgica de Rondônia Ltda.</w:t>
            </w:r>
          </w:p>
        </w:tc>
        <w:tc>
          <w:tcPr>
            <w:tcW w:w="395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44"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421"/>
        <w:gridCol w:w="5169"/>
        <w:gridCol w:w="2993"/>
        <w:gridCol w:w="1467"/>
        <w:gridCol w:w="155"/>
      </w:tblGrid>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CRM Fundicao De Metais E Comercio De Equipamentos Eletronicos Do Brasil Ltda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CRM Synergies</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SPAIN</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CV Ayi Jaya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CV Dua Sekawan</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CV Gita Pesona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CV United Smelting</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CV Venus Inti Perkasa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Dingnan Jiawang environmental Tin technology Co.</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Dongguan Best Alloys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Dongguan CiEXPO Environmental Engineering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Dongguan City Xida Soldering Tin Products Co.</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Dowa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Dragon Silver Holdings Limited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DS Myanmar</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MYANMAR</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Electro-Mechanical Facility of the Cao Bang Minerals &amp; Metallurgy Joint Stock Company</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EM Vinto</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BOLIVIA (PLURINATIONAL STATE OF)</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Estanho de Rondonia S.A.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Fabrica Auricchio Industria e Comercio Ltda.</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Feinhutte Halsbrucke GmbH</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Fenix Metals</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Poland</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City Fuxiang Industry and Trade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Fengming Metallurgy Chemical Plant</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Jinye Mineral Company</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Kai Meng Industry and Trade LLC</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Non-Ferrous Metal Processing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Yunxi Group Corp.</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Yunxin Nonferrous Electrolysis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Gejiu Zili Mining And Metallurgy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Global Advanced Metals Greenbushes Pty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Australia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Guangdong Hanhe Non-Ferrous Metal Co.,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16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GUANGXI HUA TIN GOLD MINUTE FEE, LTD.</w:t>
            </w:r>
          </w:p>
        </w:tc>
        <w:tc>
          <w:tcPr>
            <w:tcW w:w="299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6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421"/>
        <w:gridCol w:w="5279"/>
        <w:gridCol w:w="2834"/>
        <w:gridCol w:w="1515"/>
        <w:gridCol w:w="156"/>
      </w:tblGrid>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Guangxi Nonferrous Metals Group</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Guangxi Zhongshan Jin Yi Smelting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Guanyang Guida Nonferrous Metal Smelting Plant</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Hezhou Jinwei Tin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Hongqiao Metals (Kunshan)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HuiChang Hill Tin Industry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Huichang Jinshunda Tin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Hulterworth Smelter</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IMPAG AG</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SWITZERLAND</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Jean Goldschmidt International (JGI Hydrometal)</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BELGIUM</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 Jia Wang Technology Co.</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 Xi Jia Wang Technology Tin Products Environmental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Ketai Advanced Material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New Nanshan Technology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Yaosheng Tungsten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LIAN JING</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Longnan Chuangyue Environmental Protection Technology Development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Luna Smelter,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RWANDA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 An Shan Shu Guang Smelter Corp.</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Ma'anshan Weitai Tin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Magnu's Minerais Metais e Ligas Ltda.</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 Smelting Corporation (MSC)</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 Smelting Corporation Berhad (Port Klang)</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Materials Eco-Refining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Melt Metais e Ligas S.A.</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Metahub Industries Sdn. Bhd.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Metallic Resources, Inc.</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Minchali Metal Industry Co., Ltd.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Mineracao Taboca S.A.</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Ming Li Jia smelt Metal Factory</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Mining Minerals Resources SARL</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Congo, Democratic Republic Of The</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Minsur</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PERU</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Mitsubishi Materials Corporation</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Modeltech Sdn Bhd</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Ney Metals and Alloys</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Nghe Tinh Non-Ferrous Metals Joint Stock Company</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279"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Novosibirsk Tin Combine</w:t>
            </w:r>
          </w:p>
        </w:tc>
        <w:tc>
          <w:tcPr>
            <w:tcW w:w="283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1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421"/>
        <w:gridCol w:w="3873"/>
        <w:gridCol w:w="4059"/>
        <w:gridCol w:w="1696"/>
        <w:gridCol w:w="156"/>
      </w:tblGrid>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O.M. Manufacturing (Thailand) Co., Ltd.</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THAILAND</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O.M. Manufacturing Philippines, Inc.</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Philippines</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OMODEO A. E S. METALLEGHE SRL</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Operaciones Metalurgicas S.A.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BOLIVIA (PLURINATIONAL STATE OF)</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 Kay Metal, Inc</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Plansee SE Reutte</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Pongpipat Company Limited</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MYANMAR</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Precious Minerals and Smelting Limited</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Aries Kencana Sejahtera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Arsed Indonesia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Artha Cipta Langgeng</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ATD Makmur Mandiri Jaya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Babel Inti Perkasa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Babel Surya Alam Lestari</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Bangka Prima Tin</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Bangka Serumpun</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Bangka Tin Industry</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Belitung Industri Sejahtera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Bukit Timah</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Cipta Persada Mulia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DS Jaya Abadi</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Eunindo Usaha Mandiri</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Inti Stania Prima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Justindo</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Karimun Mining</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Kijang Jaya Mandiri</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Koba Tin</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Lautan Harmonis Sejahtera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Masbro Alam Stania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Menara Cipta Mulia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Mitra Graha Raya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Mitra Stania Prima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Mitra Sukses Globalindo</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O.M. Indonesia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Panca Mega Persada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Premium Tin Indonesia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Prima Timah Utama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Putera Sarana Shakti (PT PSS)</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Rajawali Rimba Perkasa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Rajehan Ariq</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Refined Bangka Tin</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Sariwiguna Binasentosa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Stanindo Inti Perkasa</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Sukses Inti Makmur (SIM)</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873"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Sumber Jaya Indah</w:t>
            </w:r>
          </w:p>
        </w:tc>
        <w:tc>
          <w:tcPr>
            <w:tcW w:w="4059"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69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421"/>
        <w:gridCol w:w="5940"/>
        <w:gridCol w:w="2443"/>
        <w:gridCol w:w="1246"/>
        <w:gridCol w:w="155"/>
      </w:tblGrid>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Timah Nusantara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Timah Tbk</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Timah Tbk Kundur</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Timah Tbk Mentok</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Tinindo Inter Nusa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Tirus Putra Mandiri</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Tommy Utama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Wahana Perkit Jaya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Resind Industria e Comercio Ltda.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Rian Resources SDN. BHD.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RIKAYAA GREENTECH PRIVATE LIMITED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INDIA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Rui Da Hung</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 Tou Shi Yong Yuan Jin Shu Zai Sheng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Shangrao Xuri Smelting Factory</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Shenzhen Hong Chang Metal Manufacturing Factory</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Sichuan Guanghan Jiangnan casting smelters</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Sigma Tin Alloy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Soft Metais Ltda.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Solder Court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Super Ligas</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Suzhou Nuonengda Chemical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 Perng</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Taicang City Nancang Metal Material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Huanliang</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Takehara PVD Materials Plant / PVD Materials Division of MITSUI MINING &amp; SMELTING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 Nguyen Mining and Metallurgy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VIETNAM</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Thailand Mine Factory</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Thaisarco</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THAILAND</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Three green surface technology limited company</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 PLATING GEJIU</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 Smelting Branch of Yunnan Tin Co.,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 Technology &amp; Refining</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TONG LONG</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Top-Team Technology (Shenzhen) Ltd.</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5940"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TRATHO Metal Quimica</w:t>
            </w:r>
          </w:p>
        </w:tc>
        <w:tc>
          <w:tcPr>
            <w:tcW w:w="2443"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2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1036"/>
        <w:gridCol w:w="3468"/>
        <w:gridCol w:w="4091"/>
        <w:gridCol w:w="1455"/>
        <w:gridCol w:w="155"/>
      </w:tblGrid>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Tuyen Quang Non-Ferrous Metals Joint Stock Company</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VQB Mineral and Trading Group JSC</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WANG TING</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White Solder Metalurgia e Mineracao Ltda.</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Woodcross Smelting Company Limited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UGANDA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WUJIANG CITY LUXE TIN FACTORY</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Xiamen Honglu Tungsten Molybdenum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Xianghualing Tin Industry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Xin Furukawa Metal ( Wuxi )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XURI</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Yifeng Tin</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Yiquan Manufacturing</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Yuecheng Tin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Chengfeng Non-ferrous Metals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Chengo Electric Smelting Plant</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Copper Zinc Industry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Geiju Smelting Corp.</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Industrial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Malipo Baiyi Kuangye Co.</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Yunnan Yunfan Non-ferrous Metals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Tin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Zhongshan Jinye Smelting Co.,Ltd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A.L.M.T. Corp.</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ACL Metais Eireli</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Albasteel Industria e Comercio de Ligas Para Fundicao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Artek LLC</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Asia Tungsten Products Vietnam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Avon Specialty Metals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KINGDOM OF GREAT BRITAIN AND NORTHERN IRELAND</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 Molybdenum Tungsten Co., Ltd.</w:t>
            </w:r>
          </w:p>
        </w:tc>
        <w:tc>
          <w:tcPr>
            <w:tcW w:w="4091"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Chongyi Zhangyuan Tungsten Co., Ltd.</w:t>
            </w:r>
          </w:p>
        </w:tc>
        <w:tc>
          <w:tcPr>
            <w:tcW w:w="4091"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CNMC (Guangxi) PGMA Co., Ltd.</w:t>
            </w:r>
          </w:p>
        </w:tc>
        <w:tc>
          <w:tcPr>
            <w:tcW w:w="4091"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CP Metals Inc.</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Cronimet Brasil Ltda</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BRAZIL</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Dayu Weiliang Tungsten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DONGKUK INDUSTRIES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Fujian Ganmin RareMetal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Fujian Jinxin Tungsten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Fujian Xinlu Tungsten Co., Ltd.</w:t>
            </w:r>
          </w:p>
        </w:tc>
        <w:tc>
          <w:tcPr>
            <w:tcW w:w="409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Beseem Ferrotungsten Co., Ltd.</w:t>
            </w:r>
          </w:p>
        </w:tc>
        <w:tc>
          <w:tcPr>
            <w:tcW w:w="4091"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3468"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Haichuang Tungsten Co., Ltd.</w:t>
            </w:r>
          </w:p>
        </w:tc>
        <w:tc>
          <w:tcPr>
            <w:tcW w:w="4091"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28" w:type="dxa"/>
          <w:bottom w:w="28" w:type="dxa"/>
          <w:right w:w="28" w:type="dxa"/>
        </w:tblCellMar>
      </w:tblPr>
      <w:tblGrid>
        <w:gridCol w:w="1036"/>
        <w:gridCol w:w="4675"/>
        <w:gridCol w:w="2886"/>
        <w:gridCol w:w="1452"/>
        <w:gridCol w:w="156"/>
      </w:tblGrid>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Huaxing Tungsten Products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Jiangwu Ferrotungsten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Seadragon W &amp; Mo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Sunny Non-Ferrous Metals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Ganzhou Yatai 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Global Tungsten &amp; Powders LLC</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Guangdong Xianglu 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H.C. Starck Tungsten GmbH</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HANNAE FOR T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Hubei Green 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Chenzhou Mining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Chuangda Vanadium Tungsten Co., Ltd. Wuji</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Jintai New Material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Litian Tungsten Industry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Hunan Shizhuyuan Nonferrous Metals Co., Ltd. Chenzhou Tungsten Products Branch</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Hydrometallurg, JSC</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 New Metals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Jiangwu H.C. Starck Tungsten Products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Gan Bei 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Minmetals Gao'an Non-ferrous Metals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Tonggu Non-ferrous Metallurgical &amp; Chemical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Xianglu 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Xinsheng Tungsten Industry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Xiushui Xianggan Nonferrous Metals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Jiangxi Yaosheng Tungsten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Jing Yuan Tungsten Technology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JSC "Kirovgrad Hard Alloys Plant"</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Kenee Mining Corporation Vietnam</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Kennametal Fallon</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Kennametal Huntsville</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KGETS Co., Ltd.</w:t>
            </w:r>
          </w:p>
        </w:tc>
        <w:tc>
          <w:tcPr>
            <w:tcW w:w="288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LAOS SOUTHERN MINING SMELTING SOLE CO.,LTD</w:t>
            </w:r>
          </w:p>
        </w:tc>
        <w:tc>
          <w:tcPr>
            <w:tcW w:w="2886" w:type="dxa"/>
            <w:tcBorders>
              <w:right w:val="single" w:sz="2" w:space="0" w:color="000000"/>
            </w:tcBorders>
            <w:tcMar>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LAO PEOPLE'S DEMOCRATIC REPUBLIC</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Lianyou Metals Co., Ltd.</w:t>
            </w:r>
          </w:p>
        </w:tc>
        <w:tc>
          <w:tcPr>
            <w:tcW w:w="288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67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Lianyou Resources Co., Ltd.</w:t>
            </w:r>
          </w:p>
        </w:tc>
        <w:tc>
          <w:tcPr>
            <w:tcW w:w="2886" w:type="dxa"/>
            <w:tcBorders>
              <w:top w:val="single" w:sz="2" w:space="0" w:color="000000"/>
              <w:right w:val="single" w:sz="2" w:space="0" w:color="000000"/>
            </w:tcBorders>
            <w:tcMar>
              <w:top w:w="28" w:type="dxa"/>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45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6" w:type="dx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0" w:type="dxa"/>
          <w:right w:w="28" w:type="dxa"/>
        </w:tblCellMar>
      </w:tblPr>
      <w:tblGrid>
        <w:gridCol w:w="1036"/>
        <w:gridCol w:w="4712"/>
        <w:gridCol w:w="2757"/>
        <w:gridCol w:w="1545"/>
        <w:gridCol w:w="155"/>
      </w:tblGrid>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LLC Vostok</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right w:val="single" w:sz="2" w:space="0" w:color="000000"/>
            </w:tcBorders>
            <w:tcMar>
              <w:top w:w="0" w:type="dxa"/>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MALAMET SMELTING SDN. BHD.</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MALAYSIA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Malipo Haiyu Tungsten Co., Ltd.</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Masan High-Tech Materials</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Materion</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Minmetals Ganzhou Tin Co. Ltd.</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Mitsui Mining and Smelting Co., Ltd.</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Moliren Ltd.</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Nam Viet Cromit Joint Stock Company</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Niagara Refining LLC</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UNITED STATES OF AMERICA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Ningxia Orient Tantalum Industry Co., Ltd.</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NPP Tyazhmetprom LLC</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OOO “Technolom” 1</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OOO “Technolom” 2</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 Bonway Manufacturing Industrial Corporation</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PHILIPPINES</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 Carreytech Metal Corp.</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PHILIPPINES</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 Chuangxin Industrial Co., Inc.</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PHILIPPINES</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Plansee Composite Materials GmbH</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Plansee SE Liezen</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AUSTRIA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Stanindo Inti Perkasa</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PT Timah (Persero), Tbk</w:t>
            </w:r>
          </w:p>
        </w:tc>
        <w:tc>
          <w:tcPr>
            <w:tcW w:w="2757"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INDONESIA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S.P.T. spol.s r.o.</w:t>
            </w:r>
          </w:p>
        </w:tc>
        <w:tc>
          <w:tcPr>
            <w:tcW w:w="2757"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CZECHIA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Sanher Tungsten Vietnam Co., Ltd.</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Shinwon Tungsten (Fujian Shanghang) Co., Ltd.</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Solar Applied Materials Technology Corp.</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TAIWAN, PROVINCE OF CHINA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South-East Nonferrous Metal Company Limited of Hengyang City</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Sumitomo Metal Mining Co., Ltd.</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JAPAN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TANIOBIS Smelting GmbH &amp; Co. KG</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GERMANY</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Tejing (Vietnam) Tungsten Co., Ltd.</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Vietnam</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Thaisarco</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THAILAND</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Tungamoy Metals Inc.</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 Diversified Industries LLC</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UNKNOWN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 Vietnam Joint Stock Company</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 NAM</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Unecha Refractory metals plant</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Russian Federation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Non 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Uzbekistan Technological Metallurgical Complex JSC</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UZBEKISTAN</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Vietnam Youngsun Tungsten Industry Co., Ltd.</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Vietnam</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Wolfram Bergbau und Hutten AG</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AUSTRIA</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471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Woltech Korea Co., Ltd.</w:t>
            </w:r>
          </w:p>
        </w:tc>
        <w:tc>
          <w:tcPr>
            <w:tcW w:w="2757"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KOREA, REPUBLIC OF</w:t>
            </w:r>
          </w:p>
        </w:tc>
        <w:tc>
          <w:tcPr>
            <w:tcW w:w="15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5" w:type="dx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9503" w:type="dxa"/>
        <w:jc w:val="left"/>
        <w:tblInd w:w="0" w:type="dxa"/>
        <w:tblLayout w:type="fixed"/>
        <w:tblCellMar>
          <w:top w:w="0" w:type="dxa"/>
          <w:left w:w="28" w:type="dxa"/>
          <w:bottom w:w="28" w:type="dxa"/>
          <w:right w:w="28" w:type="dxa"/>
        </w:tblCellMar>
      </w:tblPr>
      <w:tblGrid>
        <w:gridCol w:w="1036"/>
        <w:gridCol w:w="6256"/>
        <w:gridCol w:w="811"/>
        <w:gridCol w:w="1246"/>
        <w:gridCol w:w="154"/>
      </w:tblGrid>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Xiamen Tungsten (H.C.) Co., Ltd.</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Xiamen Tungsten Co., Ltd.</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Xinfeng Huarui Tungsten &amp; Molybdenum New Material Co., Ltd.</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Xinhai Rendan Shaoguan Tungsten Co., Ltd.</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YUDU ANSHENG TUNGSTEN CO., LTD.</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Zhangzhou Chuen Bao Apt Smeltery Co., Ltd.</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Zhuzhou Cement Carbide</w:t>
            </w:r>
          </w:p>
        </w:tc>
        <w:tc>
          <w:tcPr>
            <w:tcW w:w="811"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Tungsten</w:t>
            </w:r>
          </w:p>
        </w:tc>
        <w:tc>
          <w:tcPr>
            <w:tcW w:w="6256" w:type="dxa"/>
            <w:tcBorders>
              <w:right w:val="single" w:sz="2" w:space="0" w:color="000000"/>
            </w:tcBorders>
            <w:tcMar>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Zhuzhou Cemented Carbide Group Co., Ltd.</w:t>
            </w:r>
          </w:p>
        </w:tc>
        <w:tc>
          <w:tcPr>
            <w:tcW w:w="811" w:type="dxa"/>
            <w:tcBorders>
              <w:right w:val="single" w:sz="2" w:space="0" w:color="000000"/>
            </w:tcBorders>
            <w:tcMar>
              <w:left w:w="0" w:type="dxa"/>
              <w:bottom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CHINA</w:t>
            </w:r>
          </w:p>
        </w:tc>
        <w:tc>
          <w:tcPr>
            <w:tcW w:w="1246"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Conformant</w:t>
            </w:r>
          </w:p>
        </w:tc>
        <w:tc>
          <w:tcPr>
            <w:tcW w:w="154" w:type="dx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8723</Words>
  <Characters>51608</Characters>
  <CharactersWithSpaces>57961</CharactersWithSpaces>
  <Paragraphs>2646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