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alnt-20260630x10q.htm"/>
        <w:bookmarkStart w:id="1" w:name="ksaln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140" w:after="0"/>
        <w:ind w:left="0" w:right="0" w:hanging="0"/>
        <w:jc w:val="center"/>
        <w:rPr>
          <w:rFonts w:ascii="Times New Roman;Times;serif" w:hAnsi="Times New Roman;Times;serif"/>
          <w:b/>
          <w:sz w:val="36"/>
        </w:rPr>
      </w:pPr>
      <w:bookmarkStart w:id="2" w:name="_352a4d12_7a54_4dcc_aa65_840633658179"/>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sz w:val="36"/>
        </w:rPr>
      </w:pPr>
      <w:r>
        <w:rPr>
          <w:rFonts w:ascii="Times New Roman;Times;serif" w:hAnsi="Times New Roman;Times;serif"/>
          <w:sz w:val="36"/>
        </w:rPr>
        <w:t>Form 10-Q</w:t>
      </w:r>
    </w:p>
    <w:p>
      <w:pPr>
        <w:pStyle w:val="TextBody"/>
        <w:bidi w:val="0"/>
        <w:spacing w:before="0" w:after="0"/>
        <w:ind w:left="0" w:right="0" w:hanging="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270" w:right="0" w:hanging="0"/>
        <w:jc w:val="left"/>
        <w:rPr>
          <w:rFonts w:ascii="Times New Roman;Times;serif" w:hAnsi="Times New Roman;Times;serif"/>
          <w:sz w:val="20"/>
        </w:rPr>
      </w:pPr>
      <w:r>
        <w:rPr>
          <w:rFonts w:ascii="Times New Roman;Times;serif" w:hAnsi="Times New Roman;Times;serif"/>
          <w:sz w:val="20"/>
        </w:rPr>
        <w:t>For the quarterly period ended June 30, 2026.</w:t>
      </w:r>
    </w:p>
    <w:p>
      <w:pPr>
        <w:pStyle w:val="TextBody"/>
        <w:bidi w:val="0"/>
        <w:spacing w:before="0" w:after="120"/>
        <w:ind w:left="27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270" w:right="0" w:hanging="0"/>
        <w:jc w:val="left"/>
        <w:rPr>
          <w:rFonts w:ascii="Times New Roman;Times;serif" w:hAnsi="Times New Roman;Times;serif"/>
          <w:sz w:val="20"/>
        </w:rPr>
      </w:pPr>
      <w:r>
        <w:rPr>
          <w:rFonts w:ascii="Times New Roman;Times;serif" w:hAnsi="Times New Roman;Times;serif"/>
          <w:sz w:val="20"/>
        </w:rPr>
        <w:t>For the transition period from ________________________to _________________________</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0-04041</w:t>
      </w:r>
    </w:p>
    <w:p>
      <w:pPr>
        <w:pStyle w:val="TextBody"/>
        <w:bidi w:val="0"/>
        <w:spacing w:before="140" w:after="0"/>
        <w:ind w:left="0" w:right="0" w:hanging="0"/>
        <w:jc w:val="center"/>
        <w:rPr>
          <w:rFonts w:ascii="Times New Roman;Times;serif" w:hAnsi="Times New Roman;Times;serif"/>
          <w:b/>
          <w:sz w:val="36"/>
        </w:rPr>
      </w:pPr>
      <w:r>
        <w:rPr>
          <w:rFonts w:ascii="Times New Roman;Times;serif" w:hAnsi="Times New Roman;Times;serif"/>
          <w:b/>
          <w:sz w:val="36"/>
        </w:rPr>
        <w:t>ALLIENT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qP3pR_3kh0KnWvQdTaqpJw_4_2"/>
      <w:bookmarkStart w:id="4" w:name="Tc_v5hMD_hYJUW1S7zNu9CFPA_4_0"/>
      <w:bookmarkStart w:id="5" w:name="Tc_XAQYimuF2kOiB82ZP_046A_2_2"/>
      <w:bookmarkStart w:id="6" w:name="Tc_Y0RsndAY10O9Kp6rggC1fA_2_0"/>
      <w:bookmarkStart w:id="7" w:name="_19910f62_98e5_4d66_88da_5900c96c44c4"/>
      <w:bookmarkStart w:id="8" w:name="Tc_qP3pR_3kh0KnWvQdTaqpJw_4_2"/>
      <w:bookmarkStart w:id="9" w:name="Tc_v5hMD_hYJUW1S7zNu9CFPA_4_0"/>
      <w:bookmarkStart w:id="10" w:name="Tc_XAQYimuF2kOiB82ZP_046A_2_2"/>
      <w:bookmarkStart w:id="11" w:name="Tc_Y0RsndAY10O9Kp6rggC1fA_2_0"/>
      <w:bookmarkStart w:id="12" w:name="_19910f62_98e5_4d66_88da_5900c96c44c4"/>
      <w:bookmarkEnd w:id="8"/>
      <w:bookmarkEnd w:id="9"/>
      <w:bookmarkEnd w:id="10"/>
      <w:bookmarkEnd w:id="11"/>
      <w:bookmarkEnd w:id="12"/>
    </w:p>
    <w:tbl>
      <w:tblPr>
        <w:tblW w:w="8343" w:type="dxa"/>
        <w:jc w:val="left"/>
        <w:tblInd w:w="0" w:type="dxa"/>
        <w:tblLayout w:type="fixed"/>
        <w:tblCellMar>
          <w:top w:w="0" w:type="dxa"/>
          <w:left w:w="0" w:type="dxa"/>
          <w:bottom w:w="0" w:type="dxa"/>
          <w:right w:w="0" w:type="dxa"/>
        </w:tblCellMar>
      </w:tblPr>
      <w:tblGrid>
        <w:gridCol w:w="4966"/>
        <w:gridCol w:w="346"/>
        <w:gridCol w:w="3031"/>
      </w:tblGrid>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Colorado</w:t>
            </w:r>
          </w:p>
        </w:tc>
        <w:tc>
          <w:tcPr>
            <w:tcW w:w="346" w:type="dxa"/>
            <w:tcBorders/>
            <w:vAlign w:val="center"/>
          </w:tcPr>
          <w:p>
            <w:pPr>
              <w:pStyle w:val="TableContents"/>
              <w:bidi w:val="0"/>
              <w:spacing w:before="0" w:after="0"/>
              <w:ind w:left="0" w:right="0" w:hanging="0"/>
              <w:jc w:val="left"/>
              <w:rPr/>
            </w:pPr>
            <w:r>
              <w:rPr/>
              <w:t>  ​ ​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84-0518115</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9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pPr>
            <w:r>
              <w:rPr/>
              <w:t>​</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6400 Main Street, suite 150, Williamsville, New York</w:t>
            </w:r>
            <w:r>
              <w:rPr>
                <w:rFonts w:ascii="Times New Roman;Times;serif" w:hAnsi="Times New Roman;Times;serif"/>
                <w:sz w:val="20"/>
              </w:rPr>
              <w:b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14221</w:t>
              <w:br/>
            </w: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(716) 242-8634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495 Commerce Drive, Amherst, New York, 14228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Hijmx5SjWE-aD37WlgvWWA_0_4"/>
      <w:bookmarkStart w:id="14" w:name="Tc_-3aPKiNQLU6EtrHp7lpTEQ_0_2"/>
      <w:bookmarkStart w:id="15" w:name="Tc_Aimk8t3_N0ODpRepao_Cwg_0_0"/>
      <w:bookmarkStart w:id="16" w:name="_737c81c2_2a54_4102_96e7_1c80260b498c"/>
      <w:bookmarkStart w:id="17" w:name="Tc_Hijmx5SjWE-aD37WlgvWWA_0_4"/>
      <w:bookmarkStart w:id="18" w:name="Tc_-3aPKiNQLU6EtrHp7lpTEQ_0_2"/>
      <w:bookmarkStart w:id="19" w:name="Tc_Aimk8t3_N0ODpRepao_Cwg_0_0"/>
      <w:bookmarkStart w:id="20" w:name="_737c81c2_2a54_4102_96e7_1c80260b498c"/>
      <w:bookmarkEnd w:id="17"/>
      <w:bookmarkEnd w:id="18"/>
      <w:bookmarkEnd w:id="19"/>
      <w:bookmarkEnd w:id="20"/>
    </w:p>
    <w:tbl>
      <w:tblPr>
        <w:tblW w:w="7400" w:type="dxa"/>
        <w:jc w:val="left"/>
        <w:tblInd w:w="0" w:type="dxa"/>
        <w:tblLayout w:type="fixed"/>
        <w:tblCellMar>
          <w:top w:w="0" w:type="dxa"/>
          <w:left w:w="0" w:type="dxa"/>
          <w:bottom w:w="28" w:type="dxa"/>
          <w:right w:w="0" w:type="dxa"/>
        </w:tblCellMar>
      </w:tblPr>
      <w:tblGrid>
        <w:gridCol w:w="1576"/>
        <w:gridCol w:w="346"/>
        <w:gridCol w:w="1426"/>
        <w:gridCol w:w="346"/>
        <w:gridCol w:w="3706"/>
      </w:tblGrid>
      <w:tr>
        <w:trPr/>
        <w:tc>
          <w:tcPr>
            <w:tcW w:w="15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4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7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4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7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ninety (90) days. Yes  ⌧  No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Securities Exchange Act.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94"/>
        <w:gridCol w:w="1545"/>
        <w:gridCol w:w="1944"/>
        <w:gridCol w:w="2337"/>
        <w:gridCol w:w="2385"/>
      </w:tblGrid>
      <w:tr>
        <w:trPr/>
        <w:tc>
          <w:tcPr>
            <w:tcW w:w="19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1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1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p>
            <w:pPr>
              <w:pStyle w:val="TableContents"/>
              <w:bidi w:val="0"/>
              <w:spacing w:before="0" w:after="0"/>
              <w:ind w:left="0" w:right="0" w:hanging="0"/>
              <w:jc w:val="left"/>
              <w:rPr/>
            </w:pPr>
            <w:r>
              <w:rPr/>
              <w:t>​</w:t>
            </w:r>
          </w:p>
        </w:tc>
        <w:tc>
          <w:tcPr>
            <w:tcW w:w="2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c>
          <w:tcPr>
            <w:tcW w:w="2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Number of Shares of the only class of Common Stock outstanding: 17,002,511 as of August 5, 2026</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1" w:name="TOC"/>
      <w:bookmarkStart w:id="22" w:name="_aed6a6a4_471d_4b7c_8077_f085f6cac7a5"/>
      <w:bookmarkEnd w:id="21"/>
      <w:bookmarkEnd w:id="22"/>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bookmarkStart w:id="23" w:name="INDEX_78655"/>
      <w:bookmarkEnd w:id="23"/>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8"/>
        <w:gridCol w:w="1804"/>
        <w:gridCol w:w="3519"/>
        <w:gridCol w:w="3546"/>
        <w:gridCol w:w="858"/>
      </w:tblGrid>
      <w:tr>
        <w:trPr/>
        <w:tc>
          <w:tcPr>
            <w:tcW w:w="2282" w:type="dxa"/>
            <w:gridSpan w:val="2"/>
            <w:tcBorders/>
            <w:vAlign w:val="center"/>
          </w:tcPr>
          <w:p>
            <w:pPr>
              <w:pStyle w:val="TableContents"/>
              <w:bidi w:val="0"/>
              <w:spacing w:before="0" w:after="283"/>
              <w:ind w:left="0" w:right="0" w:hanging="0"/>
              <w:jc w:val="left"/>
              <w:rPr>
                <w:sz w:val="4"/>
                <w:szCs w:val="4"/>
              </w:rPr>
            </w:pPr>
            <w:r>
              <w:rPr>
                <w:sz w:val="4"/>
                <w:szCs w:val="4"/>
              </w:rPr>
            </w:r>
          </w:p>
        </w:tc>
        <w:tc>
          <w:tcPr>
            <w:tcW w:w="3519" w:type="dxa"/>
            <w:tcBorders/>
            <w:vAlign w:val="center"/>
          </w:tcPr>
          <w:p>
            <w:pPr>
              <w:pStyle w:val="TableContents"/>
              <w:bidi w:val="0"/>
              <w:spacing w:before="0" w:after="283"/>
              <w:ind w:left="0" w:right="0" w:hanging="0"/>
              <w:jc w:val="left"/>
              <w:rPr>
                <w:sz w:val="4"/>
                <w:szCs w:val="4"/>
              </w:rPr>
            </w:pPr>
            <w:r>
              <w:rPr>
                <w:sz w:val="4"/>
                <w:szCs w:val="4"/>
              </w:rPr>
            </w:r>
          </w:p>
        </w:tc>
        <w:tc>
          <w:tcPr>
            <w:tcW w:w="3546" w:type="dxa"/>
            <w:tcBorders/>
            <w:vAlign w:val="center"/>
          </w:tcPr>
          <w:p>
            <w:pPr>
              <w:pStyle w:val="TableContents"/>
              <w:bidi w:val="0"/>
              <w:spacing w:before="0" w:after="283"/>
              <w:ind w:left="0" w:right="0" w:hanging="0"/>
              <w:jc w:val="left"/>
              <w:rPr>
                <w:sz w:val="4"/>
                <w:szCs w:val="4"/>
              </w:rPr>
            </w:pPr>
            <w:r>
              <w:rPr>
                <w:sz w:val="4"/>
                <w:szCs w:val="4"/>
              </w:rPr>
            </w:r>
          </w:p>
        </w:tc>
        <w:tc>
          <w:tcPr>
            <w:tcW w:w="858" w:type="dxa"/>
            <w:tcBorders/>
            <w:vAlign w:val="center"/>
          </w:tcPr>
          <w:p>
            <w:pPr>
              <w:pStyle w:val="TableContents"/>
              <w:bidi w:val="0"/>
              <w:spacing w:before="0" w:after="283"/>
              <w:ind w:left="0" w:right="0" w:hanging="0"/>
              <w:jc w:val="left"/>
              <w:rPr>
                <w:sz w:val="4"/>
                <w:szCs w:val="4"/>
              </w:rPr>
            </w:pPr>
            <w:r>
              <w:rPr>
                <w:sz w:val="4"/>
                <w:szCs w:val="4"/>
              </w:rPr>
            </w:r>
          </w:p>
        </w:tc>
      </w:tr>
      <w:tr>
        <w:trPr/>
        <w:tc>
          <w:tcPr>
            <w:tcW w:w="9347" w:type="dxa"/>
            <w:gridSpan w:val="4"/>
            <w:tcBorders/>
            <w:vAlign w:val="center"/>
          </w:tcPr>
          <w:p>
            <w:pPr>
              <w:pStyle w:val="TableContents"/>
              <w:bidi w:val="0"/>
              <w:spacing w:before="0" w:after="0"/>
              <w:ind w:left="0" w:right="0" w:hanging="0"/>
              <w:jc w:val="left"/>
              <w:rPr/>
            </w:pPr>
            <w:hyperlink w:anchor="CONDENSEDCONSOLIDATEDBALANCESHEETS_52928">
              <w:r>
                <w:rPr>
                  <w:rStyle w:val="InternetLink"/>
                  <w:rFonts w:ascii="Times New Roman;Times;serif" w:hAnsi="Times New Roman;Times;serif"/>
                  <w:b w:val="false"/>
                  <w:i w:val="false"/>
                  <w:caps w:val="false"/>
                  <w:smallCaps w:val="false"/>
                  <w:sz w:val="20"/>
                </w:rPr>
                <w:t>PART I. FINANCIAL INFORMATION</w:t>
              </w:r>
            </w:hyperlink>
          </w:p>
        </w:tc>
        <w:tc>
          <w:tcPr>
            <w:tcW w:w="8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No.</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04" w:type="dxa"/>
            <w:tcBorders/>
            <w:shd w:fill="CCEEFF" w:val="clear"/>
            <w:vAlign w:val="center"/>
          </w:tcPr>
          <w:p>
            <w:pPr>
              <w:pStyle w:val="TableContents"/>
              <w:bidi w:val="0"/>
              <w:spacing w:before="0" w:after="0"/>
              <w:ind w:left="0" w:right="0" w:hanging="0"/>
              <w:jc w:val="left"/>
              <w:rPr/>
            </w:pPr>
            <w:hyperlink w:anchor="CONDENSEDCONSOLIDATEDBALANCESHEETS_52928">
              <w:r>
                <w:rPr>
                  <w:rStyle w:val="InternetLink"/>
                  <w:rFonts w:ascii="Times New Roman;Times;serif" w:hAnsi="Times New Roman;Times;serif"/>
                  <w:b w:val="false"/>
                  <w:i w:val="false"/>
                  <w:caps w:val="false"/>
                  <w:smallCaps w:val="false"/>
                  <w:sz w:val="20"/>
                </w:rPr>
                <w:t>Item 1.</w:t>
              </w:r>
            </w:hyperlink>
          </w:p>
        </w:tc>
        <w:tc>
          <w:tcPr>
            <w:tcW w:w="7065" w:type="dxa"/>
            <w:gridSpan w:val="2"/>
            <w:tcBorders/>
            <w:shd w:fill="CCEEFF" w:val="clear"/>
            <w:vAlign w:val="center"/>
          </w:tcPr>
          <w:p>
            <w:pPr>
              <w:pStyle w:val="TableContents"/>
              <w:bidi w:val="0"/>
              <w:spacing w:before="0" w:after="0"/>
              <w:ind w:left="0" w:right="0" w:hanging="0"/>
              <w:jc w:val="left"/>
              <w:rPr/>
            </w:pPr>
            <w:hyperlink w:anchor="CONDENSEDCONSOLIDATEDBALANCESHEETS_52928">
              <w:r>
                <w:rPr>
                  <w:rStyle w:val="InternetLink"/>
                  <w:rFonts w:ascii="Times New Roman;Times;serif" w:hAnsi="Times New Roman;Times;serif"/>
                  <w:b w:val="false"/>
                  <w:i w:val="false"/>
                  <w:caps w:val="false"/>
                  <w:smallCaps w:val="false"/>
                  <w:sz w:val="20"/>
                </w:rPr>
                <w:t>Financial Statements</w:t>
              </w:r>
            </w:hyperlink>
          </w:p>
        </w:tc>
        <w:tc>
          <w:tcPr>
            <w:tcW w:w="858" w:type="dxa"/>
            <w:tcBorders/>
            <w:shd w:fill="CCEEFF" w:val="clear"/>
            <w:vAlign w:val="center"/>
          </w:tcPr>
          <w:p>
            <w:pPr>
              <w:pStyle w:val="TableContents"/>
              <w:bidi w:val="0"/>
              <w:spacing w:before="0" w:after="0"/>
              <w:ind w:left="0" w:right="0" w:hanging="0"/>
              <w:jc w:val="center"/>
              <w:rPr/>
            </w:pPr>
            <w:r>
              <w:rPr/>
              <w:t> </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2282"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065" w:type="dxa"/>
            <w:gridSpan w:val="2"/>
            <w:tcBorders/>
            <w:shd w:fill="CCEEFF" w:val="clear"/>
            <w:vAlign w:val="center"/>
          </w:tcPr>
          <w:p>
            <w:pPr>
              <w:pStyle w:val="TableContents"/>
              <w:bidi w:val="0"/>
              <w:spacing w:before="0" w:after="0"/>
              <w:ind w:left="0" w:right="0" w:hanging="0"/>
              <w:jc w:val="left"/>
              <w:rPr/>
            </w:pPr>
            <w:hyperlink w:anchor="CONDENSEDCONSOLIDATEDBALANCESHEETS_22968">
              <w:r>
                <w:rPr>
                  <w:rStyle w:val="InternetLink"/>
                  <w:rFonts w:ascii="Times New Roman;Times;serif" w:hAnsi="Times New Roman;Times;serif"/>
                  <w:b w:val="false"/>
                  <w:i w:val="false"/>
                  <w:caps w:val="false"/>
                  <w:smallCaps w:val="false"/>
                  <w:sz w:val="20"/>
                </w:rPr>
                <w:t>Condensed Consolidated Balance Sheets – Unaudited</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 </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2282"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065" w:type="dxa"/>
            <w:gridSpan w:val="2"/>
            <w:tcBorders/>
            <w:shd w:fill="CCEEFF" w:val="clear"/>
            <w:vAlign w:val="center"/>
          </w:tcPr>
          <w:p>
            <w:pPr>
              <w:pStyle w:val="TableContents"/>
              <w:bidi w:val="0"/>
              <w:spacing w:before="0" w:after="0"/>
              <w:ind w:left="0" w:right="0" w:hanging="0"/>
              <w:jc w:val="left"/>
              <w:rPr/>
            </w:pPr>
            <w:hyperlink w:anchor="CONDENSEDCONSOLIDATEDSTATEMENTSOFINCOMEA">
              <w:r>
                <w:rPr>
                  <w:rStyle w:val="InternetLink"/>
                  <w:rFonts w:ascii="Times New Roman;Times;serif" w:hAnsi="Times New Roman;Times;serif"/>
                  <w:b w:val="false"/>
                  <w:i w:val="false"/>
                  <w:caps w:val="false"/>
                  <w:smallCaps w:val="false"/>
                  <w:sz w:val="20"/>
                </w:rPr>
                <w:t>Condensed Consolidated Statements of Income and Comprehensive Income – Unaudited</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2282"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065" w:type="dxa"/>
            <w:gridSpan w:val="2"/>
            <w:tcBorders/>
            <w:shd w:fill="CCEEFF" w:val="clear"/>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 Unaudited</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2282"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065" w:type="dxa"/>
            <w:gridSpan w:val="2"/>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Unaudited</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2282"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065" w:type="dxa"/>
            <w:gridSpan w:val="2"/>
            <w:tcBorders/>
            <w:shd w:fill="CCEEFF" w:val="clear"/>
            <w:vAlign w:val="center"/>
          </w:tcPr>
          <w:p>
            <w:pPr>
              <w:pStyle w:val="TableContents"/>
              <w:bidi w:val="0"/>
              <w:spacing w:before="0" w:after="0"/>
              <w:ind w:left="0" w:right="0" w:hanging="0"/>
              <w:jc w:val="left"/>
              <w:rPr/>
            </w:pPr>
            <w:hyperlink w:anchor="a1BASISOFPREPARATIONANDPRESENTATION_8119">
              <w:r>
                <w:rPr>
                  <w:rStyle w:val="InternetLink"/>
                  <w:rFonts w:ascii="Times New Roman;Times;serif" w:hAnsi="Times New Roman;Times;serif"/>
                  <w:b w:val="false"/>
                  <w:i w:val="false"/>
                  <w:caps w:val="false"/>
                  <w:smallCaps w:val="false"/>
                  <w:sz w:val="20"/>
                </w:rPr>
                <w:t>Notes to Condensed Consolidated Financial Statements – Unaudited</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04"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04" w:type="dxa"/>
            <w:tcBorders/>
            <w:shd w:fill="CCEEFF" w:val="clear"/>
            <w:vAlign w:val="center"/>
          </w:tcPr>
          <w:p>
            <w:pPr>
              <w:pStyle w:val="TableContents"/>
              <w:bidi w:val="0"/>
              <w:spacing w:before="0" w:after="0"/>
              <w:ind w:left="0" w:right="0" w:hanging="0"/>
              <w:jc w:val="left"/>
              <w:rPr/>
            </w:pPr>
            <w:hyperlink w:anchor="Item3QualitativeandQuantitativeDisclosur">
              <w:r>
                <w:rPr>
                  <w:rStyle w:val="InternetLink"/>
                  <w:rFonts w:ascii="Times New Roman;Times;serif" w:hAnsi="Times New Roman;Times;serif"/>
                  <w:b w:val="false"/>
                  <w:i w:val="false"/>
                  <w:caps w:val="false"/>
                  <w:smallCaps w:val="false"/>
                  <w:sz w:val="20"/>
                </w:rPr>
                <w:t>Item 3.</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3QualitativeandQuant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04" w:type="dxa"/>
            <w:tcBorders/>
            <w:shd w:fill="CCEEFF" w:val="clear"/>
            <w:vAlign w:val="center"/>
          </w:tcPr>
          <w:p>
            <w:pPr>
              <w:pStyle w:val="TableContents"/>
              <w:bidi w:val="0"/>
              <w:spacing w:before="0" w:after="0"/>
              <w:ind w:left="0" w:right="0" w:hanging="0"/>
              <w:jc w:val="left"/>
              <w:rPr/>
            </w:pPr>
            <w:hyperlink w:anchor="Item4ControlsandProcedures_332592">
              <w:r>
                <w:rPr>
                  <w:rStyle w:val="InternetLink"/>
                  <w:rFonts w:ascii="Times New Roman;Times;serif" w:hAnsi="Times New Roman;Times;serif"/>
                  <w:b w:val="false"/>
                  <w:i w:val="false"/>
                  <w:caps w:val="false"/>
                  <w:smallCaps w:val="false"/>
                  <w:sz w:val="20"/>
                </w:rPr>
                <w:t>Item 4.</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4ControlsandProcedures_332592">
              <w:r>
                <w:rPr>
                  <w:rStyle w:val="InternetLink"/>
                  <w:rFonts w:ascii="Times New Roman;Times;serif" w:hAnsi="Times New Roman;Times;serif"/>
                  <w:b w:val="false"/>
                  <w:i w:val="false"/>
                  <w:caps w:val="false"/>
                  <w:smallCaps w:val="false"/>
                  <w:sz w:val="20"/>
                </w:rPr>
                <w:t>Controls and Procedures</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347" w:type="dxa"/>
            <w:gridSpan w:val="4"/>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9347" w:type="dxa"/>
            <w:gridSpan w:val="4"/>
            <w:tcBorders/>
            <w:shd w:fill="CCEEFF" w:val="clear"/>
            <w:vAlign w:val="center"/>
          </w:tcPr>
          <w:p>
            <w:pPr>
              <w:pStyle w:val="TableContents"/>
              <w:bidi w:val="0"/>
              <w:spacing w:before="0" w:after="0"/>
              <w:ind w:left="0" w:right="0" w:hanging="0"/>
              <w:jc w:val="left"/>
              <w:rPr/>
            </w:pPr>
            <w:hyperlink w:anchor="PARTIIOTHERINFORMATION_948080">
              <w:r>
                <w:rPr>
                  <w:rStyle w:val="InternetLink"/>
                  <w:rFonts w:ascii="Times New Roman;Times;serif" w:hAnsi="Times New Roman;Times;serif"/>
                  <w:b w:val="false"/>
                  <w:i w:val="false"/>
                  <w:caps w:val="false"/>
                  <w:smallCaps w:val="false"/>
                  <w:sz w:val="20"/>
                </w:rPr>
                <w:t>PART II. OTHER INFORMATION</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04" w:type="dxa"/>
            <w:tcBorders/>
            <w:shd w:fill="CCEEFF" w:val="clear"/>
            <w:vAlign w:val="center"/>
          </w:tcPr>
          <w:p>
            <w:pPr>
              <w:pStyle w:val="TableContents"/>
              <w:bidi w:val="0"/>
              <w:spacing w:before="0" w:after="0"/>
              <w:ind w:left="0" w:right="0" w:hanging="0"/>
              <w:jc w:val="left"/>
              <w:rPr/>
            </w:pPr>
            <w:hyperlink w:anchor="Item1ARiskFactors_170417">
              <w:r>
                <w:rPr>
                  <w:rStyle w:val="InternetLink"/>
                  <w:rFonts w:ascii="Times New Roman;Times;serif" w:hAnsi="Times New Roman;Times;serif"/>
                  <w:b w:val="false"/>
                  <w:i w:val="false"/>
                  <w:caps w:val="false"/>
                  <w:smallCaps w:val="false"/>
                  <w:sz w:val="20"/>
                </w:rPr>
                <w:t>Item 1A.</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1ARiskFactors_170417">
              <w:r>
                <w:rPr>
                  <w:rStyle w:val="InternetLink"/>
                  <w:rFonts w:ascii="Times New Roman;Times;serif" w:hAnsi="Times New Roman;Times;serif"/>
                  <w:b w:val="false"/>
                  <w:i w:val="false"/>
                  <w:caps w:val="false"/>
                  <w:smallCaps w:val="false"/>
                  <w:sz w:val="20"/>
                </w:rPr>
                <w:t>Risk Factors</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478" w:type="dxa"/>
            <w:tcBorders/>
            <w:vAlign w:val="center"/>
          </w:tcPr>
          <w:p>
            <w:pPr>
              <w:pStyle w:val="TableContents"/>
              <w:bidi w:val="0"/>
              <w:spacing w:before="0" w:after="0"/>
              <w:ind w:left="0" w:right="0" w:hanging="0"/>
              <w:jc w:val="left"/>
              <w:rPr/>
            </w:pPr>
            <w:r>
              <w:rPr/>
              <w:t>​</w:t>
            </w:r>
          </w:p>
        </w:tc>
        <w:tc>
          <w:tcPr>
            <w:tcW w:w="1804" w:type="dxa"/>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0"/>
              <w:ind w:left="0" w:right="0" w:hanging="0"/>
              <w:jc w:val="left"/>
              <w:rPr/>
            </w:pPr>
            <w:r>
              <w:rPr/>
              <w:t>​</w:t>
            </w:r>
          </w:p>
        </w:tc>
        <w:tc>
          <w:tcPr>
            <w:tcW w:w="1804" w:type="dxa"/>
            <w:tcBorders/>
            <w:shd w:fill="CCEEFF" w:val="clear"/>
            <w:vAlign w:val="center"/>
          </w:tcPr>
          <w:p>
            <w:pPr>
              <w:pStyle w:val="TableContents"/>
              <w:bidi w:val="0"/>
              <w:spacing w:before="0" w:after="0"/>
              <w:ind w:left="0" w:right="0" w:hanging="0"/>
              <w:jc w:val="left"/>
              <w:rPr/>
            </w:pPr>
            <w:hyperlink w:anchor="Item2UnregisteredSharesofEquity">
              <w:r>
                <w:rPr>
                  <w:rStyle w:val="InternetLink"/>
                  <w:rFonts w:ascii="Times New Roman;Times;serif" w:hAnsi="Times New Roman;Times;serif"/>
                  <w:b w:val="false"/>
                  <w:i w:val="false"/>
                  <w:caps w:val="false"/>
                  <w:smallCaps w:val="false"/>
                  <w:sz w:val="20"/>
                </w:rPr>
                <w:t xml:space="preserve">Item 2. </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2UnregisteredSharesofEquity">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2282" w:type="dxa"/>
            <w:gridSpan w:val="2"/>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0"/>
              <w:ind w:left="0" w:right="0" w:hanging="0"/>
              <w:jc w:val="left"/>
              <w:rPr/>
            </w:pPr>
            <w:r>
              <w:rPr/>
              <w:t>​</w:t>
            </w:r>
          </w:p>
        </w:tc>
        <w:tc>
          <w:tcPr>
            <w:tcW w:w="1804" w:type="dxa"/>
            <w:tcBorders/>
            <w:shd w:fill="CCEEFF" w:val="clear"/>
            <w:vAlign w:val="center"/>
          </w:tcPr>
          <w:p>
            <w:pPr>
              <w:pStyle w:val="TableContents"/>
              <w:bidi w:val="0"/>
              <w:spacing w:before="0" w:after="0"/>
              <w:ind w:left="0" w:right="0" w:hanging="0"/>
              <w:jc w:val="left"/>
              <w:rPr/>
            </w:pPr>
            <w:hyperlink w:anchor="Item5_Other_Information">
              <w:r>
                <w:rPr>
                  <w:rStyle w:val="InternetLink"/>
                  <w:rFonts w:ascii="Times New Roman;Times;serif" w:hAnsi="Times New Roman;Times;serif"/>
                  <w:b w:val="false"/>
                  <w:i w:val="false"/>
                  <w:caps w:val="false"/>
                  <w:smallCaps w:val="false"/>
                  <w:sz w:val="20"/>
                </w:rPr>
                <w:t>Item 5.</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5_Other_Information">
              <w:r>
                <w:rPr>
                  <w:rStyle w:val="InternetLink"/>
                  <w:rFonts w:ascii="Times New Roman;Times;serif" w:hAnsi="Times New Roman;Times;serif"/>
                  <w:b w:val="false"/>
                  <w:i w:val="false"/>
                  <w:caps w:val="false"/>
                  <w:smallCaps w:val="false"/>
                  <w:sz w:val="20"/>
                </w:rPr>
                <w:t>Other Information</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478" w:type="dxa"/>
            <w:tcBorders/>
            <w:vAlign w:val="center"/>
          </w:tcPr>
          <w:p>
            <w:pPr>
              <w:pStyle w:val="TableContents"/>
              <w:bidi w:val="0"/>
              <w:spacing w:before="0" w:after="0"/>
              <w:ind w:left="0" w:right="0" w:hanging="0"/>
              <w:jc w:val="left"/>
              <w:rPr/>
            </w:pPr>
            <w:r>
              <w:rPr/>
              <w:t>​</w:t>
            </w:r>
          </w:p>
        </w:tc>
        <w:tc>
          <w:tcPr>
            <w:tcW w:w="1804" w:type="dxa"/>
            <w:tcBorders/>
            <w:vAlign w:val="center"/>
          </w:tcPr>
          <w:p>
            <w:pPr>
              <w:pStyle w:val="TableContents"/>
              <w:bidi w:val="0"/>
              <w:spacing w:before="0" w:after="0"/>
              <w:ind w:left="0" w:right="0" w:hanging="0"/>
              <w:jc w:val="left"/>
              <w:rPr/>
            </w:pPr>
            <w:r>
              <w:rPr/>
              <w:t>​</w:t>
            </w:r>
          </w:p>
        </w:tc>
        <w:tc>
          <w:tcPr>
            <w:tcW w:w="7065" w:type="dxa"/>
            <w:gridSpan w:val="2"/>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4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04" w:type="dxa"/>
            <w:tcBorders/>
            <w:shd w:fill="CCEEFF" w:val="clear"/>
            <w:vAlign w:val="center"/>
          </w:tcPr>
          <w:p>
            <w:pPr>
              <w:pStyle w:val="TableContents"/>
              <w:bidi w:val="0"/>
              <w:spacing w:before="0" w:after="0"/>
              <w:ind w:left="0" w:right="0" w:hanging="0"/>
              <w:jc w:val="left"/>
              <w:rPr/>
            </w:pPr>
            <w:hyperlink w:anchor="Item6Exhibits_71121">
              <w:r>
                <w:rPr>
                  <w:rStyle w:val="InternetLink"/>
                  <w:rFonts w:ascii="Times New Roman;Times;serif" w:hAnsi="Times New Roman;Times;serif"/>
                  <w:b w:val="false"/>
                  <w:i w:val="false"/>
                  <w:caps w:val="false"/>
                  <w:smallCaps w:val="false"/>
                  <w:sz w:val="20"/>
                </w:rPr>
                <w:t>Item 6.</w:t>
              </w:r>
            </w:hyperlink>
          </w:p>
        </w:tc>
        <w:tc>
          <w:tcPr>
            <w:tcW w:w="7065" w:type="dxa"/>
            <w:gridSpan w:val="2"/>
            <w:tcBorders/>
            <w:shd w:fill="CCEEFF" w:val="clear"/>
            <w:vAlign w:val="center"/>
          </w:tcPr>
          <w:p>
            <w:pPr>
              <w:pStyle w:val="TableContents"/>
              <w:bidi w:val="0"/>
              <w:spacing w:before="0" w:after="0"/>
              <w:ind w:left="0" w:right="0" w:hanging="0"/>
              <w:jc w:val="left"/>
              <w:rPr/>
            </w:pPr>
            <w:hyperlink w:anchor="Item6Exhibits_71121">
              <w:r>
                <w:rPr>
                  <w:rStyle w:val="InternetLink"/>
                  <w:rFonts w:ascii="Times New Roman;Times;serif" w:hAnsi="Times New Roman;Times;serif"/>
                  <w:b w:val="false"/>
                  <w:i w:val="false"/>
                  <w:caps w:val="false"/>
                  <w:smallCaps w:val="false"/>
                  <w:sz w:val="20"/>
                </w:rPr>
                <w:t>Exhibits</w:t>
              </w:r>
            </w:hyperlink>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4" w:name="_e994649b_ef39_4885_b9c2_52aa21fbbf62"/>
      <w:bookmarkEnd w:id="24"/>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bookmarkStart w:id="25" w:name="CONDENSEDCONSOLIDATEDBALANCESHEETS_52928"/>
      <w:bookmarkStart w:id="26" w:name="CONDENSEDCONSOLIDATEDBALANCESHEETS_22968"/>
      <w:bookmarkEnd w:id="25"/>
      <w:bookmarkEnd w:id="26"/>
      <w:r>
        <w:rPr>
          <w:rFonts w:ascii="Times New Roman;Times;serif" w:hAnsi="Times New Roman;Times;serif"/>
          <w:sz w:val="20"/>
        </w:rPr>
        <w:t>CONDENSED CONSOLIDATED BALANCE SHEETS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per share data)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CFD3bI1G6ESReRDJ714cuQ_33_5"/>
      <w:bookmarkStart w:id="28" w:name="Tc_OXTydXH2k0q0sQ-Mn6Phyg_33_2"/>
      <w:bookmarkStart w:id="29" w:name="Tc_GJvOIc-D3kyq6WDCnLmAJg_33_0"/>
      <w:bookmarkStart w:id="30" w:name="Tc_vSZombIWsE2z20YXcXsjvA_32_0"/>
      <w:bookmarkStart w:id="31" w:name="Tc_KHr7mPRD00aF1oya4WWQjA_31_0"/>
      <w:bookmarkStart w:id="32" w:name="Tc_hYEDA6vxrUmaUsROnWSnXg_30_0"/>
      <w:bookmarkStart w:id="33" w:name="Tc_aMCI934jikOGc5513yhSIQ_29_0"/>
      <w:bookmarkStart w:id="34" w:name="Tc_oHS7_-rwdkmqHqCFh2BJkA_28_0"/>
      <w:bookmarkStart w:id="35" w:name="Tc_sFJ4lwpTrkqVJl1fGGTqfg_27_0"/>
      <w:bookmarkStart w:id="36" w:name="Tc_9syArwKYxkODGcfNPSoSTA_26_0"/>
      <w:bookmarkStart w:id="37" w:name="Tc_tsbpKmotLkKBpZF8_F4MXQ_25_0"/>
      <w:bookmarkStart w:id="38" w:name="Tc_8yJqBZtk0UGhmDfwwe5d2Q_24_0"/>
      <w:bookmarkStart w:id="39" w:name="Tc_K6_h8wQcakWqilnJxhQaZw_23_0"/>
      <w:bookmarkStart w:id="40" w:name="Tc_KeSwmnuwUEKHTcXMmYGhew_22_0"/>
      <w:bookmarkStart w:id="41" w:name="Tc_AOptctNguk-Yt2v6Ti55hw_21_0"/>
      <w:bookmarkStart w:id="42" w:name="Tc_nKFeM-R7Lkq36vgRBbH6gA_20_0"/>
      <w:bookmarkStart w:id="43" w:name="Tc_jG_UC_irTkqOfKaaf3YI8w_19_5"/>
      <w:bookmarkStart w:id="44" w:name="Tc_oIrob1a3jkivW6jSdhtECw_19_2"/>
      <w:bookmarkStart w:id="45" w:name="Tc_YlNEJ_buYEO2LSdO9cS5Tg_19_0"/>
      <w:bookmarkStart w:id="46" w:name="Tc_IYQUf0GVAEaFlZ4urj7PLg_18_0"/>
      <w:bookmarkStart w:id="47" w:name="Tc_cyMCHx-qMkWVab_P5eUu_Q_17_0"/>
      <w:bookmarkStart w:id="48" w:name="Tc_DdPigyIyGU-AswnNvSttMg_16_5"/>
      <w:bookmarkStart w:id="49" w:name="Tc_k6pb5qc8y0eVKfsLlQ3QHQ_16_2"/>
      <w:bookmarkStart w:id="50" w:name="Tc_bRHjJhk1U0Km2tFDPECMpQ_16_0"/>
      <w:bookmarkStart w:id="51" w:name="Tc_hhsxgQkffky0j2jzLLJ8IQ_15_0"/>
      <w:bookmarkStart w:id="52" w:name="Tc_smS34lu8_EaBbsN39JHCzw_14_0"/>
      <w:bookmarkStart w:id="53" w:name="Tc_zkTK4j2FrUu0pTE9cK8rWA_13_0"/>
      <w:bookmarkStart w:id="54" w:name="Tc_PdpcpFq-LU6tcHN2-RPhUA_12_0"/>
      <w:bookmarkStart w:id="55" w:name="Tc_kjZndWskc0uQLwBuzX_cMA_11_0"/>
      <w:bookmarkStart w:id="56" w:name="Tc_68QEgo_BQUynqrEVG0jQpg_10_0"/>
      <w:bookmarkStart w:id="57" w:name="Tc_exUFQB3wV02zWfgro3NfFw_9_0"/>
      <w:bookmarkStart w:id="58" w:name="Tc_U09l2jLmKkqDe74yo1R_CA_8_0"/>
      <w:bookmarkStart w:id="59" w:name="Tc__2Y_rzKj3EONw2Tw6UhdEw_7_0"/>
      <w:bookmarkStart w:id="60" w:name="Tc_eRAvpEBIRkqT85gsKU3tNg_6_0"/>
      <w:bookmarkStart w:id="61" w:name="Tc_GvvoUP9NLUabD_wgf1-K3w_5_5"/>
      <w:bookmarkStart w:id="62" w:name="Tc_BWsPtCcYgESCCG1Y2JA0SQ_5_2"/>
      <w:bookmarkStart w:id="63" w:name="Tc_JDHozPxpFkeIt_PhfNmm1g_5_0"/>
      <w:bookmarkStart w:id="64" w:name="Tc_6Wi-bpWHcEm4bDWkx7MkFw_4_0"/>
      <w:bookmarkStart w:id="65" w:name="Tc_7qnNRx4_dkWgo4w_ifNSkQ_3_0"/>
      <w:bookmarkStart w:id="66" w:name="Tc__EOmcqBoT0KgAwKXVNMlXg_2_5"/>
      <w:bookmarkStart w:id="67" w:name="Tc_EvLkN8gMW0ug1gSgEaiwxQ_2_2"/>
      <w:bookmarkStart w:id="68" w:name="Tc_YzoXkM-ufECCxlY7Zn1sWA_1_5"/>
      <w:bookmarkStart w:id="69" w:name="Tc_Y-6hgFtlMU6XuCvP6Yysgg_1_2"/>
      <w:bookmarkStart w:id="70" w:name="_90a25a84_04fb_43cc_ab53_68d919f63b61"/>
      <w:bookmarkStart w:id="71" w:name="Tc_CFD3bI1G6ESReRDJ714cuQ_33_5"/>
      <w:bookmarkStart w:id="72" w:name="Tc_OXTydXH2k0q0sQ-Mn6Phyg_33_2"/>
      <w:bookmarkStart w:id="73" w:name="Tc_GJvOIc-D3kyq6WDCnLmAJg_33_0"/>
      <w:bookmarkStart w:id="74" w:name="Tc_vSZombIWsE2z20YXcXsjvA_32_0"/>
      <w:bookmarkStart w:id="75" w:name="Tc_KHr7mPRD00aF1oya4WWQjA_31_0"/>
      <w:bookmarkStart w:id="76" w:name="Tc_hYEDA6vxrUmaUsROnWSnXg_30_0"/>
      <w:bookmarkStart w:id="77" w:name="Tc_aMCI934jikOGc5513yhSIQ_29_0"/>
      <w:bookmarkStart w:id="78" w:name="Tc_oHS7_-rwdkmqHqCFh2BJkA_28_0"/>
      <w:bookmarkStart w:id="79" w:name="Tc_sFJ4lwpTrkqVJl1fGGTqfg_27_0"/>
      <w:bookmarkStart w:id="80" w:name="Tc_9syArwKYxkODGcfNPSoSTA_26_0"/>
      <w:bookmarkStart w:id="81" w:name="Tc_tsbpKmotLkKBpZF8_F4MXQ_25_0"/>
      <w:bookmarkStart w:id="82" w:name="Tc_8yJqBZtk0UGhmDfwwe5d2Q_24_0"/>
      <w:bookmarkStart w:id="83" w:name="Tc_K6_h8wQcakWqilnJxhQaZw_23_0"/>
      <w:bookmarkStart w:id="84" w:name="Tc_KeSwmnuwUEKHTcXMmYGhew_22_0"/>
      <w:bookmarkStart w:id="85" w:name="Tc_AOptctNguk-Yt2v6Ti55hw_21_0"/>
      <w:bookmarkStart w:id="86" w:name="Tc_nKFeM-R7Lkq36vgRBbH6gA_20_0"/>
      <w:bookmarkStart w:id="87" w:name="Tc_jG_UC_irTkqOfKaaf3YI8w_19_5"/>
      <w:bookmarkStart w:id="88" w:name="Tc_oIrob1a3jkivW6jSdhtECw_19_2"/>
      <w:bookmarkStart w:id="89" w:name="Tc_YlNEJ_buYEO2LSdO9cS5Tg_19_0"/>
      <w:bookmarkStart w:id="90" w:name="Tc_IYQUf0GVAEaFlZ4urj7PLg_18_0"/>
      <w:bookmarkStart w:id="91" w:name="Tc_cyMCHx-qMkWVab_P5eUu_Q_17_0"/>
      <w:bookmarkStart w:id="92" w:name="Tc_DdPigyIyGU-AswnNvSttMg_16_5"/>
      <w:bookmarkStart w:id="93" w:name="Tc_k6pb5qc8y0eVKfsLlQ3QHQ_16_2"/>
      <w:bookmarkStart w:id="94" w:name="Tc_bRHjJhk1U0Km2tFDPECMpQ_16_0"/>
      <w:bookmarkStart w:id="95" w:name="Tc_hhsxgQkffky0j2jzLLJ8IQ_15_0"/>
      <w:bookmarkStart w:id="96" w:name="Tc_smS34lu8_EaBbsN39JHCzw_14_0"/>
      <w:bookmarkStart w:id="97" w:name="Tc_zkTK4j2FrUu0pTE9cK8rWA_13_0"/>
      <w:bookmarkStart w:id="98" w:name="Tc_PdpcpFq-LU6tcHN2-RPhUA_12_0"/>
      <w:bookmarkStart w:id="99" w:name="Tc_kjZndWskc0uQLwBuzX_cMA_11_0"/>
      <w:bookmarkStart w:id="100" w:name="Tc_68QEgo_BQUynqrEVG0jQpg_10_0"/>
      <w:bookmarkStart w:id="101" w:name="Tc_exUFQB3wV02zWfgro3NfFw_9_0"/>
      <w:bookmarkStart w:id="102" w:name="Tc_U09l2jLmKkqDe74yo1R_CA_8_0"/>
      <w:bookmarkStart w:id="103" w:name="Tc__2Y_rzKj3EONw2Tw6UhdEw_7_0"/>
      <w:bookmarkStart w:id="104" w:name="Tc_eRAvpEBIRkqT85gsKU3tNg_6_0"/>
      <w:bookmarkStart w:id="105" w:name="Tc_GvvoUP9NLUabD_wgf1-K3w_5_5"/>
      <w:bookmarkStart w:id="106" w:name="Tc_BWsPtCcYgESCCG1Y2JA0SQ_5_2"/>
      <w:bookmarkStart w:id="107" w:name="Tc_JDHozPxpFkeIt_PhfNmm1g_5_0"/>
      <w:bookmarkStart w:id="108" w:name="Tc_6Wi-bpWHcEm4bDWkx7MkFw_4_0"/>
      <w:bookmarkStart w:id="109" w:name="Tc_7qnNRx4_dkWgo4w_ifNSkQ_3_0"/>
      <w:bookmarkStart w:id="110" w:name="Tc__EOmcqBoT0KgAwKXVNMlXg_2_5"/>
      <w:bookmarkStart w:id="111" w:name="Tc_EvLkN8gMW0ug1gSgEaiwxQ_2_2"/>
      <w:bookmarkStart w:id="112" w:name="Tc_YzoXkM-ufECCxlY7Zn1sWA_1_5"/>
      <w:bookmarkStart w:id="113" w:name="Tc_Y-6hgFtlMU6XuCvP6Yysgg_1_2"/>
      <w:bookmarkStart w:id="114" w:name="_90a25a84_04fb_43cc_ab53_68d919f63b61"/>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W w:w="10205" w:type="dxa"/>
        <w:jc w:val="left"/>
        <w:tblInd w:w="0" w:type="dxa"/>
        <w:tblLayout w:type="fixed"/>
        <w:tblCellMar>
          <w:top w:w="0" w:type="dxa"/>
          <w:left w:w="0" w:type="dxa"/>
          <w:bottom w:w="0" w:type="dxa"/>
          <w:right w:w="0" w:type="dxa"/>
        </w:tblCellMar>
      </w:tblPr>
      <w:tblGrid>
        <w:gridCol w:w="7030"/>
        <w:gridCol w:w="346"/>
        <w:gridCol w:w="211"/>
        <w:gridCol w:w="787"/>
        <w:gridCol w:w="346"/>
        <w:gridCol w:w="231"/>
        <w:gridCol w:w="860"/>
        <w:gridCol w:w="394"/>
      </w:tblGrid>
      <w:tr>
        <w:trPr/>
        <w:tc>
          <w:tcPr>
            <w:tcW w:w="7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64050" cy="175260"/>
                      <wp:effectExtent l="0" t="0" r="0" b="0"/>
                      <wp:wrapNone/>
                      <wp:docPr id="1" name="Frame1"/>
                      <a:graphic xmlns:a="http://schemas.openxmlformats.org/drawingml/2006/main">
                        <a:graphicData uri="http://schemas.microsoft.com/office/word/2010/wordprocessingShape">
                          <wps:wsp>
                            <wps:cNvSpPr txBox="1"/>
                            <wps:spPr>
                              <a:xfrm>
                                <a:off x="0" y="0"/>
                                <a:ext cx="446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9745" cy="175260"/>
                      <wp:effectExtent l="0" t="0" r="0" b="0"/>
                      <wp:wrapNone/>
                      <wp:docPr id="4" name="Frame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685" cy="175260"/>
                      <wp:effectExtent l="0" t="0" r="0" b="0"/>
                      <wp:wrapNone/>
                      <wp:docPr id="6" name="Frame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6100" cy="175260"/>
                      <wp:effectExtent l="0" t="0" r="0" b="0"/>
                      <wp:wrapNone/>
                      <wp:docPr id="7" name="Frame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50190" cy="175260"/>
                      <wp:effectExtent l="0" t="0" r="0" b="0"/>
                      <wp:wrapNone/>
                      <wp:docPr id="8" name="Frame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4" w:type="dxa"/>
            <w:tcBorders/>
            <w:vAlign w:val="center"/>
          </w:tcPr>
          <w:p>
            <w:pPr>
              <w:pStyle w:val="TableContents"/>
              <w:bidi w:val="0"/>
              <w:spacing w:before="0" w:after="0"/>
              <w:ind w:left="0" w:right="0" w:hanging="0"/>
              <w:jc w:val="left"/>
              <w:rPr/>
            </w:pPr>
            <w:r>
              <w:rPr/>
              <w:t>  ​ ​ ​</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40,705</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net of provision for credit losses of $953 and $887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99,825</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88,775</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117,908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109,198</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14,629</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14,759</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274,450</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253,437</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62,347</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61,771</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9,940</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10,509</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81,475</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88,391</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133,169</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134,332</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23,598</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21,030</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8,125</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593,921</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577,595</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28,433</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37,608</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40,890</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80,182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69,323</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173,337</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180,389</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18,316</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16,431</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6,807</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281,627</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276,140</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authorized 50,000 shares; 16,992 and 16,936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114,547</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113,936</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$1.00 per share, authorized 5,000 shares; no shares issued or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211,620</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197,046</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7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312,294</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301,455</w:t>
            </w:r>
          </w:p>
        </w:tc>
        <w:tc>
          <w:tcPr>
            <w:tcW w:w="394" w:type="dxa"/>
            <w:tcBorders/>
            <w:vAlign w:val="center"/>
          </w:tcPr>
          <w:p>
            <w:pPr>
              <w:pStyle w:val="TableContents"/>
              <w:bidi w:val="0"/>
              <w:spacing w:before="0" w:after="0"/>
              <w:ind w:left="0" w:right="0" w:hanging="0"/>
              <w:jc w:val="left"/>
              <w:rPr/>
            </w:pPr>
            <w:r>
              <w:rPr/>
              <w:t>​</w:t>
            </w:r>
          </w:p>
        </w:tc>
      </w:tr>
      <w:tr>
        <w:trPr/>
        <w:tc>
          <w:tcPr>
            <w:tcW w:w="7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593,921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577,595</w:t>
            </w:r>
          </w:p>
        </w:tc>
        <w:tc>
          <w:tcPr>
            <w:tcW w:w="39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8"/>
        </w:rPr>
      </w:pPr>
      <w:bookmarkStart w:id="115" w:name="_16338ee1_200a_4f7e_9d49_fdffc66fc83d"/>
      <w:bookmarkEnd w:id="115"/>
      <w:r>
        <w:rPr>
          <w:rFonts w:ascii="Times New Roman;Times;serif" w:hAnsi="Times New Roman;Times;serif"/>
          <w:sz w:val="18"/>
        </w:rPr>
        <w:t>ALLIENT INC.</w:t>
      </w:r>
    </w:p>
    <w:p>
      <w:pPr>
        <w:pStyle w:val="TextBody"/>
        <w:bidi w:val="0"/>
        <w:spacing w:before="0" w:after="0"/>
        <w:ind w:left="0" w:right="0" w:hanging="0"/>
        <w:jc w:val="center"/>
        <w:rPr>
          <w:rFonts w:ascii="Times New Roman;Times;serif" w:hAnsi="Times New Roman;Times;serif"/>
          <w:sz w:val="20"/>
        </w:rPr>
      </w:pPr>
      <w:bookmarkStart w:id="116" w:name="CONDENSEDCONSOLIDATEDSTATEMENTSOFINCOMEA"/>
      <w:bookmarkEnd w:id="116"/>
      <w:r>
        <w:rPr>
          <w:rFonts w:ascii="Times New Roman;Times;serif" w:hAnsi="Times New Roman;Times;serif"/>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7" w:name="Tc_kjhhz5adEEmKY6JSMjVwpw_33_11"/>
      <w:bookmarkStart w:id="118" w:name="Tc_ir_-6ei47kyh0M1SCEL-Dg_33_8"/>
      <w:bookmarkStart w:id="119" w:name="Tc_pvP-30d_HEWI1JXfp889ow_33_5"/>
      <w:bookmarkStart w:id="120" w:name="Tc_mB6onDiGXkuROf76OWwSHQ_33_2"/>
      <w:bookmarkStart w:id="121" w:name="Tc_KqKSOaPuQkOlBQldiGp0vg_33_0"/>
      <w:bookmarkStart w:id="122" w:name="Tc_AGJs7a60NEaU6yJpoOUKhg_32_0"/>
      <w:bookmarkStart w:id="123" w:name="Tc_m2LwgjFqzEGpcfV8cNWjdg_31_0"/>
      <w:bookmarkStart w:id="124" w:name="Tc_3mttMdUGC0eyY2QEu-kRMw_30_0"/>
      <w:bookmarkStart w:id="125" w:name="Tc_0Q8v8MM3xUSWE2C_Ya_E5w_29_11"/>
      <w:bookmarkStart w:id="126" w:name="Tc_bzfrGyhPH0aXx2bNiyF3GA_29_8"/>
      <w:bookmarkStart w:id="127" w:name="Tc_S7_b2rbKHUaDI2KgTJcQpQ_29_5"/>
      <w:bookmarkStart w:id="128" w:name="Tc_cXsokas8lkyeUOiGU9b9lw_29_2"/>
      <w:bookmarkStart w:id="129" w:name="Tc_Y68ED1IWnU-dMG8g5sh_Vw_29_0"/>
      <w:bookmarkStart w:id="130" w:name="Tc_lEarYUBK0EWMkyMcNKaYKg_28_0"/>
      <w:bookmarkStart w:id="131" w:name="Tc_GOExgm3d1E6eOpZcKVL4OQ_27_11"/>
      <w:bookmarkStart w:id="132" w:name="Tc_5bglugqlLkiLWiU4kasViA_27_8"/>
      <w:bookmarkStart w:id="133" w:name="Tc_27MKeeMWlk-5oUSl_JcLwQ_27_5"/>
      <w:bookmarkStart w:id="134" w:name="Tc_i5dWuGQbW0i7H0BvwgCKUg_27_2"/>
      <w:bookmarkStart w:id="135" w:name="Tc_UqHXVJBKVUaDtipdTeS3rQ_27_0"/>
      <w:bookmarkStart w:id="136" w:name="Tc_7RbGlr-VZ0-XkFN4OUzjCg_26_0"/>
      <w:bookmarkStart w:id="137" w:name="Tc_xBPqEGqRwUaZQ2frMUKvDA_25_0"/>
      <w:bookmarkStart w:id="138" w:name="Tc_-KhhLVrim0il-Nc2KLtidg_24_11"/>
      <w:bookmarkStart w:id="139" w:name="Tc_pEMZHsgu4kmbnPMrh4ONsA_24_8"/>
      <w:bookmarkStart w:id="140" w:name="Tc_Q_uGAfv3d02Ef1-pSx7wnA_24_5"/>
      <w:bookmarkStart w:id="141" w:name="Tc_lxNuEOFYxUWCfUOMILfgUA_24_2"/>
      <w:bookmarkStart w:id="142" w:name="Tc_2cx47-ORdkSSJ__5gxUjRQ_24_0"/>
      <w:bookmarkStart w:id="143" w:name="Tc_tSJAyhPtR0CtWV6fBBaJBA_23_0"/>
      <w:bookmarkStart w:id="144" w:name="Tc_1hKb9Dpgl0m4PcqgvjJsiQ_22_11"/>
      <w:bookmarkStart w:id="145" w:name="Tc_hd1he8fpMkyUqqWln3B64g_22_8"/>
      <w:bookmarkStart w:id="146" w:name="Tc_S543KZ0Nb0Kqkn20I5knoQ_22_5"/>
      <w:bookmarkStart w:id="147" w:name="Tc_yofq1gg_B0OlapnC43H_JA_22_2"/>
      <w:bookmarkStart w:id="148" w:name="Tc_jrH5uFZJPEKHd9fNGqkGzA_22_0"/>
      <w:bookmarkStart w:id="149" w:name="Tc_OvuGuNmockCUrdlVz7apSA_21_0"/>
      <w:bookmarkStart w:id="150" w:name="Tc_1nhFi6QBM0mcje89p21Kgg_20_0"/>
      <w:bookmarkStart w:id="151" w:name="Tc_bJkTn-TRLkKBqyoVNFpfoA_19_0"/>
      <w:bookmarkStart w:id="152" w:name="Tc_z6LC522BfUipgZLzpa4DFQ_18_0"/>
      <w:bookmarkStart w:id="153" w:name="Tc_e0cLZvyKFkucBI0TGqJnEQ_17_0"/>
      <w:bookmarkStart w:id="154" w:name="Tc_kbn7c79mkkyR1hNJDk76Eg_16_0"/>
      <w:bookmarkStart w:id="155" w:name="Tc_1_JLYJTIq06MG7gjmTnjXw_15_0"/>
      <w:bookmarkStart w:id="156" w:name="Tc_oWn_ucZxTkmqj8Vn4tZjMA_14_0"/>
      <w:bookmarkStart w:id="157" w:name="Tc_REUb_6OyFkCebIQdZ2Rjww_13_0"/>
      <w:bookmarkStart w:id="158" w:name="Tc_DdrVPQG9N0avPoXXKZ7wcw_12_0"/>
      <w:bookmarkStart w:id="159" w:name="Tc_Plg5To9OHEGHXXManskr8Q_11_9"/>
      <w:bookmarkStart w:id="160" w:name="Tc_srctiD2dD0GOn1v6CslKFg_11_3"/>
      <w:bookmarkStart w:id="161" w:name="Tc_517gq8j4qUKRMVQoxL6y3w_11_0"/>
      <w:bookmarkStart w:id="162" w:name="Tc_5BCfEXiKr0Wb3if1PxxfGw_10_0"/>
      <w:bookmarkStart w:id="163" w:name="Tc_zjPJ8w0W9kOyw43INx5Y1g_9_0"/>
      <w:bookmarkStart w:id="164" w:name="Tc_qu2yF31dxU6EzPeCzq7VRQ_8_0"/>
      <w:bookmarkStart w:id="165" w:name="Tc_dHIfd41iFUanuRvFcv5-XA_7_0"/>
      <w:bookmarkStart w:id="166" w:name="Tc_Cl9v4p4nikyT5mDJapLvyg_6_0"/>
      <w:bookmarkStart w:id="167" w:name="Tc_gwicWODJJUSRDbpSi5lVYA_5_0"/>
      <w:bookmarkStart w:id="168" w:name="Tc_CNQGiLvPa0-okNkaOvGM0Q_4_11"/>
      <w:bookmarkStart w:id="169" w:name="Tc_8CUMM_2xfkGOv9BILBop_Q_4_8"/>
      <w:bookmarkStart w:id="170" w:name="Tc_KK_bYvba1UCCwDMVeaiP9Q_4_5"/>
      <w:bookmarkStart w:id="171" w:name="Tc_WEmymYQOwEOA6Y__sRSE2A_4_2"/>
      <w:bookmarkStart w:id="172" w:name="Tc_u6WRydypYU-aZcgwC_osbg_4_0"/>
      <w:bookmarkStart w:id="173" w:name="Tc_B3F-uJY6ikmU3brIj4EHsA_3_11"/>
      <w:bookmarkStart w:id="174" w:name="Tc_Kdln_FJD20C0iE8_unsAKg_3_8"/>
      <w:bookmarkStart w:id="175" w:name="Tc_sPbLe3ZhOke13zC8ZAYtVQ_3_5"/>
      <w:bookmarkStart w:id="176" w:name="Tc_v27snMyVu0KguwlTX8Zv3g_3_2"/>
      <w:bookmarkStart w:id="177" w:name="Tc_z2u4om6dUUGO31g3QVReLw_2_8"/>
      <w:bookmarkStart w:id="178" w:name="Tc_6IWhPeCoek6HTWGzIY9n7Q_2_2"/>
      <w:bookmarkStart w:id="179" w:name="Tc_WxBvx7b2nkWQM1n71CDu1g_1_8"/>
      <w:bookmarkStart w:id="180" w:name="Tc_SMTe7qexrkaWMtX_fmJZvg_1_2"/>
      <w:bookmarkStart w:id="181" w:name="_dfcdd30c_5c08_4716_b53c_3cb0228c39ec"/>
      <w:bookmarkStart w:id="182" w:name="Tc_kjhhz5adEEmKY6JSMjVwpw_33_11"/>
      <w:bookmarkStart w:id="183" w:name="Tc_ir_-6ei47kyh0M1SCEL-Dg_33_8"/>
      <w:bookmarkStart w:id="184" w:name="Tc_pvP-30d_HEWI1JXfp889ow_33_5"/>
      <w:bookmarkStart w:id="185" w:name="Tc_mB6onDiGXkuROf76OWwSHQ_33_2"/>
      <w:bookmarkStart w:id="186" w:name="Tc_KqKSOaPuQkOlBQldiGp0vg_33_0"/>
      <w:bookmarkStart w:id="187" w:name="Tc_AGJs7a60NEaU6yJpoOUKhg_32_0"/>
      <w:bookmarkStart w:id="188" w:name="Tc_m2LwgjFqzEGpcfV8cNWjdg_31_0"/>
      <w:bookmarkStart w:id="189" w:name="Tc_3mttMdUGC0eyY2QEu-kRMw_30_0"/>
      <w:bookmarkStart w:id="190" w:name="Tc_0Q8v8MM3xUSWE2C_Ya_E5w_29_11"/>
      <w:bookmarkStart w:id="191" w:name="Tc_bzfrGyhPH0aXx2bNiyF3GA_29_8"/>
      <w:bookmarkStart w:id="192" w:name="Tc_S7_b2rbKHUaDI2KgTJcQpQ_29_5"/>
      <w:bookmarkStart w:id="193" w:name="Tc_cXsokas8lkyeUOiGU9b9lw_29_2"/>
      <w:bookmarkStart w:id="194" w:name="Tc_Y68ED1IWnU-dMG8g5sh_Vw_29_0"/>
      <w:bookmarkStart w:id="195" w:name="Tc_lEarYUBK0EWMkyMcNKaYKg_28_0"/>
      <w:bookmarkStart w:id="196" w:name="Tc_GOExgm3d1E6eOpZcKVL4OQ_27_11"/>
      <w:bookmarkStart w:id="197" w:name="Tc_5bglugqlLkiLWiU4kasViA_27_8"/>
      <w:bookmarkStart w:id="198" w:name="Tc_27MKeeMWlk-5oUSl_JcLwQ_27_5"/>
      <w:bookmarkStart w:id="199" w:name="Tc_i5dWuGQbW0i7H0BvwgCKUg_27_2"/>
      <w:bookmarkStart w:id="200" w:name="Tc_UqHXVJBKVUaDtipdTeS3rQ_27_0"/>
      <w:bookmarkStart w:id="201" w:name="Tc_7RbGlr-VZ0-XkFN4OUzjCg_26_0"/>
      <w:bookmarkStart w:id="202" w:name="Tc_xBPqEGqRwUaZQ2frMUKvDA_25_0"/>
      <w:bookmarkStart w:id="203" w:name="Tc_-KhhLVrim0il-Nc2KLtidg_24_11"/>
      <w:bookmarkStart w:id="204" w:name="Tc_pEMZHsgu4kmbnPMrh4ONsA_24_8"/>
      <w:bookmarkStart w:id="205" w:name="Tc_Q_uGAfv3d02Ef1-pSx7wnA_24_5"/>
      <w:bookmarkStart w:id="206" w:name="Tc_lxNuEOFYxUWCfUOMILfgUA_24_2"/>
      <w:bookmarkStart w:id="207" w:name="Tc_2cx47-ORdkSSJ__5gxUjRQ_24_0"/>
      <w:bookmarkStart w:id="208" w:name="Tc_tSJAyhPtR0CtWV6fBBaJBA_23_0"/>
      <w:bookmarkStart w:id="209" w:name="Tc_1hKb9Dpgl0m4PcqgvjJsiQ_22_11"/>
      <w:bookmarkStart w:id="210" w:name="Tc_hd1he8fpMkyUqqWln3B64g_22_8"/>
      <w:bookmarkStart w:id="211" w:name="Tc_S543KZ0Nb0Kqkn20I5knoQ_22_5"/>
      <w:bookmarkStart w:id="212" w:name="Tc_yofq1gg_B0OlapnC43H_JA_22_2"/>
      <w:bookmarkStart w:id="213" w:name="Tc_jrH5uFZJPEKHd9fNGqkGzA_22_0"/>
      <w:bookmarkStart w:id="214" w:name="Tc_OvuGuNmockCUrdlVz7apSA_21_0"/>
      <w:bookmarkStart w:id="215" w:name="Tc_1nhFi6QBM0mcje89p21Kgg_20_0"/>
      <w:bookmarkStart w:id="216" w:name="Tc_bJkTn-TRLkKBqyoVNFpfoA_19_0"/>
      <w:bookmarkStart w:id="217" w:name="Tc_z6LC522BfUipgZLzpa4DFQ_18_0"/>
      <w:bookmarkStart w:id="218" w:name="Tc_e0cLZvyKFkucBI0TGqJnEQ_17_0"/>
      <w:bookmarkStart w:id="219" w:name="Tc_kbn7c79mkkyR1hNJDk76Eg_16_0"/>
      <w:bookmarkStart w:id="220" w:name="Tc_1_JLYJTIq06MG7gjmTnjXw_15_0"/>
      <w:bookmarkStart w:id="221" w:name="Tc_oWn_ucZxTkmqj8Vn4tZjMA_14_0"/>
      <w:bookmarkStart w:id="222" w:name="Tc_REUb_6OyFkCebIQdZ2Rjww_13_0"/>
      <w:bookmarkStart w:id="223" w:name="Tc_DdrVPQG9N0avPoXXKZ7wcw_12_0"/>
      <w:bookmarkStart w:id="224" w:name="Tc_Plg5To9OHEGHXXManskr8Q_11_9"/>
      <w:bookmarkStart w:id="225" w:name="Tc_srctiD2dD0GOn1v6CslKFg_11_3"/>
      <w:bookmarkStart w:id="226" w:name="Tc_517gq8j4qUKRMVQoxL6y3w_11_0"/>
      <w:bookmarkStart w:id="227" w:name="Tc_5BCfEXiKr0Wb3if1PxxfGw_10_0"/>
      <w:bookmarkStart w:id="228" w:name="Tc_zjPJ8w0W9kOyw43INx5Y1g_9_0"/>
      <w:bookmarkStart w:id="229" w:name="Tc_qu2yF31dxU6EzPeCzq7VRQ_8_0"/>
      <w:bookmarkStart w:id="230" w:name="Tc_dHIfd41iFUanuRvFcv5-XA_7_0"/>
      <w:bookmarkStart w:id="231" w:name="Tc_Cl9v4p4nikyT5mDJapLvyg_6_0"/>
      <w:bookmarkStart w:id="232" w:name="Tc_gwicWODJJUSRDbpSi5lVYA_5_0"/>
      <w:bookmarkStart w:id="233" w:name="Tc_CNQGiLvPa0-okNkaOvGM0Q_4_11"/>
      <w:bookmarkStart w:id="234" w:name="Tc_8CUMM_2xfkGOv9BILBop_Q_4_8"/>
      <w:bookmarkStart w:id="235" w:name="Tc_KK_bYvba1UCCwDMVeaiP9Q_4_5"/>
      <w:bookmarkStart w:id="236" w:name="Tc_WEmymYQOwEOA6Y__sRSE2A_4_2"/>
      <w:bookmarkStart w:id="237" w:name="Tc_u6WRydypYU-aZcgwC_osbg_4_0"/>
      <w:bookmarkStart w:id="238" w:name="Tc_B3F-uJY6ikmU3brIj4EHsA_3_11"/>
      <w:bookmarkStart w:id="239" w:name="Tc_Kdln_FJD20C0iE8_unsAKg_3_8"/>
      <w:bookmarkStart w:id="240" w:name="Tc_sPbLe3ZhOke13zC8ZAYtVQ_3_5"/>
      <w:bookmarkStart w:id="241" w:name="Tc_v27snMyVu0KguwlTX8Zv3g_3_2"/>
      <w:bookmarkStart w:id="242" w:name="Tc_z2u4om6dUUGO31g3QVReLw_2_8"/>
      <w:bookmarkStart w:id="243" w:name="Tc_6IWhPeCoek6HTWGzIY9n7Q_2_2"/>
      <w:bookmarkStart w:id="244" w:name="Tc_WxBvx7b2nkWQM1n71CDu1g_1_8"/>
      <w:bookmarkStart w:id="245" w:name="Tc_SMTe7qexrkaWMtX_fmJZvg_1_2"/>
      <w:bookmarkStart w:id="246" w:name="_dfcdd30c_5c08_4716_b53c_3cb0228c39ec"/>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10199" w:type="dxa"/>
        <w:jc w:val="left"/>
        <w:tblInd w:w="0" w:type="dxa"/>
        <w:tblLayout w:type="fixed"/>
        <w:tblCellMar>
          <w:top w:w="0" w:type="dxa"/>
          <w:left w:w="0" w:type="dxa"/>
          <w:bottom w:w="0" w:type="dxa"/>
          <w:right w:w="0" w:type="dxa"/>
        </w:tblCellMar>
      </w:tblPr>
      <w:tblGrid>
        <w:gridCol w:w="4456"/>
        <w:gridCol w:w="346"/>
        <w:gridCol w:w="211"/>
        <w:gridCol w:w="781"/>
        <w:gridCol w:w="346"/>
        <w:gridCol w:w="211"/>
        <w:gridCol w:w="781"/>
        <w:gridCol w:w="346"/>
        <w:gridCol w:w="211"/>
        <w:gridCol w:w="781"/>
        <w:gridCol w:w="346"/>
        <w:gridCol w:w="211"/>
        <w:gridCol w:w="781"/>
        <w:gridCol w:w="391"/>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829560" cy="175260"/>
                      <wp:effectExtent l="0" t="0" r="0" b="0"/>
                      <wp:wrapNone/>
                      <wp:docPr id="9" name="Frame9"/>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5935" cy="175260"/>
                      <wp:effectExtent l="0" t="0" r="0" b="0"/>
                      <wp:wrapNone/>
                      <wp:docPr id="15" name="Frame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95935" cy="175260"/>
                      <wp:effectExtent l="0" t="0" r="0" b="0"/>
                      <wp:wrapNone/>
                      <wp:docPr id="18" name="Frame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5935" cy="175260"/>
                      <wp:effectExtent l="0" t="0" r="0" b="0"/>
                      <wp:wrapNone/>
                      <wp:docPr id="21"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8285" cy="175260"/>
                      <wp:effectExtent l="0" t="0" r="0" b="0"/>
                      <wp:wrapNone/>
                      <wp:docPr id="22" name="Frame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272,381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183,273</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28,252</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and integration-related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6,218</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20,456</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7,187</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common shares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16,639</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15,506</w:t>
            </w:r>
          </w:p>
        </w:tc>
        <w:tc>
          <w:tcPr>
            <w:tcW w:w="391" w:type="dxa"/>
            <w:tcBorders/>
            <w:vAlign w:val="center"/>
          </w:tcPr>
          <w:p>
            <w:pPr>
              <w:pStyle w:val="TableContents"/>
              <w:bidi w:val="0"/>
              <w:spacing w:before="0" w:after="0"/>
              <w:ind w:left="0" w:right="0" w:hanging="0"/>
              <w:jc w:val="left"/>
              <w:rPr/>
            </w:pPr>
            <w:r>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accumulated loss on derivatives,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23,644</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47" w:name="_f3b0ef76_3c75_4132_b3dd_0532a3cf103d"/>
      <w:bookmarkEnd w:id="247"/>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bookmarkStart w:id="248" w:name="CONDENSEDCONSOLIDATEDSTATEMENTSOFSTOCKHO"/>
      <w:bookmarkEnd w:id="248"/>
      <w:r>
        <w:rPr>
          <w:rFonts w:ascii="Times New Roman;Times;serif" w:hAnsi="Times New Roman;Times;serif"/>
          <w:sz w:val="20"/>
        </w:rPr>
        <w:t>CONDENSED 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9" w:name="Tc_TKfi28NJbECj1IWDUWmTZQ_19_18"/>
      <w:bookmarkStart w:id="250" w:name="Tc_d-zEAAkzkUag4Nf3CfZU6Q_19_15"/>
      <w:bookmarkStart w:id="251" w:name="Tc_PRVnRCYxXkycrj3f7k3Y4w_19_12"/>
      <w:bookmarkStart w:id="252" w:name="Tc_OSwG0mIpq0OZuccJRT5CyQ_19_9"/>
      <w:bookmarkStart w:id="253" w:name="Tc_gQ6X8oT73kmgXfuPH5Q_wQ_19_6"/>
      <w:bookmarkStart w:id="254" w:name="Tc_6SMfXLTOKkGJA68D9bk_Kw_19_3"/>
      <w:bookmarkStart w:id="255" w:name="Tc_9vnt4NLNd0yidojUauh4QQ_19_0"/>
      <w:bookmarkStart w:id="256" w:name="Tc_CKWzPz8GYkywKYTJ6oLiIg_18_0"/>
      <w:bookmarkStart w:id="257" w:name="Tc_oU96GedjnEutIhzWBmdwVg_17_0"/>
      <w:bookmarkStart w:id="258" w:name="Tc_YA2HkfXSWUmWXvpk2nvWUQ_16_0"/>
      <w:bookmarkStart w:id="259" w:name="Tc_fAP686jERkGVimEeJJ_YkA_15_0"/>
      <w:bookmarkStart w:id="260" w:name="Tc_rorci6FNyk2tXR8x9Ugmng_14_0"/>
      <w:bookmarkStart w:id="261" w:name="Tc_2Ws6yLRkYkOiHn38N3DHfQ_13_0"/>
      <w:bookmarkStart w:id="262" w:name="Tc_s3wkP08e2EGoEkGrbaNRRQ_12_18"/>
      <w:bookmarkStart w:id="263" w:name="Tc_FX_5XWsJHU-s2uyFhkGoPw_12_15"/>
      <w:bookmarkStart w:id="264" w:name="Tc_yCwhpjMmAUmwOHyvkMnV9w_12_12"/>
      <w:bookmarkStart w:id="265" w:name="Tc_W-iY7bPUvUyPIDyEbF1wyg_12_9"/>
      <w:bookmarkStart w:id="266" w:name="Tc_6gGAULwnwkqv-8KlfdjLtg_12_6"/>
      <w:bookmarkStart w:id="267" w:name="Tc_DZD0YqzYzk2695qmTSNNEg_12_3"/>
      <w:bookmarkStart w:id="268" w:name="Tc_7BKxNQsFVUqkg9pDvypG-A_12_0"/>
      <w:bookmarkStart w:id="269" w:name="Tc_qaCn-jboZEagPLqN624luQ_11_0"/>
      <w:bookmarkStart w:id="270" w:name="Tc_WwZjic4U-0Cg5vudHjaYZg_10_0"/>
      <w:bookmarkStart w:id="271" w:name="Tc_pNJhrn5hJkOKf-20sKU30w_9_0"/>
      <w:bookmarkStart w:id="272" w:name="Tc_jUCT5vHcQkGshm7W_l7Yvw_8_0"/>
      <w:bookmarkStart w:id="273" w:name="Tc_2Qbfh6ILV0GuvmBVhRXkWg_7_0"/>
      <w:bookmarkStart w:id="274" w:name="Tc_7Kd5cZsGW0SEf3KGyQY3aQ_6_0"/>
      <w:bookmarkStart w:id="275" w:name="Tc_UIplBgJZDkic6-80TsVMLw_5_0"/>
      <w:bookmarkStart w:id="276" w:name="Tc_kJs2KOTVOUG_sklAP3Vbaw_4_0"/>
      <w:bookmarkStart w:id="277" w:name="Tc_PoS3DtTqPk2fCAhIwPlrWA_3_18"/>
      <w:bookmarkStart w:id="278" w:name="Tc_drM2UTogdE-uNWhKySMnVg_3_15"/>
      <w:bookmarkStart w:id="279" w:name="Tc_JnCi3ReZ1UCOfBbYcLCZjg_3_12"/>
      <w:bookmarkStart w:id="280" w:name="Tc_ixuGgyavskmdeKPUvIEHSQ_3_9"/>
      <w:bookmarkStart w:id="281" w:name="Tc_Y9QG72JxyEefJqXzA6vw1g_3_6"/>
      <w:bookmarkStart w:id="282" w:name="Tc_NWo65Vecm0mLFrzWnkhaiA_3_3"/>
      <w:bookmarkStart w:id="283" w:name="Tc_8xpDissiqkmgWTC2LRchng_3_0"/>
      <w:bookmarkStart w:id="284" w:name="Tc_UbHHZrEN7UOMw-u-PQB-nQ_2_18"/>
      <w:bookmarkStart w:id="285" w:name="Tc_VYipDbu9_kyMyC6f4yusmw_2_15"/>
      <w:bookmarkStart w:id="286" w:name="Tc_5rajhy5uj0mv0j81PDY0yg_2_12"/>
      <w:bookmarkStart w:id="287" w:name="Tc_C3cLTp2eBkWTbAZ9GrXs1Q_2_9"/>
      <w:bookmarkStart w:id="288" w:name="Tc_e2WyYsEOq0C-X3svcHYIrQ_2_6"/>
      <w:bookmarkStart w:id="289" w:name="Tc_82tnGfvHik6D0WN15oMM6w_2_3"/>
      <w:bookmarkStart w:id="290" w:name="Tc_rKGp8-e7wUGwM3vdWMa74Q_2_1"/>
      <w:bookmarkStart w:id="291" w:name="Tc_5HgovuxKqk-fsq9Zo36O8Q_2_0"/>
      <w:bookmarkStart w:id="292" w:name="Tc_4voY_cyjvE-uUnJxWvJhRw_1_9"/>
      <w:bookmarkStart w:id="293" w:name="Tc_hl6g1-FtPkSDsFel0uWFeA_1_1"/>
      <w:bookmarkStart w:id="294" w:name="_224b244d_47b4_47e5_84d2_5be377546ea8"/>
      <w:bookmarkStart w:id="295" w:name="Tc_TKfi28NJbECj1IWDUWmTZQ_19_18"/>
      <w:bookmarkStart w:id="296" w:name="Tc_d-zEAAkzkUag4Nf3CfZU6Q_19_15"/>
      <w:bookmarkStart w:id="297" w:name="Tc_PRVnRCYxXkycrj3f7k3Y4w_19_12"/>
      <w:bookmarkStart w:id="298" w:name="Tc_OSwG0mIpq0OZuccJRT5CyQ_19_9"/>
      <w:bookmarkStart w:id="299" w:name="Tc_gQ6X8oT73kmgXfuPH5Q_wQ_19_6"/>
      <w:bookmarkStart w:id="300" w:name="Tc_6SMfXLTOKkGJA68D9bk_Kw_19_3"/>
      <w:bookmarkStart w:id="301" w:name="Tc_9vnt4NLNd0yidojUauh4QQ_19_0"/>
      <w:bookmarkStart w:id="302" w:name="Tc_CKWzPz8GYkywKYTJ6oLiIg_18_0"/>
      <w:bookmarkStart w:id="303" w:name="Tc_oU96GedjnEutIhzWBmdwVg_17_0"/>
      <w:bookmarkStart w:id="304" w:name="Tc_YA2HkfXSWUmWXvpk2nvWUQ_16_0"/>
      <w:bookmarkStart w:id="305" w:name="Tc_fAP686jERkGVimEeJJ_YkA_15_0"/>
      <w:bookmarkStart w:id="306" w:name="Tc_rorci6FNyk2tXR8x9Ugmng_14_0"/>
      <w:bookmarkStart w:id="307" w:name="Tc_2Ws6yLRkYkOiHn38N3DHfQ_13_0"/>
      <w:bookmarkStart w:id="308" w:name="Tc_s3wkP08e2EGoEkGrbaNRRQ_12_18"/>
      <w:bookmarkStart w:id="309" w:name="Tc_FX_5XWsJHU-s2uyFhkGoPw_12_15"/>
      <w:bookmarkStart w:id="310" w:name="Tc_yCwhpjMmAUmwOHyvkMnV9w_12_12"/>
      <w:bookmarkStart w:id="311" w:name="Tc_W-iY7bPUvUyPIDyEbF1wyg_12_9"/>
      <w:bookmarkStart w:id="312" w:name="Tc_6gGAULwnwkqv-8KlfdjLtg_12_6"/>
      <w:bookmarkStart w:id="313" w:name="Tc_DZD0YqzYzk2695qmTSNNEg_12_3"/>
      <w:bookmarkStart w:id="314" w:name="Tc_7BKxNQsFVUqkg9pDvypG-A_12_0"/>
      <w:bookmarkStart w:id="315" w:name="Tc_qaCn-jboZEagPLqN624luQ_11_0"/>
      <w:bookmarkStart w:id="316" w:name="Tc_WwZjic4U-0Cg5vudHjaYZg_10_0"/>
      <w:bookmarkStart w:id="317" w:name="Tc_pNJhrn5hJkOKf-20sKU30w_9_0"/>
      <w:bookmarkStart w:id="318" w:name="Tc_jUCT5vHcQkGshm7W_l7Yvw_8_0"/>
      <w:bookmarkStart w:id="319" w:name="Tc_2Qbfh6ILV0GuvmBVhRXkWg_7_0"/>
      <w:bookmarkStart w:id="320" w:name="Tc_7Kd5cZsGW0SEf3KGyQY3aQ_6_0"/>
      <w:bookmarkStart w:id="321" w:name="Tc_UIplBgJZDkic6-80TsVMLw_5_0"/>
      <w:bookmarkStart w:id="322" w:name="Tc_kJs2KOTVOUG_sklAP3Vbaw_4_0"/>
      <w:bookmarkStart w:id="323" w:name="Tc_PoS3DtTqPk2fCAhIwPlrWA_3_18"/>
      <w:bookmarkStart w:id="324" w:name="Tc_drM2UTogdE-uNWhKySMnVg_3_15"/>
      <w:bookmarkStart w:id="325" w:name="Tc_JnCi3ReZ1UCOfBbYcLCZjg_3_12"/>
      <w:bookmarkStart w:id="326" w:name="Tc_ixuGgyavskmdeKPUvIEHSQ_3_9"/>
      <w:bookmarkStart w:id="327" w:name="Tc_Y9QG72JxyEefJqXzA6vw1g_3_6"/>
      <w:bookmarkStart w:id="328" w:name="Tc_NWo65Vecm0mLFrzWnkhaiA_3_3"/>
      <w:bookmarkStart w:id="329" w:name="Tc_8xpDissiqkmgWTC2LRchng_3_0"/>
      <w:bookmarkStart w:id="330" w:name="Tc_UbHHZrEN7UOMw-u-PQB-nQ_2_18"/>
      <w:bookmarkStart w:id="331" w:name="Tc_VYipDbu9_kyMyC6f4yusmw_2_15"/>
      <w:bookmarkStart w:id="332" w:name="Tc_5rajhy5uj0mv0j81PDY0yg_2_12"/>
      <w:bookmarkStart w:id="333" w:name="Tc_C3cLTp2eBkWTbAZ9GrXs1Q_2_9"/>
      <w:bookmarkStart w:id="334" w:name="Tc_e2WyYsEOq0C-X3svcHYIrQ_2_6"/>
      <w:bookmarkStart w:id="335" w:name="Tc_82tnGfvHik6D0WN15oMM6w_2_3"/>
      <w:bookmarkStart w:id="336" w:name="Tc_rKGp8-e7wUGwM3vdWMa74Q_2_1"/>
      <w:bookmarkStart w:id="337" w:name="Tc_5HgovuxKqk-fsq9Zo36O8Q_2_0"/>
      <w:bookmarkStart w:id="338" w:name="Tc_4voY_cyjvE-uUnJxWvJhRw_1_9"/>
      <w:bookmarkStart w:id="339" w:name="Tc_hl6g1-FtPkSDsFel0uWFeA_1_1"/>
      <w:bookmarkStart w:id="340" w:name="_224b244d_47b4_47e5_84d2_5be377546ea8"/>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tbl>
      <w:tblPr>
        <w:tblW w:w="10205" w:type="dxa"/>
        <w:jc w:val="left"/>
        <w:tblInd w:w="0" w:type="dxa"/>
        <w:tblLayout w:type="fixed"/>
        <w:tblCellMar>
          <w:top w:w="0" w:type="dxa"/>
          <w:left w:w="0" w:type="dxa"/>
          <w:bottom w:w="0" w:type="dxa"/>
          <w:right w:w="0" w:type="dxa"/>
        </w:tblCellMar>
      </w:tblPr>
      <w:tblGrid>
        <w:gridCol w:w="1478"/>
        <w:gridCol w:w="511"/>
        <w:gridCol w:w="346"/>
        <w:gridCol w:w="181"/>
        <w:gridCol w:w="586"/>
        <w:gridCol w:w="346"/>
        <w:gridCol w:w="202"/>
        <w:gridCol w:w="655"/>
        <w:gridCol w:w="346"/>
        <w:gridCol w:w="300"/>
        <w:gridCol w:w="910"/>
        <w:gridCol w:w="361"/>
        <w:gridCol w:w="427"/>
        <w:gridCol w:w="785"/>
        <w:gridCol w:w="361"/>
        <w:gridCol w:w="327"/>
        <w:gridCol w:w="598"/>
        <w:gridCol w:w="346"/>
        <w:gridCol w:w="239"/>
        <w:gridCol w:w="900"/>
      </w:tblGrid>
      <w:tr>
        <w:trPr/>
        <w:tc>
          <w:tcPr>
            <w:tcW w:w="1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38530" cy="175260"/>
                      <wp:effectExtent l="0" t="0" r="0" b="0"/>
                      <wp:wrapNone/>
                      <wp:docPr id="23" name="Frame23"/>
                      <a:graphic xmlns:a="http://schemas.openxmlformats.org/drawingml/2006/main">
                        <a:graphicData uri="http://schemas.microsoft.com/office/word/2010/wordprocessingShape">
                          <wps:wsp>
                            <wps:cNvSpPr txBox="1"/>
                            <wps:spPr>
                              <a:xfrm>
                                <a:off x="0" y="0"/>
                                <a:ext cx="938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24485" cy="175260"/>
                      <wp:effectExtent l="0" t="0" r="0" b="0"/>
                      <wp:wrapNone/>
                      <wp:docPr id="24" name="Frame2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4935" cy="175260"/>
                      <wp:effectExtent l="0" t="0" r="0" b="0"/>
                      <wp:wrapNone/>
                      <wp:docPr id="26" name="Frame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72110" cy="175260"/>
                      <wp:effectExtent l="0" t="0" r="0" b="0"/>
                      <wp:wrapNone/>
                      <wp:docPr id="27" name="Frame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8270" cy="175260"/>
                      <wp:effectExtent l="0" t="0" r="0" b="0"/>
                      <wp:wrapNone/>
                      <wp:docPr id="29" name="Frame2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15925" cy="175260"/>
                      <wp:effectExtent l="0" t="0" r="0" b="0"/>
                      <wp:wrapNone/>
                      <wp:docPr id="30" name="Frame30"/>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90500" cy="175260"/>
                      <wp:effectExtent l="0" t="0" r="0" b="0"/>
                      <wp:wrapNone/>
                      <wp:docPr id="32" name="Frame3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77850" cy="175260"/>
                      <wp:effectExtent l="0" t="0" r="0" b="0"/>
                      <wp:wrapNone/>
                      <wp:docPr id="33" name="Frame33"/>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9235" cy="175260"/>
                      <wp:effectExtent l="0" t="0" r="0" b="0"/>
                      <wp:wrapNone/>
                      <wp:docPr id="34" name="Frame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1145" cy="175260"/>
                      <wp:effectExtent l="0" t="0" r="0" b="0"/>
                      <wp:wrapNone/>
                      <wp:docPr id="35" name="Frame35"/>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8475" cy="175260"/>
                      <wp:effectExtent l="0" t="0" r="0" b="0"/>
                      <wp:wrapNone/>
                      <wp:docPr id="36" name="Frame36"/>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9235" cy="175260"/>
                      <wp:effectExtent l="0" t="0" r="0" b="0"/>
                      <wp:wrapNone/>
                      <wp:docPr id="37" name="Frame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645" cy="175260"/>
                      <wp:effectExtent l="0" t="0" r="0" b="0"/>
                      <wp:wrapNone/>
                      <wp:docPr id="38" name="Frame3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79730" cy="175260"/>
                      <wp:effectExtent l="0" t="0" r="0" b="0"/>
                      <wp:wrapNone/>
                      <wp:docPr id="39" name="Frame39"/>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1765" cy="175260"/>
                      <wp:effectExtent l="0" t="0" r="0" b="0"/>
                      <wp:wrapNone/>
                      <wp:docPr id="41" name="Frame4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1500" cy="175260"/>
                      <wp:effectExtent l="0" t="0" r="0" b="0"/>
                      <wp:wrapNone/>
                      <wp:docPr id="42" name="Frame4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8" w:type="dxa"/>
            <w:tcBorders/>
            <w:vAlign w:val="center"/>
          </w:tcPr>
          <w:p>
            <w:pPr>
              <w:pStyle w:val="TableContents"/>
              <w:bidi w:val="0"/>
              <w:spacing w:before="0" w:after="0"/>
              <w:ind w:left="0" w:right="0" w:hanging="0"/>
              <w:jc w:val="left"/>
              <w:rPr/>
            </w:pPr>
            <w:r>
              <w:rPr/>
              <w:t>​</w:t>
            </w:r>
          </w:p>
        </w:tc>
        <w:tc>
          <w:tcPr>
            <w:tcW w:w="16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 Comprehensive (Loss) Income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gridSpan w:val="2"/>
            <w:tcBorders/>
            <w:vAlign w:val="center"/>
          </w:tcPr>
          <w:p>
            <w:pPr>
              <w:pStyle w:val="TableContents"/>
              <w:bidi w:val="0"/>
              <w:spacing w:before="0" w:after="0"/>
              <w:ind w:left="0" w:right="0" w:hanging="0"/>
              <w:jc w:val="center"/>
              <w:rPr/>
            </w:pPr>
            <w:r>
              <w:rPr/>
              <w:t>​</w:t>
            </w:r>
          </w:p>
        </w:tc>
      </w:tr>
      <w:tr>
        <w:trPr/>
        <w:tc>
          <w:tcPr>
            <w:tcW w:w="147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thousands except per share data)</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 Earnings</w:t>
            </w:r>
          </w:p>
        </w:tc>
        <w:tc>
          <w:tcPr>
            <w:tcW w:w="346" w:type="dxa"/>
            <w:tcBorders/>
            <w:vAlign w:val="center"/>
          </w:tcPr>
          <w:p>
            <w:pPr>
              <w:pStyle w:val="TableContents"/>
              <w:bidi w:val="0"/>
              <w:spacing w:before="0" w:after="0"/>
              <w:ind w:left="0" w:right="0" w:hanging="0"/>
              <w:jc w:val="left"/>
              <w:rPr/>
            </w:pPr>
            <w:r>
              <w:rPr/>
              <w:t>  ​ ​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Foreign Currency Translation Adjustments</w:t>
            </w:r>
          </w:p>
        </w:tc>
        <w:tc>
          <w:tcPr>
            <w:tcW w:w="361" w:type="dxa"/>
            <w:tcBorders/>
            <w:vAlign w:val="center"/>
          </w:tcPr>
          <w:p>
            <w:pPr>
              <w:pStyle w:val="TableContents"/>
              <w:bidi w:val="0"/>
              <w:spacing w:before="0" w:after="0"/>
              <w:ind w:left="0" w:right="0" w:hanging="0"/>
              <w:jc w:val="left"/>
              <w:rPr/>
            </w:pPr>
            <w:r>
              <w:rPr/>
              <w:t>  ​ ​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income (loss) on derivatives</w:t>
            </w:r>
          </w:p>
        </w:tc>
        <w:tc>
          <w:tcPr>
            <w:tcW w:w="361" w:type="dxa"/>
            <w:tcBorders/>
            <w:vAlign w:val="center"/>
          </w:tcPr>
          <w:p>
            <w:pPr>
              <w:pStyle w:val="TableContents"/>
              <w:bidi w:val="0"/>
              <w:spacing w:before="0" w:after="0"/>
              <w:ind w:left="0" w:right="0" w:hanging="0"/>
              <w:jc w:val="left"/>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Pension adjustments</w:t>
            </w:r>
          </w:p>
        </w:tc>
        <w:tc>
          <w:tcPr>
            <w:tcW w:w="346" w:type="dxa"/>
            <w:tcBorders/>
            <w:vAlign w:val="center"/>
          </w:tcPr>
          <w:p>
            <w:pPr>
              <w:pStyle w:val="TableContents"/>
              <w:bidi w:val="0"/>
              <w:spacing w:before="0" w:after="0"/>
              <w:ind w:left="0" w:right="0" w:hanging="0"/>
              <w:jc w:val="left"/>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Stockholders' Equity</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Balances, December 31, 2025</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16,936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113,936</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197,046</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(10,289)</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301,455</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 transactions under employee benefit stock plans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1,512</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1,512</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net of forfeitures</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848</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848</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payment of employee payroll taxes</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Comprehensive (loss) income</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(2,826)</w:t>
            </w:r>
          </w:p>
        </w:tc>
        <w:tc>
          <w:tcPr>
            <w:tcW w:w="361"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w:t>
            </w:r>
          </w:p>
        </w:tc>
        <w:tc>
          <w:tcPr>
            <w:tcW w:w="361"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(2,635)</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effect of derivative transactions</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5,357</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5,357</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stockholders - $0.03</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Balances, March 31, 2026</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17,035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116,232</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201,901</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(13,115)</w:t>
            </w:r>
          </w:p>
        </w:tc>
        <w:tc>
          <w:tcPr>
            <w:tcW w:w="361"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649</w:t>
            </w:r>
          </w:p>
        </w:tc>
        <w:tc>
          <w:tcPr>
            <w:tcW w:w="361"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305,926</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payment of employee payroll taxes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(2,683)</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(2,683)</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Comprehensive income (loss)</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(1,691)</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(1,659)</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effect of derivative transactions</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61"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10,391</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10,391</w:t>
            </w:r>
          </w:p>
        </w:tc>
      </w:tr>
      <w:tr>
        <w:trPr/>
        <w:tc>
          <w:tcPr>
            <w:tcW w:w="147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stockholders - $0.04</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(672)</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(672)</w:t>
            </w:r>
          </w:p>
        </w:tc>
      </w:tr>
      <w:tr>
        <w:trPr/>
        <w:tc>
          <w:tcPr>
            <w:tcW w:w="147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Balances, June 30, 2026</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16,992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114,547</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211,620</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(14,806)</w:t>
            </w:r>
          </w:p>
        </w:tc>
        <w:tc>
          <w:tcPr>
            <w:tcW w:w="361"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674</w:t>
            </w:r>
          </w:p>
        </w:tc>
        <w:tc>
          <w:tcPr>
            <w:tcW w:w="361"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312,294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1" w:name="Tc_TkL-QkUzxE26raPOvDm3Gg_20_18"/>
      <w:bookmarkStart w:id="342" w:name="Tc_0aWo-kzMIUONcZSlhkicFQ_20_15"/>
      <w:bookmarkStart w:id="343" w:name="Tc_qkErbU_I-EKdlyL4jvBnCw_20_12"/>
      <w:bookmarkStart w:id="344" w:name="Tc_uxDjbPGql0aUw2EDhqkbrA_20_9"/>
      <w:bookmarkStart w:id="345" w:name="Tc_4NVos--VgEWLFFJZbKcl6g_20_6"/>
      <w:bookmarkStart w:id="346" w:name="Tc_EpDyShkPDEm1HeEH5ToGFA_20_3"/>
      <w:bookmarkStart w:id="347" w:name="Tc_oYViUQhotECyg7lzKhJjAQ_20_0"/>
      <w:bookmarkStart w:id="348" w:name="Tc_g43d1lwUREG4wxW9L_WMwQ_19_0"/>
      <w:bookmarkStart w:id="349" w:name="Tc_3mevbz0xv0GeE5Sz3eWAGw_18_0"/>
      <w:bookmarkStart w:id="350" w:name="Tc_lx5GnW7UYESAJ2bGAUKrhA_17_0"/>
      <w:bookmarkStart w:id="351" w:name="Tc_3-B5VpZcSUmljG0K_22-xA_16_0"/>
      <w:bookmarkStart w:id="352" w:name="Tc_rVnmc3e_cE20pkjH7uViDg_15_0"/>
      <w:bookmarkStart w:id="353" w:name="Tc_i68Yz8VRBEmecHHnHDNdhw_14_0"/>
      <w:bookmarkStart w:id="354" w:name="Tc_ZEHjEVNDIk-C9I5-s7QDDQ_13_0"/>
      <w:bookmarkStart w:id="355" w:name="Tc_w4buHBcjR0mJYd1j4EXbZQ_12_18"/>
      <w:bookmarkStart w:id="356" w:name="Tc_HBVGxM31Qk2JHwaEqZ72SQ_12_15"/>
      <w:bookmarkStart w:id="357" w:name="Tc_IzEXY_vHLEycNtysWTo_dw_12_12"/>
      <w:bookmarkStart w:id="358" w:name="Tc_PlHEjGqmWEOu5ikZmWU0xg_12_9"/>
      <w:bookmarkStart w:id="359" w:name="Tc_XcBgvM9I-kSY0AecWh4J0w_12_6"/>
      <w:bookmarkStart w:id="360" w:name="Tc_ZisCk6Ild0CJjGvmSuXhxw_12_3"/>
      <w:bookmarkStart w:id="361" w:name="Tc_d-4-Yqg9VU6pTJsyYnWN2A_12_0"/>
      <w:bookmarkStart w:id="362" w:name="Tc_WdqHOoKKHkCnpaRmXIjMsQ_11_0"/>
      <w:bookmarkStart w:id="363" w:name="Tc_O7j4YhCwC0mmhNk_AQhq9g_10_0"/>
      <w:bookmarkStart w:id="364" w:name="Tc_B4HsmJ9IV0a1Y6YpH7StBA_9_0"/>
      <w:bookmarkStart w:id="365" w:name="Tc_bOhR-ZlG80ul4pd80LpZ4w_8_0"/>
      <w:bookmarkStart w:id="366" w:name="Tc_P-9u35TT-kC0oXZZhusS2Q_7_0"/>
      <w:bookmarkStart w:id="367" w:name="Tc_Yip6zJVdOEaqEP6azXtbIg_6_0"/>
      <w:bookmarkStart w:id="368" w:name="Tc_N6NXyjCFVEyBVoPm-DXEmg_5_0"/>
      <w:bookmarkStart w:id="369" w:name="Tc_9aIS_ZLw5kWWAuWm4uaQXw_4_0"/>
      <w:bookmarkStart w:id="370" w:name="Tc_ciKun8RaS06rCOV4Jz6kBg_3_18"/>
      <w:bookmarkStart w:id="371" w:name="Tc_oqK8Lk0qvk-4CWha5IVxRg_3_15"/>
      <w:bookmarkStart w:id="372" w:name="Tc_LwvWLcFL40ePsOp2bMmEtg_3_12"/>
      <w:bookmarkStart w:id="373" w:name="Tc_4nOcx4fEwUiozDrcECiuQg_3_9"/>
      <w:bookmarkStart w:id="374" w:name="Tc_VZlNXtQNREKRBuqHB9NZTQ_3_6"/>
      <w:bookmarkStart w:id="375" w:name="Tc_WNBeQNL7f0yAwGtljoeN4A_3_3"/>
      <w:bookmarkStart w:id="376" w:name="Tc_wNM0LdBCHkWg9gUdDSS5fQ_3_0"/>
      <w:bookmarkStart w:id="377" w:name="Tc_9YPsGbEX_U-A4Hj1ksq8KA_2_18"/>
      <w:bookmarkStart w:id="378" w:name="Tc_y61gsVmnz0SjxJ4CzG5U7Q_2_15"/>
      <w:bookmarkStart w:id="379" w:name="Tc_R1Ut2Sn6jkakrJ43KU1vIw_2_12"/>
      <w:bookmarkStart w:id="380" w:name="Tc_vTmT7YYjnk-O8PKutT6fSA_2_9"/>
      <w:bookmarkStart w:id="381" w:name="Tc_s-LNqWiYdU2XNdXfJOLLqg_2_6"/>
      <w:bookmarkStart w:id="382" w:name="Tc_BXNVhjbko0eDSQpe0Yseuw_2_3"/>
      <w:bookmarkStart w:id="383" w:name="Tc_YSt5KKHI0kilHeylmiLUqA_2_1"/>
      <w:bookmarkStart w:id="384" w:name="Tc_qZdnD5BHw02bDURiige5yQ_2_0"/>
      <w:bookmarkStart w:id="385" w:name="Tc_P0B2co7HnUundmxpkdDrPw_1_9"/>
      <w:bookmarkStart w:id="386" w:name="Tc_IkLj9hZj_ECvctad1lDDvQ_1_1"/>
      <w:bookmarkStart w:id="387" w:name="_dbaacc7a_71da_446c_8027_687acf0e4d68"/>
      <w:bookmarkStart w:id="388" w:name="Tc_TkL-QkUzxE26raPOvDm3Gg_20_18"/>
      <w:bookmarkStart w:id="389" w:name="Tc_0aWo-kzMIUONcZSlhkicFQ_20_15"/>
      <w:bookmarkStart w:id="390" w:name="Tc_qkErbU_I-EKdlyL4jvBnCw_20_12"/>
      <w:bookmarkStart w:id="391" w:name="Tc_uxDjbPGql0aUw2EDhqkbrA_20_9"/>
      <w:bookmarkStart w:id="392" w:name="Tc_4NVos--VgEWLFFJZbKcl6g_20_6"/>
      <w:bookmarkStart w:id="393" w:name="Tc_EpDyShkPDEm1HeEH5ToGFA_20_3"/>
      <w:bookmarkStart w:id="394" w:name="Tc_oYViUQhotECyg7lzKhJjAQ_20_0"/>
      <w:bookmarkStart w:id="395" w:name="Tc_g43d1lwUREG4wxW9L_WMwQ_19_0"/>
      <w:bookmarkStart w:id="396" w:name="Tc_3mevbz0xv0GeE5Sz3eWAGw_18_0"/>
      <w:bookmarkStart w:id="397" w:name="Tc_lx5GnW7UYESAJ2bGAUKrhA_17_0"/>
      <w:bookmarkStart w:id="398" w:name="Tc_3-B5VpZcSUmljG0K_22-xA_16_0"/>
      <w:bookmarkStart w:id="399" w:name="Tc_rVnmc3e_cE20pkjH7uViDg_15_0"/>
      <w:bookmarkStart w:id="400" w:name="Tc_i68Yz8VRBEmecHHnHDNdhw_14_0"/>
      <w:bookmarkStart w:id="401" w:name="Tc_ZEHjEVNDIk-C9I5-s7QDDQ_13_0"/>
      <w:bookmarkStart w:id="402" w:name="Tc_w4buHBcjR0mJYd1j4EXbZQ_12_18"/>
      <w:bookmarkStart w:id="403" w:name="Tc_HBVGxM31Qk2JHwaEqZ72SQ_12_15"/>
      <w:bookmarkStart w:id="404" w:name="Tc_IzEXY_vHLEycNtysWTo_dw_12_12"/>
      <w:bookmarkStart w:id="405" w:name="Tc_PlHEjGqmWEOu5ikZmWU0xg_12_9"/>
      <w:bookmarkStart w:id="406" w:name="Tc_XcBgvM9I-kSY0AecWh4J0w_12_6"/>
      <w:bookmarkStart w:id="407" w:name="Tc_ZisCk6Ild0CJjGvmSuXhxw_12_3"/>
      <w:bookmarkStart w:id="408" w:name="Tc_d-4-Yqg9VU6pTJsyYnWN2A_12_0"/>
      <w:bookmarkStart w:id="409" w:name="Tc_WdqHOoKKHkCnpaRmXIjMsQ_11_0"/>
      <w:bookmarkStart w:id="410" w:name="Tc_O7j4YhCwC0mmhNk_AQhq9g_10_0"/>
      <w:bookmarkStart w:id="411" w:name="Tc_B4HsmJ9IV0a1Y6YpH7StBA_9_0"/>
      <w:bookmarkStart w:id="412" w:name="Tc_bOhR-ZlG80ul4pd80LpZ4w_8_0"/>
      <w:bookmarkStart w:id="413" w:name="Tc_P-9u35TT-kC0oXZZhusS2Q_7_0"/>
      <w:bookmarkStart w:id="414" w:name="Tc_Yip6zJVdOEaqEP6azXtbIg_6_0"/>
      <w:bookmarkStart w:id="415" w:name="Tc_N6NXyjCFVEyBVoPm-DXEmg_5_0"/>
      <w:bookmarkStart w:id="416" w:name="Tc_9aIS_ZLw5kWWAuWm4uaQXw_4_0"/>
      <w:bookmarkStart w:id="417" w:name="Tc_ciKun8RaS06rCOV4Jz6kBg_3_18"/>
      <w:bookmarkStart w:id="418" w:name="Tc_oqK8Lk0qvk-4CWha5IVxRg_3_15"/>
      <w:bookmarkStart w:id="419" w:name="Tc_LwvWLcFL40ePsOp2bMmEtg_3_12"/>
      <w:bookmarkStart w:id="420" w:name="Tc_4nOcx4fEwUiozDrcECiuQg_3_9"/>
      <w:bookmarkStart w:id="421" w:name="Tc_VZlNXtQNREKRBuqHB9NZTQ_3_6"/>
      <w:bookmarkStart w:id="422" w:name="Tc_WNBeQNL7f0yAwGtljoeN4A_3_3"/>
      <w:bookmarkStart w:id="423" w:name="Tc_wNM0LdBCHkWg9gUdDSS5fQ_3_0"/>
      <w:bookmarkStart w:id="424" w:name="Tc_9YPsGbEX_U-A4Hj1ksq8KA_2_18"/>
      <w:bookmarkStart w:id="425" w:name="Tc_y61gsVmnz0SjxJ4CzG5U7Q_2_15"/>
      <w:bookmarkStart w:id="426" w:name="Tc_R1Ut2Sn6jkakrJ43KU1vIw_2_12"/>
      <w:bookmarkStart w:id="427" w:name="Tc_vTmT7YYjnk-O8PKutT6fSA_2_9"/>
      <w:bookmarkStart w:id="428" w:name="Tc_s-LNqWiYdU2XNdXfJOLLqg_2_6"/>
      <w:bookmarkStart w:id="429" w:name="Tc_BXNVhjbko0eDSQpe0Yseuw_2_3"/>
      <w:bookmarkStart w:id="430" w:name="Tc_YSt5KKHI0kilHeylmiLUqA_2_1"/>
      <w:bookmarkStart w:id="431" w:name="Tc_qZdnD5BHw02bDURiige5yQ_2_0"/>
      <w:bookmarkStart w:id="432" w:name="Tc_P0B2co7HnUundmxpkdDrPw_1_9"/>
      <w:bookmarkStart w:id="433" w:name="Tc_IkLj9hZj_ECvctad1lDDvQ_1_1"/>
      <w:bookmarkStart w:id="434" w:name="_dbaacc7a_71da_446c_8027_687acf0e4d68"/>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tbl>
      <w:tblPr>
        <w:tblW w:w="10205" w:type="dxa"/>
        <w:jc w:val="left"/>
        <w:tblInd w:w="0" w:type="dxa"/>
        <w:tblLayout w:type="fixed"/>
        <w:tblCellMar>
          <w:top w:w="0" w:type="dxa"/>
          <w:left w:w="0" w:type="dxa"/>
          <w:bottom w:w="0" w:type="dxa"/>
          <w:right w:w="0" w:type="dxa"/>
        </w:tblCellMar>
      </w:tblPr>
      <w:tblGrid>
        <w:gridCol w:w="1479"/>
        <w:gridCol w:w="511"/>
        <w:gridCol w:w="346"/>
        <w:gridCol w:w="181"/>
        <w:gridCol w:w="586"/>
        <w:gridCol w:w="346"/>
        <w:gridCol w:w="202"/>
        <w:gridCol w:w="655"/>
        <w:gridCol w:w="346"/>
        <w:gridCol w:w="293"/>
        <w:gridCol w:w="917"/>
        <w:gridCol w:w="358"/>
        <w:gridCol w:w="355"/>
        <w:gridCol w:w="858"/>
        <w:gridCol w:w="358"/>
        <w:gridCol w:w="327"/>
        <w:gridCol w:w="598"/>
        <w:gridCol w:w="346"/>
        <w:gridCol w:w="239"/>
        <w:gridCol w:w="904"/>
      </w:tblGrid>
      <w:tr>
        <w:trPr/>
        <w:tc>
          <w:tcPr>
            <w:tcW w:w="1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39165" cy="175260"/>
                      <wp:effectExtent l="0" t="0" r="0" b="0"/>
                      <wp:wrapNone/>
                      <wp:docPr id="43" name="Frame43"/>
                      <a:graphic xmlns:a="http://schemas.openxmlformats.org/drawingml/2006/main">
                        <a:graphicData uri="http://schemas.microsoft.com/office/word/2010/wordprocessingShape">
                          <wps:wsp>
                            <wps:cNvSpPr txBox="1"/>
                            <wps:spPr>
                              <a:xfrm>
                                <a:off x="0" y="0"/>
                                <a:ext cx="939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24485" cy="175260"/>
                      <wp:effectExtent l="0" t="0" r="0" b="0"/>
                      <wp:wrapNone/>
                      <wp:docPr id="44" name="Frame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14935" cy="175260"/>
                      <wp:effectExtent l="0" t="0" r="0" b="0"/>
                      <wp:wrapNone/>
                      <wp:docPr id="46"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72110" cy="175260"/>
                      <wp:effectExtent l="0" t="0" r="0" b="0"/>
                      <wp:wrapNone/>
                      <wp:docPr id="47" name="Frame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8270" cy="175260"/>
                      <wp:effectExtent l="0" t="0" r="0" b="0"/>
                      <wp:wrapNone/>
                      <wp:docPr id="49" name="Frame4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15925" cy="175260"/>
                      <wp:effectExtent l="0" t="0" r="0" b="0"/>
                      <wp:wrapNone/>
                      <wp:docPr id="50" name="Frame50"/>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6055" cy="175260"/>
                      <wp:effectExtent l="0" t="0" r="0" b="0"/>
                      <wp:wrapNone/>
                      <wp:docPr id="52" name="Frame5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82295" cy="175260"/>
                      <wp:effectExtent l="0" t="0" r="0" b="0"/>
                      <wp:wrapNone/>
                      <wp:docPr id="53" name="Frame53"/>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7330" cy="175260"/>
                      <wp:effectExtent l="0" t="0" r="0" b="0"/>
                      <wp:wrapNone/>
                      <wp:docPr id="54" name="Frame5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25425" cy="175260"/>
                      <wp:effectExtent l="0" t="0" r="0" b="0"/>
                      <wp:wrapNone/>
                      <wp:docPr id="55" name="Frame5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44830" cy="175260"/>
                      <wp:effectExtent l="0" t="0" r="0" b="0"/>
                      <wp:wrapNone/>
                      <wp:docPr id="56" name="Frame5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7330" cy="175260"/>
                      <wp:effectExtent l="0" t="0" r="0" b="0"/>
                      <wp:wrapNone/>
                      <wp:docPr id="57" name="Frame57"/>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645" cy="175260"/>
                      <wp:effectExtent l="0" t="0" r="0" b="0"/>
                      <wp:wrapNone/>
                      <wp:docPr id="58" name="Frame5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79730" cy="175260"/>
                      <wp:effectExtent l="0" t="0" r="0" b="0"/>
                      <wp:wrapNone/>
                      <wp:docPr id="59" name="Frame59"/>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1765" cy="175260"/>
                      <wp:effectExtent l="0" t="0" r="0" b="0"/>
                      <wp:wrapNone/>
                      <wp:docPr id="61" name="Frame6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74040" cy="175260"/>
                      <wp:effectExtent l="0" t="0" r="0" b="0"/>
                      <wp:wrapNone/>
                      <wp:docPr id="62" name="Frame6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9" w:type="dxa"/>
            <w:tcBorders/>
            <w:vAlign w:val="center"/>
          </w:tcPr>
          <w:p>
            <w:pPr>
              <w:pStyle w:val="TableContents"/>
              <w:bidi w:val="0"/>
              <w:spacing w:before="0" w:after="0"/>
              <w:ind w:left="0" w:right="0" w:hanging="0"/>
              <w:jc w:val="left"/>
              <w:rPr/>
            </w:pPr>
            <w:r>
              <w:rPr/>
              <w:t>​</w:t>
            </w:r>
          </w:p>
        </w:tc>
        <w:tc>
          <w:tcPr>
            <w:tcW w:w="16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6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 Comprehensive (Loss) Income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3" w:type="dxa"/>
            <w:gridSpan w:val="2"/>
            <w:tcBorders/>
            <w:vAlign w:val="center"/>
          </w:tcPr>
          <w:p>
            <w:pPr>
              <w:pStyle w:val="TableContents"/>
              <w:bidi w:val="0"/>
              <w:spacing w:before="0" w:after="0"/>
              <w:ind w:left="0" w:right="0" w:hanging="0"/>
              <w:jc w:val="center"/>
              <w:rPr/>
            </w:pPr>
            <w:r>
              <w:rPr/>
              <w:t>​</w:t>
            </w:r>
          </w:p>
        </w:tc>
      </w:tr>
      <w:tr>
        <w:trPr/>
        <w:tc>
          <w:tcPr>
            <w:tcW w:w="14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thousands except per share data)</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 Earnings</w:t>
            </w:r>
          </w:p>
        </w:tc>
        <w:tc>
          <w:tcPr>
            <w:tcW w:w="346" w:type="dxa"/>
            <w:tcBorders/>
            <w:vAlign w:val="center"/>
          </w:tcPr>
          <w:p>
            <w:pPr>
              <w:pStyle w:val="TableContents"/>
              <w:bidi w:val="0"/>
              <w:spacing w:before="0" w:after="0"/>
              <w:ind w:left="0" w:right="0" w:hanging="0"/>
              <w:jc w:val="left"/>
              <w:rPr/>
            </w:pPr>
            <w:r>
              <w:rPr/>
              <w:t>  ​ ​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Foreign Currency Translation Adjustments</w:t>
            </w:r>
          </w:p>
        </w:tc>
        <w:tc>
          <w:tcPr>
            <w:tcW w:w="358" w:type="dxa"/>
            <w:tcBorders/>
            <w:vAlign w:val="center"/>
          </w:tcPr>
          <w:p>
            <w:pPr>
              <w:pStyle w:val="TableContents"/>
              <w:bidi w:val="0"/>
              <w:spacing w:before="0" w:after="0"/>
              <w:ind w:left="0" w:right="0" w:hanging="0"/>
              <w:jc w:val="left"/>
              <w:rPr/>
            </w:pPr>
            <w:r>
              <w:rPr/>
              <w:t>  ​ ​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income (loss) on derivatives</w:t>
            </w:r>
          </w:p>
        </w:tc>
        <w:tc>
          <w:tcPr>
            <w:tcW w:w="358" w:type="dxa"/>
            <w:tcBorders/>
            <w:vAlign w:val="center"/>
          </w:tcPr>
          <w:p>
            <w:pPr>
              <w:pStyle w:val="TableContents"/>
              <w:bidi w:val="0"/>
              <w:spacing w:before="0" w:after="0"/>
              <w:ind w:left="0" w:right="0" w:hanging="0"/>
              <w:jc w:val="left"/>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Pension adjustments</w:t>
            </w:r>
          </w:p>
        </w:tc>
        <w:tc>
          <w:tcPr>
            <w:tcW w:w="346" w:type="dxa"/>
            <w:tcBorders/>
            <w:vAlign w:val="center"/>
          </w:tcPr>
          <w:p>
            <w:pPr>
              <w:pStyle w:val="TableContents"/>
              <w:bidi w:val="0"/>
              <w:spacing w:before="0" w:after="0"/>
              <w:ind w:left="0" w:right="0" w:hanging="0"/>
              <w:jc w:val="left"/>
              <w:rPr/>
            </w:pPr>
            <w:r>
              <w:rPr/>
              <w:t>  ​ ​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Stockholders' Equity</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Balances, December 31, 2024</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16,810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111,024</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177,013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(25,289)</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1,975</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264,854</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 transactions under employee benefit stock plans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886</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net of forfeitures</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920</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920</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payment of employee payroll taxes</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Comprehensive income (loss)</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3,862</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(856)</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3,006</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effect of derivative transactions</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3,557</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3,557</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stockholders - $0.03</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(518)</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(518)</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Balances, March 31, 2025</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16,975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112,722</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180,052</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(21,427)</w:t>
            </w:r>
          </w:p>
        </w:tc>
        <w:tc>
          <w:tcPr>
            <w:tcW w:w="358"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1,350</w:t>
            </w:r>
          </w:p>
        </w:tc>
        <w:tc>
          <w:tcPr>
            <w:tcW w:w="358"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272,828</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net of forfeitures</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835</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835</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payment of employee payroll taxes</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Comprehensive (loss) income</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11,644</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11,104</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effect of derivative transactions</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5,617</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5,617</w:t>
            </w:r>
          </w:p>
        </w:tc>
      </w:tr>
      <w:tr>
        <w:trPr/>
        <w:tc>
          <w:tcPr>
            <w:tcW w:w="147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to stockholders - $0.03</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w:t>
            </w:r>
          </w:p>
        </w:tc>
      </w:tr>
      <w:tr>
        <w:trPr/>
        <w:tc>
          <w:tcPr>
            <w:tcW w:w="147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Balances, June 30, 2025</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16,938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112,587</w:t>
            </w:r>
          </w:p>
        </w:tc>
        <w:tc>
          <w:tcPr>
            <w:tcW w:w="34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185,187</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(9,783)</w:t>
            </w:r>
          </w:p>
        </w:tc>
        <w:tc>
          <w:tcPr>
            <w:tcW w:w="358"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940</w:t>
            </w:r>
          </w:p>
        </w:tc>
        <w:tc>
          <w:tcPr>
            <w:tcW w:w="358"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04" w:type="dxa"/>
            <w:tcBorders>
              <w:bottom w:val="single" w:sz="2"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289,062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435" w:name="_Hlk86408326"/>
      <w:bookmarkEnd w:id="435"/>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36" w:name="_b25c7956_e49d_4051_aeba_e8fe655a5c75"/>
      <w:bookmarkEnd w:id="436"/>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bookmarkStart w:id="437" w:name="CONDENSEDCONSOLIDATEDSTATEMENTSOFCASHFLO"/>
      <w:bookmarkEnd w:id="437"/>
      <w:r>
        <w:rPr>
          <w:rFonts w:ascii="Times New Roman;Times;serif" w:hAnsi="Times New Roman;Times;serif"/>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38" w:name="Tc_uSCOR5GvMUmnVq64eo5gzQ_39_5"/>
      <w:bookmarkStart w:id="439" w:name="Tc_NrK7Y-ClZkewNzl81KTrag_39_2"/>
      <w:bookmarkStart w:id="440" w:name="Tc_Sgimmop-K0m8eGy-ltOBKw_39_0"/>
      <w:bookmarkStart w:id="441" w:name="Tc_QDea5JxU7Ui7r7W4zETUFQ_38_5"/>
      <w:bookmarkStart w:id="442" w:name="Tc_KDf02W_3yE2hHHlBNNod3Q_38_2"/>
      <w:bookmarkStart w:id="443" w:name="Tc_7mPEBx1LNkirWcmRkJvCDQ_38_0"/>
      <w:bookmarkStart w:id="444" w:name="Tc_r1i9FujgRk2uGd0qsECyEQ_37_5"/>
      <w:bookmarkStart w:id="445" w:name="Tc_0Vubso4P-06xrMMoxZeR7Q_37_2"/>
      <w:bookmarkStart w:id="446" w:name="Tc_yY6kqjcjFESyPhuAG4AYGg_37_0"/>
      <w:bookmarkStart w:id="447" w:name="Tc_kVu-Zl24RUuoBRuuocbAOg_36_0"/>
      <w:bookmarkStart w:id="448" w:name="Tc_vnHImHWI4Ee2SkOclS4H0g_34_5"/>
      <w:bookmarkStart w:id="449" w:name="Tc_fms3lngmLUmfrn2UOmZU3A_34_2"/>
      <w:bookmarkStart w:id="450" w:name="Tc_DHTN2CFIzEKYgGbVsC1n5g_34_0"/>
      <w:bookmarkStart w:id="451" w:name="Tc_10R-CuE8dUipCt3-R2R0Ag_33_0"/>
      <w:bookmarkStart w:id="452" w:name="Tc_ujYlLcdcWEGr3_MvKTRXHg_32_0"/>
      <w:bookmarkStart w:id="453" w:name="Tc_MyT31ZxhskSjONsF1f_Zyg_31_0"/>
      <w:bookmarkStart w:id="454" w:name="Tc_T_zxuPp71UmWcp0nKk2DJg_30_0"/>
      <w:bookmarkStart w:id="455" w:name="Tc_KFAv36ul9EKbbbHXexxSkQ_29_0"/>
      <w:bookmarkStart w:id="456" w:name="Tc_8l2j5X5zckq8PqTWrCQ-8w_28_0"/>
      <w:bookmarkStart w:id="457" w:name="Tc_SkNKO3wac0KNj865j6mZBA_27_3"/>
      <w:bookmarkStart w:id="458" w:name="Tc_rQ_iPgK6SEOVuUCbxIxZHg_27_0"/>
      <w:bookmarkStart w:id="459" w:name="Tc_Ofm42STlIUe1x4O-nq9YtA_26_0"/>
      <w:bookmarkStart w:id="460" w:name="Tc_bnfavnzz-U65726PY4V7-A_25_6"/>
      <w:bookmarkStart w:id="461" w:name="Tc_q9oj6o7YIEqi-ibv0Zb8jw_25_0"/>
      <w:bookmarkStart w:id="462" w:name="Tc_K6R6ZuwRIEyF5uAYnrgXcA_24_0"/>
      <w:bookmarkStart w:id="463" w:name="Tc_Oze5PHaLrEmdEU2qpRP3PA_22_0"/>
      <w:bookmarkStart w:id="464" w:name="Tc_VK2en2TSI0iw9cXLbw-gmg_21_0"/>
      <w:bookmarkStart w:id="465" w:name="Tc_806NS6e-skiiPMbiwEInmQ_20_0"/>
      <w:bookmarkStart w:id="466" w:name="Tc_pGUaSRa2PEm1XoyjZdbK0w_18_0"/>
      <w:bookmarkStart w:id="467" w:name="Tc_FMos6u_Alk6Ngik--kaLSw_17_0"/>
      <w:bookmarkStart w:id="468" w:name="Tc_FymvcCdFv0WZXuzBqL8aUA_16_0"/>
      <w:bookmarkStart w:id="469" w:name="Tc_y_Lpk2Ecu0Csk7PfAdPJXw_15_0"/>
      <w:bookmarkStart w:id="470" w:name="Tc_khP2VPEPukq4CgN0bNM1iw_14_0"/>
      <w:bookmarkStart w:id="471" w:name="Tc_m4X4wjfiV02X4oEu18ur5w_13_0"/>
      <w:bookmarkStart w:id="472" w:name="Tc_NyOT9B1-fEGm6MUMa3PYrA_12_0"/>
      <w:bookmarkStart w:id="473" w:name="Tc_hZcgL7lSKE6bU0GDiPlNFQ_11_0"/>
      <w:bookmarkStart w:id="474" w:name="Tc_viBRLz0AJESJAQHkZv9-VQ_10_0"/>
      <w:bookmarkStart w:id="475" w:name="Tc_Y6Ht_wMy_UOIEThMbfp9Xg_9_0"/>
      <w:bookmarkStart w:id="476" w:name="Tc_TGcBMh2S0kqALRnf2KgF5Q_8_0"/>
      <w:bookmarkStart w:id="477" w:name="Tc_bkNlBJEMtEaaYzBguXfb5g_7_0"/>
      <w:bookmarkStart w:id="478" w:name="Tc_-AM5KwpyKUa96gk8A9_ajQ_6_0"/>
      <w:bookmarkStart w:id="479" w:name="Tc_UO7uwjD0dkazOH28E7zWSA_5_5"/>
      <w:bookmarkStart w:id="480" w:name="Tc_P2VxWsy5AUyY3buX7VKBMQ_5_2"/>
      <w:bookmarkStart w:id="481" w:name="Tc_j-KrfdZPb0SGVDlECKdx7g_5_0"/>
      <w:bookmarkStart w:id="482" w:name="Tc_oof2FrDjc0y-9krg3pGE6g_4_0"/>
      <w:bookmarkStart w:id="483" w:name="Tc_UFIa1ediP0GuEtmgbC813Q_3_5"/>
      <w:bookmarkStart w:id="484" w:name="Tc_oWJullVU50-IezJ9Uu6vSg_3_2"/>
      <w:bookmarkStart w:id="485" w:name="Tc_CnvSIPqTQkCsWB2gexs8MA_2_2"/>
      <w:bookmarkStart w:id="486" w:name="Tc_3hNplAg2-kO9iQl6veQLhQ_1_2"/>
      <w:bookmarkStart w:id="487" w:name="_7d757005_d418_4d71_b1e9_3b4e36081218"/>
      <w:bookmarkStart w:id="488" w:name="Tc_uSCOR5GvMUmnVq64eo5gzQ_39_5"/>
      <w:bookmarkStart w:id="489" w:name="Tc_NrK7Y-ClZkewNzl81KTrag_39_2"/>
      <w:bookmarkStart w:id="490" w:name="Tc_Sgimmop-K0m8eGy-ltOBKw_39_0"/>
      <w:bookmarkStart w:id="491" w:name="Tc_QDea5JxU7Ui7r7W4zETUFQ_38_5"/>
      <w:bookmarkStart w:id="492" w:name="Tc_KDf02W_3yE2hHHlBNNod3Q_38_2"/>
      <w:bookmarkStart w:id="493" w:name="Tc_7mPEBx1LNkirWcmRkJvCDQ_38_0"/>
      <w:bookmarkStart w:id="494" w:name="Tc_r1i9FujgRk2uGd0qsECyEQ_37_5"/>
      <w:bookmarkStart w:id="495" w:name="Tc_0Vubso4P-06xrMMoxZeR7Q_37_2"/>
      <w:bookmarkStart w:id="496" w:name="Tc_yY6kqjcjFESyPhuAG4AYGg_37_0"/>
      <w:bookmarkStart w:id="497" w:name="Tc_kVu-Zl24RUuoBRuuocbAOg_36_0"/>
      <w:bookmarkStart w:id="498" w:name="Tc_vnHImHWI4Ee2SkOclS4H0g_34_5"/>
      <w:bookmarkStart w:id="499" w:name="Tc_fms3lngmLUmfrn2UOmZU3A_34_2"/>
      <w:bookmarkStart w:id="500" w:name="Tc_DHTN2CFIzEKYgGbVsC1n5g_34_0"/>
      <w:bookmarkStart w:id="501" w:name="Tc_10R-CuE8dUipCt3-R2R0Ag_33_0"/>
      <w:bookmarkStart w:id="502" w:name="Tc_ujYlLcdcWEGr3_MvKTRXHg_32_0"/>
      <w:bookmarkStart w:id="503" w:name="Tc_MyT31ZxhskSjONsF1f_Zyg_31_0"/>
      <w:bookmarkStart w:id="504" w:name="Tc_T_zxuPp71UmWcp0nKk2DJg_30_0"/>
      <w:bookmarkStart w:id="505" w:name="Tc_KFAv36ul9EKbbbHXexxSkQ_29_0"/>
      <w:bookmarkStart w:id="506" w:name="Tc_8l2j5X5zckq8PqTWrCQ-8w_28_0"/>
      <w:bookmarkStart w:id="507" w:name="Tc_SkNKO3wac0KNj865j6mZBA_27_3"/>
      <w:bookmarkStart w:id="508" w:name="Tc_rQ_iPgK6SEOVuUCbxIxZHg_27_0"/>
      <w:bookmarkStart w:id="509" w:name="Tc_Ofm42STlIUe1x4O-nq9YtA_26_0"/>
      <w:bookmarkStart w:id="510" w:name="Tc_bnfavnzz-U65726PY4V7-A_25_6"/>
      <w:bookmarkStart w:id="511" w:name="Tc_q9oj6o7YIEqi-ibv0Zb8jw_25_0"/>
      <w:bookmarkStart w:id="512" w:name="Tc_K6R6ZuwRIEyF5uAYnrgXcA_24_0"/>
      <w:bookmarkStart w:id="513" w:name="Tc_Oze5PHaLrEmdEU2qpRP3PA_22_0"/>
      <w:bookmarkStart w:id="514" w:name="Tc_VK2en2TSI0iw9cXLbw-gmg_21_0"/>
      <w:bookmarkStart w:id="515" w:name="Tc_806NS6e-skiiPMbiwEInmQ_20_0"/>
      <w:bookmarkStart w:id="516" w:name="Tc_pGUaSRa2PEm1XoyjZdbK0w_18_0"/>
      <w:bookmarkStart w:id="517" w:name="Tc_FMos6u_Alk6Ngik--kaLSw_17_0"/>
      <w:bookmarkStart w:id="518" w:name="Tc_FymvcCdFv0WZXuzBqL8aUA_16_0"/>
      <w:bookmarkStart w:id="519" w:name="Tc_y_Lpk2Ecu0Csk7PfAdPJXw_15_0"/>
      <w:bookmarkStart w:id="520" w:name="Tc_khP2VPEPukq4CgN0bNM1iw_14_0"/>
      <w:bookmarkStart w:id="521" w:name="Tc_m4X4wjfiV02X4oEu18ur5w_13_0"/>
      <w:bookmarkStart w:id="522" w:name="Tc_NyOT9B1-fEGm6MUMa3PYrA_12_0"/>
      <w:bookmarkStart w:id="523" w:name="Tc_hZcgL7lSKE6bU0GDiPlNFQ_11_0"/>
      <w:bookmarkStart w:id="524" w:name="Tc_viBRLz0AJESJAQHkZv9-VQ_10_0"/>
      <w:bookmarkStart w:id="525" w:name="Tc_Y6Ht_wMy_UOIEThMbfp9Xg_9_0"/>
      <w:bookmarkStart w:id="526" w:name="Tc_TGcBMh2S0kqALRnf2KgF5Q_8_0"/>
      <w:bookmarkStart w:id="527" w:name="Tc_bkNlBJEMtEaaYzBguXfb5g_7_0"/>
      <w:bookmarkStart w:id="528" w:name="Tc_-AM5KwpyKUa96gk8A9_ajQ_6_0"/>
      <w:bookmarkStart w:id="529" w:name="Tc_UO7uwjD0dkazOH28E7zWSA_5_5"/>
      <w:bookmarkStart w:id="530" w:name="Tc_P2VxWsy5AUyY3buX7VKBMQ_5_2"/>
      <w:bookmarkStart w:id="531" w:name="Tc_j-KrfdZPb0SGVDlECKdx7g_5_0"/>
      <w:bookmarkStart w:id="532" w:name="Tc_oof2FrDjc0y-9krg3pGE6g_4_0"/>
      <w:bookmarkStart w:id="533" w:name="Tc_UFIa1ediP0GuEtmgbC813Q_3_5"/>
      <w:bookmarkStart w:id="534" w:name="Tc_oWJullVU50-IezJ9Uu6vSg_3_2"/>
      <w:bookmarkStart w:id="535" w:name="Tc_CnvSIPqTQkCsWB2gexs8MA_2_2"/>
      <w:bookmarkStart w:id="536" w:name="Tc_3hNplAg2-kO9iQl6veQLhQ_1_2"/>
      <w:bookmarkStart w:id="537" w:name="_7d757005_d418_4d71_b1e9_3b4e36081218"/>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tbl>
      <w:tblPr>
        <w:tblW w:w="8723" w:type="dxa"/>
        <w:jc w:val="left"/>
        <w:tblInd w:w="0" w:type="dxa"/>
        <w:tblLayout w:type="fixed"/>
        <w:tblCellMar>
          <w:top w:w="0" w:type="dxa"/>
          <w:left w:w="0" w:type="dxa"/>
          <w:bottom w:w="0" w:type="dxa"/>
          <w:right w:w="0" w:type="dxa"/>
        </w:tblCellMar>
      </w:tblPr>
      <w:tblGrid>
        <w:gridCol w:w="5806"/>
        <w:gridCol w:w="346"/>
        <w:gridCol w:w="196"/>
        <w:gridCol w:w="721"/>
        <w:gridCol w:w="346"/>
        <w:gridCol w:w="196"/>
        <w:gridCol w:w="721"/>
        <w:gridCol w:w="391"/>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686810" cy="175260"/>
                      <wp:effectExtent l="0" t="0" r="0" b="0"/>
                      <wp:wrapNone/>
                      <wp:docPr id="63" name="Frame63"/>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57835" cy="175260"/>
                      <wp:effectExtent l="0" t="0" r="0" b="0"/>
                      <wp:wrapNone/>
                      <wp:docPr id="66" name="Frame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7835" cy="175260"/>
                      <wp:effectExtent l="0" t="0" r="0" b="0"/>
                      <wp:wrapNone/>
                      <wp:docPr id="69" name="Frame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48285" cy="175260"/>
                      <wp:effectExtent l="0" t="0" r="0" b="0"/>
                      <wp:wrapNone/>
                      <wp:docPr id="70" name="Frame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9,174</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12,682</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Debt issue cost amortization recorded in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2,860</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Trade receivables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(3,594)</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3,401</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38,435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(3,189)</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on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long-term debt and finance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(22,221)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to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withholdings related to net share settlements of restricted stock</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(24,286)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foreign exchange rate changes on cash</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36,102</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49,915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purchases in accounts payable or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91"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5,094</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pBdr/>
        <w:bidi w:val="0"/>
        <w:spacing w:before="0" w:after="240"/>
        <w:ind w:left="0" w:right="0" w:hanging="360"/>
        <w:jc w:val="left"/>
        <w:rPr>
          <w:rFonts w:ascii="Times New Roman;Times;serif" w:hAnsi="Times New Roman;Times;serif"/>
          <w:sz w:val="20"/>
        </w:rPr>
      </w:pPr>
      <w:bookmarkStart w:id="538" w:name="a1BASISOFPREPARATIONANDPRESENTATION_4600"/>
      <w:bookmarkStart w:id="539" w:name="a1BASISOFPREPARATIONANDPRESENTATION_8119"/>
      <w:bookmarkEnd w:id="538"/>
      <w:bookmarkEnd w:id="539"/>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BASIS OF PREPARATION AND PRESENTATION</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Allient Inc. (“Allient” or the “Company”) is engaged in the business of designing, manufacturing, and selling precision motion, control, power, and structural composites to provide integrated system solutions as well as individual products, to a broad spectrum of customers throughout the world primarily for the industrial, vehicle, medical, and aerospace and defense markets.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include the accounts of the Company and its wholly-owned subsidiaries. All intercompany accounts and transactions have been eliminated in consolidation.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assets and liabilities of the Company’s foreign subsidiaries are translated into U.S. dollars using end of period exchange rates. Changes in reported amounts of assets and liabilities of foreign subsidiaries that occur as a result of changes in exchange rates between the foreign subsidiaries’ functional currencies and the U.S. dollar are included in foreign currency translation adjustment. Foreign currency translation adjustment is included in accumulated other comprehensive loss, a component of stockholders’ equity in the accompanying condensed consolidated statements of stockholders’ equity. Revenue and expense transactions use an average rate prevailing during the month of the related transaction. Transaction gains and losses that arise from exchange rate fluctuations on transactions denominated in a currency other than the functional currency of each of the foreign subsidiaries are included in the results of operations as incurred in other expense, net.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included herein have been prepared by the Company pursuant to the rules and regulations of the Securities and Exchange Commission (“SEC”) and include all adjustments which are, in the opinion of management, necessary for a fair presentation. Certain information and footnote disclosures normally included in financial statements which are prepared in accordance with accounting principles generally accepted in the United States of America (“U.S. GAAP”) have been condensed or omitted pursuant to such rules and regulations. The Company believes that the disclosures herein are adequate to make the information presented not misleading. The financial data for the interim periods may not necessarily be indicative of results to be expected for the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accordance with U.S. GAAP requires management to make certain estimates and assumptions. Such estimates and assumptions affect the reported amounts of assets and liabilities as well as disclosure of contingent assets and liabilities at the date of the condensed consolidated financial statements, and the reported amounts of revenue and expenses during the reporting period. Actual results could differ materially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suggested that the accompanying condensed consolidated financial statements be read in conjunction with the Consolidated Financial Statements and related Notes to such statements included in the Annual Report on Form 10-K for the year ended December 31, 2025 that was previously filed by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This improves financial reporting by requiring that public business entities disclose additional information about specific expense categories in the notes to financial statements at interim and annual reporting periods. The amendments in this update are effective for annual reporting periods beginning after December 15, 2026, and interim reporting periods beginning after December 15, 2027. The Company is assessing the impact of adopting the standard on our consolidated financial statements.</w:t>
      </w:r>
    </w:p>
    <w:p>
      <w:pPr>
        <w:pStyle w:val="TextBody"/>
        <w:bidi w:val="0"/>
        <w:spacing w:before="0" w:after="240"/>
        <w:ind w:left="720" w:right="0" w:hanging="0"/>
        <w:jc w:val="left"/>
        <w:rPr/>
      </w:pPr>
      <w:r>
        <w:rPr/>
        <w:t>​</w:t>
      </w:r>
    </w:p>
    <w:p>
      <w:pPr>
        <w:pStyle w:val="TextBody"/>
        <w:pBdr/>
        <w:bidi w:val="0"/>
        <w:spacing w:before="0" w:after="240"/>
        <w:ind w:left="0" w:right="0" w:hanging="360"/>
        <w:jc w:val="left"/>
        <w:rPr/>
      </w:pPr>
      <w:bookmarkStart w:id="540" w:name="_3069adaf_2015_4df5_a0c3_bc645e1fbe50"/>
      <w:bookmarkEnd w:id="540"/>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2.    REVENUE RECOGNITION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considers control of most products to transfer at a single point in time when control is transferred to the customer, generally when the products are shipped in accordance with an agreement and/or purchase order. Control is defined as the ability to direct the use of and obtain substantially all of the remaining benefits of the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satisfies its performance obligations under a contract with a customer by transferring goods and services in exchange for monetary consideration from the customer. The Company considers the customer’s purchase order, and the Company’s corresponding sales order acknowledgment as the contract with the customer. For some customers, control, and a sale, is transferred at a point in time when the product is delivered to a customer. For a limited number of contracts, for which revenue derived is not material in the periods presented, the Company recognizes revenue over time in proportion to costs incurred, over the life of the term of the performance obligation, or as the performance obligations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Sales, value add, and other taxes the Company collects concurrently with revenue-producing activities are excluded from revenue.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Nature of Goods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designs, manufactures, and sells precision motion, control, power, and structural components to provide integrated system solutions as well as individual products to end customers and original equipment manufacturers (“OEM’s”) through the Company’s own direct sales force and authorized manufacturers’ representatives and distributors. The Company’s products include brushed and brushless DC motors, brushless servo and torque motors, coreless DC motors, integrated brushless motor-drives, gearmotors, gearing, modular digital servo drives, motion controllers, incremental and absolute optical encoders, active and passive filters for power quality and harmonic issues, transformers, and other controlled motion-related products. The Company’s target markets include Industrial, Vehicle, Medical, and Aerospace &amp; Defense.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Determining the Transaction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majority of the Company’s contracts have an original duration of less than one year. For these contracts, the Company applies the practical expedient and therefore does not consider the effects of the time value of money. For multiyear contracts, the Company uses judgment to determine whether there is a significant financing component. Management has identified one contract that includes a significant financing component as of June 30, 2026 and December 31,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Contracts that management determines to include a significant financing component, in which the customer has made an up-front payment, are discounted at the Company’s incremental borrowing rate. The Company incurs interest expense and accrues a contract liability. As the Company satisfies performance obligations and recognizes revenue from these contracts, interest expense is recognized simultaneously.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Contracts that management determines to include a significant financing component, in which revenue recognized for performance obligations that have been satisfied but for which amounts have not been billed, are discounted at a rate that reflects the customer’s creditworthiness. The Company realizes interest income and recognizes a contract asset. Interest income is recognized over the financing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disaggregates revenue from contracts with customers into geographical regions and target markets. The Company determines that disaggregating revenue into these categories achieves the disclosure objective to depict how the nature, amount, timing, and uncertainty of revenue and cash flows are affected by economic factors. As noted below in Note 17, </w:t>
      </w:r>
      <w:r>
        <w:rPr>
          <w:rFonts w:ascii="Times New Roman;Times;serif" w:hAnsi="Times New Roman;Times;serif"/>
          <w:i/>
          <w:sz w:val="20"/>
        </w:rPr>
        <w:t>Segment Information</w:t>
      </w:r>
      <w:r>
        <w:rPr>
          <w:rFonts w:ascii="Times New Roman;Times;serif" w:hAnsi="Times New Roman;Times;serif"/>
          <w:sz w:val="20"/>
        </w:rPr>
        <w:t xml:space="preserve">, the Company’s business consists of one reportable segment. Revenue by geographic region is based on point of shipment origin.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left"/>
        <w:rPr>
          <w:rFonts w:ascii="Times New Roman;Times;serif" w:hAnsi="Times New Roman;Times;serif"/>
          <w:sz w:val="20"/>
        </w:rPr>
      </w:pPr>
      <w:bookmarkStart w:id="541" w:name="_Hlk132296494"/>
      <w:bookmarkStart w:id="542" w:name="Tc_4q22pzCWaU-nMBZTulVAmw_4_5"/>
      <w:bookmarkStart w:id="543" w:name="Tc_CwxCSsyjz0W7nl-bERA7mg_4_2"/>
      <w:bookmarkStart w:id="544" w:name="Tc_JjoKU6ezQ0mo805EDXnuzg_4_0"/>
      <w:bookmarkStart w:id="545" w:name="Tc_-JS-KyruoUqbPfINKAs0Ag_3_6"/>
      <w:bookmarkStart w:id="546" w:name="Tc_yhaIzbDewEqmW4yeQ9eb0Q_3_5"/>
      <w:bookmarkStart w:id="547" w:name="Tc_djSoTxe-ikOfhUW3hMPRWA_3_2"/>
      <w:bookmarkStart w:id="548" w:name="Tc_Ojmh7ZLOS0i-yRAjT3xCNA_3_0"/>
      <w:bookmarkStart w:id="549" w:name="Tc_vTzOS5Y5akCqdoThnoLjXw_2_5"/>
      <w:bookmarkStart w:id="550" w:name="Tc_sL--Kk2VOkOH1xD-NDBD-g_2_2"/>
      <w:bookmarkStart w:id="551" w:name="Tc_LomcET5YOE-DSnFmUPnNWw_1_5"/>
      <w:bookmarkStart w:id="552" w:name="Tc_uv9M7XIArkSWwIr8-F90mQ_1_2"/>
      <w:bookmarkStart w:id="553" w:name="_Hlk116650720"/>
      <w:bookmarkStart w:id="554" w:name="Tc_2JHV8O8bX0-QHDdmVu4wlg_7_11"/>
      <w:bookmarkStart w:id="555" w:name="Tc_kPuPy_GKTUSZ7gJX-cnbDw_7_8"/>
      <w:bookmarkStart w:id="556" w:name="Tc_cD82R3eFEEC7-hkrwN5xXA_7_5"/>
      <w:bookmarkStart w:id="557" w:name="Tc_j3jpJTvq30Owmg6D_Oo2vQ_7_2"/>
      <w:bookmarkStart w:id="558" w:name="Tc_-mM6MTLMdki0P6VxUhO73A_7_0"/>
      <w:bookmarkStart w:id="559" w:name="Tc_VPlGRVi80ketkfQVe-r2TA_6_0"/>
      <w:bookmarkStart w:id="560" w:name="Tc_Y4ju9iUNhkWHkFilri1kFA_5_0"/>
      <w:bookmarkStart w:id="561" w:name="Tc_BB4selouMESgOLBN87Tgeg_4_11"/>
      <w:bookmarkStart w:id="562" w:name="Tc_z6XkHGFHbkSEDqEWiw0ygA_4_8"/>
      <w:bookmarkStart w:id="563" w:name="Tc_M48AawdHVk64oC1dhPoIxA_4_5"/>
      <w:bookmarkStart w:id="564" w:name="Tc_jqChP6xH2UC8Nrd6rSo1gQ_4_2"/>
      <w:bookmarkStart w:id="565" w:name="Tc_KcQUYE2-ik2-VuB0AjGxTQ_4_0"/>
      <w:bookmarkStart w:id="566" w:name="Tc_ToHSwMhfc0uL5TtkVnRsnA_3_11"/>
      <w:bookmarkStart w:id="567" w:name="Tc_uxpsZTjZr0yMBCGq0roFSA_3_8"/>
      <w:bookmarkStart w:id="568" w:name="Tc_f6SIt4K3yEaE37yt62BKuQ_3_5"/>
      <w:bookmarkStart w:id="569" w:name="Tc_MWR3EDVIZ0OI7EQIvG16hQ_3_2"/>
      <w:bookmarkStart w:id="570" w:name="Tc_gt7Mf33fQ0imlRL2hg8G6w_3_0"/>
      <w:bookmarkStart w:id="571" w:name="Tc_GH0A0GIEu027pGSU0pt9lQ_2_8"/>
      <w:bookmarkStart w:id="572" w:name="Tc_FZrycLbda0GS6ksw2EvGqQ_2_2"/>
      <w:bookmarkStart w:id="573" w:name="Tc_sUipkb3qnEyG_poWVCV1Ag_1_8"/>
      <w:bookmarkStart w:id="574" w:name="Tc_kJQeN_chNUOycCqDIwjNJg_1_2"/>
      <w:bookmarkStart w:id="575" w:name="_6fa9af1a_f56b_4a5f_af50_d1ed66b86b82"/>
      <w:bookmarkStart w:id="576" w:name="Tc_ptJ0Isnuq0KlrMJdHpHFiQ_9_11"/>
      <w:bookmarkStart w:id="577" w:name="Tc_RJPqYQkq40qx6ySdjmCpeQ_9_8"/>
      <w:bookmarkStart w:id="578" w:name="Tc__Bb2SOg_ZUambuOcnLjcbA_9_5"/>
      <w:bookmarkStart w:id="579" w:name="Tc_2UdpYOyvlESFaED4sGWSUw_9_2"/>
      <w:bookmarkStart w:id="580" w:name="Tc_chiqntOcH0K_jMrQRYPImw_9_0"/>
      <w:bookmarkStart w:id="581" w:name="Tc_PhgjQKUCXEaMaYKOyJP6cQ_8_0"/>
      <w:bookmarkStart w:id="582" w:name="Tc_Jivo1QUUAUOPVFI8NAJ8pw_7_0"/>
      <w:bookmarkStart w:id="583" w:name="Tc_iXqCviScw0WxXO8un29ECw_6_0"/>
      <w:bookmarkStart w:id="584" w:name="Tc_bFbJo8-ykECTQHAhazLMMQ_5_0"/>
      <w:bookmarkStart w:id="585" w:name="Tc_fH9XBFrAh0KI38b8kBUHTg_4_11"/>
      <w:bookmarkStart w:id="586" w:name="Tc_ZoowZCex0ESMi3XQA9zuTg_4_8"/>
      <w:bookmarkStart w:id="587" w:name="Tc_t4ukkhdQy0iovR0L2yCaOg_4_5"/>
      <w:bookmarkStart w:id="588" w:name="Tc_LtSHHMJeXEa0X91VfaFekg_4_2"/>
      <w:bookmarkStart w:id="589" w:name="Tc_gdjyAFmHp0yeg7tjolytfQ_4_0"/>
      <w:bookmarkStart w:id="590" w:name="Tc_NesOOAsnP0SU9Y9LYzetUg_3_11"/>
      <w:bookmarkStart w:id="591" w:name="Tc_FnQ_vdusJU-NA0LxyoPsXw_3_8"/>
      <w:bookmarkStart w:id="592" w:name="Tc_DEqDPhwS8E-9Xrvtcy-S-A_3_5"/>
      <w:bookmarkStart w:id="593" w:name="Tc_Ez4GD0u8cEuw7OnI5-7ZqA_3_2"/>
      <w:bookmarkStart w:id="594" w:name="Tc_pYNYArK1pk2Q9QqZIkIBlg_3_0"/>
      <w:bookmarkStart w:id="595" w:name="Tc_9Q4gtvdgpESl9khsbF8V1g_2_8"/>
      <w:bookmarkStart w:id="596" w:name="Tc_4JHZv9xBSUqLlHwF3YHj5w_2_2"/>
      <w:bookmarkStart w:id="597" w:name="Tc_RmGsi7678ECANpmKNJ3mjg_1_8"/>
      <w:bookmarkStart w:id="598" w:name="Tc_Nf_DzP0F2kuxFnogkbzF4A_1_2"/>
      <w:bookmarkStart w:id="599" w:name="_4afd453e_af96_4807_a0fb_f91a441dd214"/>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Pr>
          <w:rFonts w:ascii="Times New Roman;Times;serif" w:hAnsi="Times New Roman;Times;serif"/>
          <w:sz w:val="20"/>
        </w:rPr>
        <w:t>A disaggregation of revenue by target market and geography is provided below:</w:t>
      </w:r>
    </w:p>
    <w:p>
      <w:pPr>
        <w:pStyle w:val="TextBody"/>
        <w:bidi w:val="0"/>
        <w:spacing w:before="0" w:after="0"/>
        <w:ind w:left="0" w:right="0" w:hanging="0"/>
        <w:jc w:val="left"/>
        <w:rPr/>
      </w:pPr>
      <w:r>
        <w:rPr/>
        <w:t>​</w:t>
      </w:r>
    </w:p>
    <w:tbl>
      <w:tblPr>
        <w:tblW w:w="7457" w:type="dxa"/>
        <w:jc w:val="left"/>
        <w:tblInd w:w="0" w:type="dxa"/>
        <w:tblLayout w:type="fixed"/>
        <w:tblCellMar>
          <w:top w:w="0" w:type="dxa"/>
          <w:left w:w="0" w:type="dxa"/>
          <w:bottom w:w="0" w:type="dxa"/>
          <w:right w:w="0" w:type="dxa"/>
        </w:tblCellMar>
      </w:tblPr>
      <w:tblGrid>
        <w:gridCol w:w="1951"/>
        <w:gridCol w:w="346"/>
        <w:gridCol w:w="211"/>
        <w:gridCol w:w="781"/>
        <w:gridCol w:w="346"/>
        <w:gridCol w:w="211"/>
        <w:gridCol w:w="781"/>
        <w:gridCol w:w="346"/>
        <w:gridCol w:w="211"/>
        <w:gridCol w:w="781"/>
        <w:gridCol w:w="346"/>
        <w:gridCol w:w="211"/>
        <w:gridCol w:w="781"/>
        <w:gridCol w:w="154"/>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97790" cy="175260"/>
                      <wp:effectExtent l="0" t="0" r="0" b="0"/>
                      <wp:wrapNone/>
                      <wp:docPr id="83" name="Frame8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Target Market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49,694</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Aerospace &amp; Defense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41,997</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272,381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102"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781"/>
        <w:gridCol w:w="346"/>
        <w:gridCol w:w="211"/>
        <w:gridCol w:w="781"/>
        <w:gridCol w:w="346"/>
        <w:gridCol w:w="211"/>
        <w:gridCol w:w="781"/>
        <w:gridCol w:w="154"/>
      </w:tblGrid>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7790" cy="175260"/>
                      <wp:effectExtent l="0" t="0" r="0" b="0"/>
                      <wp:wrapNone/>
                      <wp:docPr id="96" name="Frame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Geography</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 (primarily 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89,149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81,047</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153,770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292,685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272,381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 timing of the Company’s delivery of product is different from the timing of the payments made by customers, the Company recognizes either a contract asset (performance precedes customer payment) or a contract liability (customer payment precedes performance). Typically, contracts are paid in arrears and are recognized as receivables after the Company considers whether a significant financing component exists.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opening and closing balances of the Company’s contract assets and liabilities are as follows:</w:t>
      </w:r>
    </w:p>
    <w:p>
      <w:pPr>
        <w:pStyle w:val="TextBody"/>
        <w:bidi w:val="0"/>
        <w:spacing w:before="0" w:after="0"/>
        <w:ind w:left="0" w:right="0" w:hanging="0"/>
        <w:jc w:val="left"/>
        <w:rPr/>
      </w:pPr>
      <w:r>
        <w:rPr/>
        <w:t>​</w:t>
      </w:r>
    </w:p>
    <w:tbl>
      <w:tblPr>
        <w:tblW w:w="6683" w:type="dxa"/>
        <w:jc w:val="left"/>
        <w:tblInd w:w="0" w:type="dxa"/>
        <w:tblLayout w:type="fixed"/>
        <w:tblCellMar>
          <w:top w:w="0" w:type="dxa"/>
          <w:left w:w="0" w:type="dxa"/>
          <w:bottom w:w="0" w:type="dxa"/>
          <w:right w:w="0" w:type="dxa"/>
        </w:tblCellMar>
      </w:tblPr>
      <w:tblGrid>
        <w:gridCol w:w="4306"/>
        <w:gridCol w:w="346"/>
        <w:gridCol w:w="211"/>
        <w:gridCol w:w="571"/>
        <w:gridCol w:w="109"/>
        <w:gridCol w:w="290"/>
        <w:gridCol w:w="850"/>
      </w:tblGrid>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62585" cy="175260"/>
                      <wp:effectExtent l="0" t="0" r="0" b="0"/>
                      <wp:wrapNone/>
                      <wp:docPr id="97" name="Frame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39750" cy="175260"/>
                      <wp:effectExtent l="0" t="0" r="0" b="0"/>
                      <wp:wrapNone/>
                      <wp:docPr id="98" name="Frame98"/>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 in 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in 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c>
          <w:tcPr>
            <w:tcW w:w="109"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w:t>
            </w:r>
          </w:p>
        </w:tc>
      </w:tr>
      <w:tr>
        <w:trPr/>
        <w:tc>
          <w:tcPr>
            <w:tcW w:w="4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difference between the opening and closing balances of the Company’s contract assets and liabilities primarily results from the timing difference between the Company’s performance and the customer’s payment. In the six months ended June 30, 2026 and 2025, the Company recognized revenue of $1,541 and $868, respectively, that was included in the opening contract liabilities balance.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Payment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contracts with its customers state the final terms of the sale, including the description, quantity, and price of each product or service purchased. Payments are typically due in full within 30-60 days of delivery. Individual contracts with certain customers may include alternative payment schedules. Since the customer agrees to a stated rate and price in the contract that do not vary over the contract, the majority of contracts do not contain variable consideration.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Returns, Refunds, and Warranties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In the normal course of business, the Company does not accept product returns unless the item is defective as manufactured. The Company establishes provisions for estimated returns and warranties. All contracts include a standard warranty clause to guarantee that the product complies with agreed specifications.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pBdr/>
        <w:bidi w:val="0"/>
        <w:spacing w:before="0" w:after="240"/>
        <w:ind w:left="0" w:right="0" w:hanging="360"/>
        <w:jc w:val="left"/>
        <w:rPr>
          <w:rFonts w:ascii="Times New Roman;Times;serif" w:hAnsi="Times New Roman;Times;serif"/>
          <w:sz w:val="20"/>
        </w:rPr>
      </w:pPr>
      <w:bookmarkStart w:id="600" w:name="Tc_SAHe_GxdrkOsshwfiefb6g_6_5"/>
      <w:bookmarkStart w:id="601" w:name="Tc_aE-O33PqlkGG30eMc7x-kg_6_2"/>
      <w:bookmarkStart w:id="602" w:name="Tc_VheTy--8hkC2_10cceZnCw_5_0"/>
      <w:bookmarkStart w:id="603" w:name="Tc_xqeYtgja1kSRHA9Npxp-ww_4_0"/>
      <w:bookmarkStart w:id="604" w:name="Tc_eW_4-z0RLUemPuPdsdo21g_3_5"/>
      <w:bookmarkStart w:id="605" w:name="Tc_7heK_iooUkmmJNcgaVQNow_3_2"/>
      <w:bookmarkStart w:id="606" w:name="Tc_v6ObccIr-UmiFj_2ReAWYg_3_0"/>
      <w:bookmarkStart w:id="607" w:name="Tc_ZdfRNnf17EKp1PP1b9xy4w_2_5"/>
      <w:bookmarkStart w:id="608" w:name="Tc_jUjtDOH3IkyAhLVGoeeTOg_2_2"/>
      <w:bookmarkStart w:id="609" w:name="Tc_mJhRhgbeCEuxAme5FIiEdg_1_5"/>
      <w:bookmarkStart w:id="610" w:name="Tc_S6XOpNFru0KH8ZtPyYp5WA_1_2"/>
      <w:bookmarkEnd w:id="600"/>
      <w:bookmarkEnd w:id="601"/>
      <w:bookmarkEnd w:id="602"/>
      <w:bookmarkEnd w:id="603"/>
      <w:bookmarkEnd w:id="604"/>
      <w:bookmarkEnd w:id="605"/>
      <w:bookmarkEnd w:id="606"/>
      <w:bookmarkEnd w:id="607"/>
      <w:bookmarkEnd w:id="608"/>
      <w:bookmarkEnd w:id="609"/>
      <w:bookmarkEnd w:id="610"/>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INVENTORIES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include costs of materials, direct labor and manufacturing overhead, and are stated at the lower of cost (first-in, first-out basis) or net realizable value, as follows:</w:t>
      </w:r>
    </w:p>
    <w:p>
      <w:pPr>
        <w:pStyle w:val="TextBody"/>
        <w:bidi w:val="0"/>
        <w:spacing w:before="0" w:after="0"/>
        <w:ind w:left="0" w:right="0" w:hanging="0"/>
        <w:jc w:val="left"/>
        <w:rPr/>
      </w:pPr>
      <w:r>
        <w:rPr/>
        <w:t>​</w:t>
      </w:r>
    </w:p>
    <w:tbl>
      <w:tblPr>
        <w:tblW w:w="4835" w:type="dxa"/>
        <w:jc w:val="left"/>
        <w:tblInd w:w="0" w:type="dxa"/>
        <w:tblLayout w:type="fixed"/>
        <w:tblCellMar>
          <w:top w:w="0" w:type="dxa"/>
          <w:left w:w="0" w:type="dxa"/>
          <w:bottom w:w="0" w:type="dxa"/>
          <w:right w:w="0" w:type="dxa"/>
        </w:tblCellMar>
      </w:tblPr>
      <w:tblGrid>
        <w:gridCol w:w="1966"/>
        <w:gridCol w:w="346"/>
        <w:gridCol w:w="211"/>
        <w:gridCol w:w="781"/>
        <w:gridCol w:w="346"/>
        <w:gridCol w:w="228"/>
        <w:gridCol w:w="957"/>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8410" cy="175260"/>
                      <wp:effectExtent l="0" t="0" r="0" b="0"/>
                      <wp:wrapNone/>
                      <wp:docPr id="99" name="Frame99"/>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4780" cy="175260"/>
                      <wp:effectExtent l="0" t="0" r="0" b="0"/>
                      <wp:wrapNone/>
                      <wp:docPr id="104" name="Frame10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07695" cy="175260"/>
                      <wp:effectExtent l="0" t="0" r="0" b="0"/>
                      <wp:wrapNone/>
                      <wp:docPr id="105" name="Frame10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Parts and 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86,122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82,875</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10,602</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18,887</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15,721</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117,908</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109,198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611" w:name="Tc_qWFS31EwpkaIxzi4FXPUZA_10_7"/>
      <w:bookmarkStart w:id="612" w:name="Tc_Trh7YEJdDEaIbBX89413_w_10_4"/>
      <w:bookmarkStart w:id="613" w:name="Tc_W7GWpaIMjkexivobpXrQ5Q_10_0"/>
      <w:bookmarkStart w:id="614" w:name="Tc_lAk9WnKk1Uq4CU1Tqwgmbg_9_0"/>
      <w:bookmarkStart w:id="615" w:name="Tc_xZAi1Q530k-j2bZ1lqT1ng_7_2"/>
      <w:bookmarkStart w:id="616" w:name="Tc_OWB8CZpMm0Wq2LqzbO0NKA_7_0"/>
      <w:bookmarkStart w:id="617" w:name="Tc_z-HIN7Ae9kq3mjjaKz5P3A_6_0"/>
      <w:bookmarkStart w:id="618" w:name="Tc_gm0XDmatpUaPox8XVPJMpw_5_2"/>
      <w:bookmarkStart w:id="619" w:name="Tc_v9lroLWzKkulkVPEzMJ9hA_5_0"/>
      <w:bookmarkStart w:id="620" w:name="Tc_Xb31PAQ0cU-9RT_IlXlpgw_4_2"/>
      <w:bookmarkStart w:id="621" w:name="Tc_C1ekxyLsi0SulaFgNdBftw_4_0"/>
      <w:bookmarkStart w:id="622" w:name="Tc_MQm36GdsWUua773jH5NPSQ_3_7"/>
      <w:bookmarkStart w:id="623" w:name="Tc_AuQyMz2CCUCziB8s_VrKqg_3_4"/>
      <w:bookmarkStart w:id="624" w:name="Tc_Y72y-a-wLkygDuE-bE-AqQ_3_0"/>
      <w:bookmarkStart w:id="625" w:name="Tc_DMPWpsAfzkamwzoi8k4q2w_2_7"/>
      <w:bookmarkStart w:id="626" w:name="Tc_aBC2-UUcM0mS0tJMefQRtw_2_4"/>
      <w:bookmarkStart w:id="627" w:name="Tc_2BqZaVQ8h0yKCKXJ9IuSbQ_2_2"/>
      <w:bookmarkStart w:id="628" w:name="Tc_eXeALH6YlEOun6mL_74vSw_1_7"/>
      <w:bookmarkStart w:id="629" w:name="Tc_de3wvBhgAkaYWGgjeBlnHg_1_4"/>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ascii="Times New Roman;Times;serif" w:hAnsi="Times New Roman;Times;serif"/>
          <w:b/>
          <w:sz w:val="20"/>
        </w:rPr>
        <w:t>4.    PROPERTY, PLANT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is classified as follows:</w:t>
      </w:r>
    </w:p>
    <w:p>
      <w:pPr>
        <w:pStyle w:val="TextBody"/>
        <w:bidi w:val="0"/>
        <w:spacing w:before="0" w:after="0"/>
        <w:ind w:left="0" w:right="0" w:hanging="0"/>
        <w:jc w:val="left"/>
        <w:rPr/>
      </w:pPr>
      <w:r>
        <w:rPr/>
        <w:t>​</w:t>
      </w:r>
    </w:p>
    <w:tbl>
      <w:tblPr>
        <w:tblW w:w="7552" w:type="dxa"/>
        <w:jc w:val="left"/>
        <w:tblInd w:w="0" w:type="dxa"/>
        <w:tblLayout w:type="fixed"/>
        <w:tblCellMar>
          <w:top w:w="0" w:type="dxa"/>
          <w:left w:w="0" w:type="dxa"/>
          <w:bottom w:w="0" w:type="dxa"/>
          <w:right w:w="0" w:type="dxa"/>
        </w:tblCellMar>
      </w:tblPr>
      <w:tblGrid>
        <w:gridCol w:w="3181"/>
        <w:gridCol w:w="346"/>
        <w:gridCol w:w="1036"/>
        <w:gridCol w:w="346"/>
        <w:gridCol w:w="211"/>
        <w:gridCol w:w="901"/>
        <w:gridCol w:w="346"/>
        <w:gridCol w:w="216"/>
        <w:gridCol w:w="969"/>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19935" cy="175260"/>
                      <wp:effectExtent l="0" t="0" r="0" b="0"/>
                      <wp:wrapNone/>
                      <wp:docPr id="106" name="Frame10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57860" cy="175260"/>
                      <wp:effectExtent l="0" t="0" r="0" b="0"/>
                      <wp:wrapNone/>
                      <wp:docPr id="108" name="Frame1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2135" cy="175260"/>
                      <wp:effectExtent l="0" t="0" r="0" b="0"/>
                      <wp:wrapNone/>
                      <wp:docPr id="111" name="Frame1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7160" cy="175260"/>
                      <wp:effectExtent l="0" t="0" r="0" b="0"/>
                      <wp:wrapNone/>
                      <wp:docPr id="113" name="Frame11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15315" cy="175260"/>
                      <wp:effectExtent l="0" t="0" r="0" b="0"/>
                      <wp:wrapNone/>
                      <wp:docPr id="114" name="Frame114"/>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lives</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5 - 39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30,559</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30,215</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equipment, tools and dies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3 - 15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122,875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121,774</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5,251</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3 - 10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26,471</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187,273</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181,894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(124,926)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(120,123)</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62,347</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61,771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 was $3,058 and $3,276 for the three months ended June 30, 2026 and 2025, respectively. For the six months ended June 30, 2026 and 2025, depreciation expense was $6,145 and $6,464, respectively.</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630" w:name="Tc_6EkFERz-bE27bwQMvyI3Xg_5_1"/>
      <w:bookmarkStart w:id="631" w:name="Tc_c5Ha84l0I0K8VdfHx3SAgQ_5_0"/>
      <w:bookmarkStart w:id="632" w:name="Tc_05kQ2psGHE6qWnxp5UCH7w_4_0"/>
      <w:bookmarkStart w:id="633" w:name="Tc_MgSJudUxXk6xwei7TSIiIQ_3_1"/>
      <w:bookmarkStart w:id="634" w:name="Tc_3Xk2tZZ38UC2K-54T91Yog_3_0"/>
      <w:bookmarkStart w:id="635" w:name="Tc_FN0a8jcdHkeFD0J5U4F9uQ_2_2"/>
      <w:bookmarkStart w:id="636" w:name="Tc_WIiErYBtuEuRt3iU7qNhMQ_1_2"/>
      <w:bookmarkEnd w:id="630"/>
      <w:bookmarkEnd w:id="631"/>
      <w:bookmarkEnd w:id="632"/>
      <w:bookmarkEnd w:id="633"/>
      <w:bookmarkEnd w:id="634"/>
      <w:bookmarkEnd w:id="635"/>
      <w:bookmarkEnd w:id="636"/>
      <w:r>
        <w:rPr>
          <w:rFonts w:ascii="Times New Roman;Times;serif" w:hAnsi="Times New Roman;Times;serif"/>
          <w:b/>
          <w:sz w:val="20"/>
        </w:rPr>
        <w:t>5.    GOODWILL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 in the carrying amount of goodwill for the six months ended June 30, 2026 is as follows:</w:t>
      </w:r>
    </w:p>
    <w:p>
      <w:pPr>
        <w:pStyle w:val="TextBody"/>
        <w:bidi w:val="0"/>
        <w:spacing w:before="0" w:after="0"/>
        <w:ind w:left="0" w:right="0" w:hanging="0"/>
        <w:jc w:val="left"/>
        <w:rPr/>
      </w:pPr>
      <w:r>
        <w:rPr/>
        <w:t>​</w:t>
      </w:r>
    </w:p>
    <w:tbl>
      <w:tblPr>
        <w:tblW w:w="4203" w:type="dxa"/>
        <w:jc w:val="left"/>
        <w:tblInd w:w="0" w:type="dxa"/>
        <w:tblLayout w:type="fixed"/>
        <w:tblCellMar>
          <w:top w:w="0" w:type="dxa"/>
          <w:left w:w="0" w:type="dxa"/>
          <w:bottom w:w="0" w:type="dxa"/>
          <w:right w:w="0" w:type="dxa"/>
        </w:tblCellMar>
      </w:tblPr>
      <w:tblGrid>
        <w:gridCol w:w="3106"/>
        <w:gridCol w:w="211"/>
        <w:gridCol w:w="88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72310" cy="175260"/>
                      <wp:effectExtent l="0" t="0" r="0" b="0"/>
                      <wp:wrapNone/>
                      <wp:docPr id="115" name="Frame115"/>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2610" cy="175260"/>
                      <wp:effectExtent l="0" t="0" r="0" b="0"/>
                      <wp:wrapNone/>
                      <wp:docPr id="117" name="Frame1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134,332</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currency translation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left"/>
        <w:rPr>
          <w:rFonts w:ascii="Times New Roman;Times;serif" w:hAnsi="Times New Roman;Times;serif"/>
          <w:b/>
          <w:sz w:val="20"/>
        </w:rPr>
      </w:pPr>
      <w:bookmarkStart w:id="637" w:name="Tc_JdeDsh0KD0mb4-tryDomig_10_2"/>
      <w:bookmarkStart w:id="638" w:name="Tc_-dyL2EOeKkeMLFuO_sGwQg_10_0"/>
      <w:bookmarkStart w:id="639" w:name="Tc_sZIa5iFDnEKdrhRRZFtaCw_9_0"/>
      <w:bookmarkStart w:id="640" w:name="Tc_V861hXIiN0ami8G1BTUk6A_8_0"/>
      <w:bookmarkStart w:id="641" w:name="Tc_vKz27Dtrc06AmI0f9ShTUQ_7_0"/>
      <w:bookmarkStart w:id="642" w:name="Tc_05DwfmBcLUyx5vB7bdF5Iw_6_0"/>
      <w:bookmarkStart w:id="643" w:name="Tc_TcNmntwr-k2Zhs6xwyoPBA_5_0"/>
      <w:bookmarkStart w:id="644" w:name="Tc_ydwDhbr19U6HVgS9iRLTlw_4_0"/>
      <w:bookmarkStart w:id="645" w:name="Tc_IdG2UIVuLEuKOBfzvogNXw_3_2"/>
      <w:bookmarkStart w:id="646" w:name="Tc_mGx18v-kYkeiHBIAjHS72Q_3_0"/>
      <w:bookmarkStart w:id="647" w:name="Tc_sEM41PIK40uKaCtLvaXzig_2_2"/>
      <w:bookmarkStart w:id="648" w:name="Tc_l81CqzwzQkaDRRGYZa5kmw_1_2"/>
      <w:bookmarkStart w:id="649" w:name="Tc_SQrP3_LF_UScWpAzL9OHVg_7_19"/>
      <w:bookmarkStart w:id="650" w:name="Tc_QsJ7wJRYrEOc4pQnxpMW1A_7_16"/>
      <w:bookmarkStart w:id="651" w:name="Tc_bfTIcSAuw0aZgIdkssQeeA_7_13"/>
      <w:bookmarkStart w:id="652" w:name="Tc_BT6cCiI4R0aDUHlOFodf9w_7_10"/>
      <w:bookmarkStart w:id="653" w:name="Tc_TPbfTjP9_0ePywYfZscYQA_7_7"/>
      <w:bookmarkStart w:id="654" w:name="Tc_mBTEOPM2P0KCGrKFJfbhRA_7_4"/>
      <w:bookmarkStart w:id="655" w:name="Tc_CrR8ay4B506TUt03DpGX6w_7_0"/>
      <w:bookmarkStart w:id="656" w:name="Tc_k-EytY-7o0yKYjr_329YJA_6_2"/>
      <w:bookmarkStart w:id="657" w:name="Tc_sALBIff2EECXt7yKwPiv_A_6_0"/>
      <w:bookmarkStart w:id="658" w:name="Tc_Tls80jP7GE6FVRjruOtvYA_5_2"/>
      <w:bookmarkStart w:id="659" w:name="Tc_sJpiYstN5UWaCjK54ruz_A_5_0"/>
      <w:bookmarkStart w:id="660" w:name="Tc_2f0ueCDG8EqR8tYDwN0B0g_4_19"/>
      <w:bookmarkStart w:id="661" w:name="Tc_DdEUDwFlgE-uTLsDCTQpzw_4_16"/>
      <w:bookmarkStart w:id="662" w:name="Tc_Wq77F0Ak10Wuh23iOhp6dQ_4_13"/>
      <w:bookmarkStart w:id="663" w:name="Tc_js52pdtm5Ey6j1A6iyJfQw_4_10"/>
      <w:bookmarkStart w:id="664" w:name="Tc_GjvcGsKtj0WU3990X_rkzA_4_7"/>
      <w:bookmarkStart w:id="665" w:name="Tc_rGASG3oAe0SLF1cmGHCWlQ_4_4"/>
      <w:bookmarkStart w:id="666" w:name="Tc_SRGC8qTb4kCTlqs0tqBVFA_4_2"/>
      <w:bookmarkStart w:id="667" w:name="Tc_zydrsEMh_0yFgjdH95y23g_4_0"/>
      <w:bookmarkStart w:id="668" w:name="Tc_Jxal49w_PUOEqNrQ6Sv2sA_3_19"/>
      <w:bookmarkStart w:id="669" w:name="Tc_amoBfO9CZUqzZto2HW_ZJQ_3_16"/>
      <w:bookmarkStart w:id="670" w:name="Tc_0x5VyKVsdUWS7hMypuk4XA_3_13"/>
      <w:bookmarkStart w:id="671" w:name="Tc_P10znJxceUS-kaHt23OlsQ_3_10"/>
      <w:bookmarkStart w:id="672" w:name="Tc_Rn9i8wDvtUya4rc3c-fyGw_3_7"/>
      <w:bookmarkStart w:id="673" w:name="Tc_meEYNpKJlUWfD-q-BDd43A_3_4"/>
      <w:bookmarkStart w:id="674" w:name="Tc_lVfLxtcyZEGx8JIcBJckdw_3_2"/>
      <w:bookmarkStart w:id="675" w:name="Tc_GRyTmWClaUC5Q3QJra0yVA_2_19"/>
      <w:bookmarkStart w:id="676" w:name="Tc_fGV0nW0Ee0WMAjj7hn9ang_2_16"/>
      <w:bookmarkStart w:id="677" w:name="Tc_aLZxEGKAv0CzJAcbShVk8g_2_13"/>
      <w:bookmarkStart w:id="678" w:name="Tc_s_AYmhRrOku5U1bTmw80hw_2_10"/>
      <w:bookmarkStart w:id="679" w:name="Tc_HSvkrkmJDkSL9mAghYF3JA_2_7"/>
      <w:bookmarkStart w:id="680" w:name="Tc_skfRVF9D4UyP-F1kadtmEQ_2_4"/>
      <w:bookmarkStart w:id="681" w:name="Tc_IxlbgrfapkaoqA1XRjwoxw_2_2"/>
      <w:bookmarkStart w:id="682" w:name="Tc_xjm8bgvwXkGusi36r738bA_1_13"/>
      <w:bookmarkStart w:id="683" w:name="Tc_iiMN44bCMka_-_K8Ty8L4w_1_4"/>
      <w:bookmarkStart w:id="684" w:name="Tc_qPhm4WrxZUyWlkglvIcjqA_1_2"/>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rFonts w:ascii="Times New Roman;Times;serif" w:hAnsi="Times New Roman;Times;serif"/>
          <w:b/>
          <w:sz w:val="20"/>
        </w:rPr>
        <w:t>6.    INTANGIBLE ASSETS</w:t>
      </w:r>
    </w:p>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on the Company’s condensed consolidated balance sheets consist of the following:</w:t>
      </w:r>
    </w:p>
    <w:p>
      <w:pPr>
        <w:pStyle w:val="TextBody"/>
        <w:bidi w:val="0"/>
        <w:spacing w:before="0" w:after="0"/>
        <w:ind w:left="0" w:right="0" w:hanging="0"/>
        <w:jc w:val="left"/>
        <w:rPr/>
      </w:pPr>
      <w:r>
        <w:rPr/>
        <w:t>​</w:t>
      </w:r>
    </w:p>
    <w:tbl>
      <w:tblPr>
        <w:tblW w:w="10639" w:type="dxa"/>
        <w:jc w:val="left"/>
        <w:tblInd w:w="0" w:type="dxa"/>
        <w:tblLayout w:type="fixed"/>
        <w:tblCellMar>
          <w:top w:w="0" w:type="dxa"/>
          <w:left w:w="0" w:type="dxa"/>
          <w:bottom w:w="0" w:type="dxa"/>
          <w:right w:w="0" w:type="dxa"/>
        </w:tblCellMar>
      </w:tblPr>
      <w:tblGrid>
        <w:gridCol w:w="1171"/>
        <w:gridCol w:w="346"/>
        <w:gridCol w:w="1081"/>
        <w:gridCol w:w="346"/>
        <w:gridCol w:w="211"/>
        <w:gridCol w:w="781"/>
        <w:gridCol w:w="346"/>
        <w:gridCol w:w="240"/>
        <w:gridCol w:w="841"/>
        <w:gridCol w:w="346"/>
        <w:gridCol w:w="211"/>
        <w:gridCol w:w="676"/>
        <w:gridCol w:w="346"/>
        <w:gridCol w:w="211"/>
        <w:gridCol w:w="781"/>
        <w:gridCol w:w="346"/>
        <w:gridCol w:w="240"/>
        <w:gridCol w:w="841"/>
        <w:gridCol w:w="346"/>
        <w:gridCol w:w="211"/>
        <w:gridCol w:w="72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43585" cy="175260"/>
                      <wp:effectExtent l="0" t="0" r="0" b="0"/>
                      <wp:wrapNone/>
                      <wp:docPr id="118" name="Frame11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86435" cy="175260"/>
                      <wp:effectExtent l="0" t="0" r="0" b="0"/>
                      <wp:wrapNone/>
                      <wp:docPr id="120" name="Frame12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3" name="Frame1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2400" cy="175260"/>
                      <wp:effectExtent l="0" t="0" r="0" b="0"/>
                      <wp:wrapNone/>
                      <wp:docPr id="125" name="Frame12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34035" cy="175260"/>
                      <wp:effectExtent l="0" t="0" r="0" b="0"/>
                      <wp:wrapNone/>
                      <wp:docPr id="126" name="Frame12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9260" cy="175260"/>
                      <wp:effectExtent l="0" t="0" r="0" b="0"/>
                      <wp:wrapNone/>
                      <wp:docPr id="129"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95935" cy="175260"/>
                      <wp:effectExtent l="0" t="0" r="0" b="0"/>
                      <wp:wrapNone/>
                      <wp:docPr id="132" name="Frame1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2400" cy="175260"/>
                      <wp:effectExtent l="0" t="0" r="0" b="0"/>
                      <wp:wrapNone/>
                      <wp:docPr id="134" name="Frame13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34035" cy="175260"/>
                      <wp:effectExtent l="0" t="0" r="0" b="0"/>
                      <wp:wrapNone/>
                      <wp:docPr id="135" name="Frame1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57835" cy="175260"/>
                      <wp:effectExtent l="0" t="0" r="0" b="0"/>
                      <wp:wrapNone/>
                      <wp:docPr id="138" name="Frame1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36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36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14.1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117,084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58,921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16,105</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 and technologies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174,942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176,264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88,391</w:t>
            </w:r>
          </w:p>
        </w:tc>
      </w:tr>
      <w:tr>
        <w:trPr/>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for intangible assets was $3,133 and $3,125 for the three months ended June 30, 2026 and 2025, respectively. For the six months ended June 30, 2026 and 2025, amortization expense was $6,256 and $6,218,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Estimated future intangible asset amortization expense as of June 30, 2026 is as follows:</w:t>
      </w:r>
    </w:p>
    <w:p>
      <w:pPr>
        <w:pStyle w:val="TextBody"/>
        <w:bidi w:val="0"/>
        <w:spacing w:before="0" w:after="0"/>
        <w:ind w:left="0" w:right="0" w:hanging="0"/>
        <w:jc w:val="left"/>
        <w:rPr/>
      </w:pPr>
      <w:r>
        <w:rPr/>
        <w:t>​</w:t>
      </w:r>
    </w:p>
    <w:tbl>
      <w:tblPr>
        <w:tblW w:w="5267" w:type="dxa"/>
        <w:jc w:val="left"/>
        <w:tblInd w:w="0" w:type="dxa"/>
        <w:tblLayout w:type="fixed"/>
        <w:tblCellMar>
          <w:top w:w="0" w:type="dxa"/>
          <w:left w:w="0" w:type="dxa"/>
          <w:bottom w:w="0" w:type="dxa"/>
          <w:right w:w="0" w:type="dxa"/>
        </w:tblCellMar>
      </w:tblPr>
      <w:tblGrid>
        <w:gridCol w:w="3166"/>
        <w:gridCol w:w="346"/>
        <w:gridCol w:w="396"/>
        <w:gridCol w:w="1359"/>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10410" cy="175260"/>
                      <wp:effectExtent l="0" t="0" r="0" b="0"/>
                      <wp:wrapNone/>
                      <wp:docPr id="139" name="Frame13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51460" cy="175260"/>
                      <wp:effectExtent l="0" t="0" r="0" b="0"/>
                      <wp:wrapNone/>
                      <wp:docPr id="141" name="Frame14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62965" cy="175260"/>
                      <wp:effectExtent l="0" t="0" r="0" b="0"/>
                      <wp:wrapNone/>
                      <wp:docPr id="142" name="Frame142"/>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Estimated </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0"/>
              <w:ind w:left="0" w:right="0" w:hanging="0"/>
              <w:jc w:val="left"/>
              <w:rPr/>
            </w:pPr>
            <w:r>
              <w:rPr/>
              <w:t>  ​ ​ ​</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Expense</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 </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11,888</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9,496</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33,492</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estimated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81,475</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b/>
          <w:sz w:val="20"/>
        </w:rPr>
        <w:t>7.</w:t>
      </w:r>
      <w:r>
        <w:rPr>
          <w:rFonts w:ascii="Times New Roman;Times;serif" w:hAnsi="Times New Roman;Times;serif"/>
          <w:sz w:val="20"/>
        </w:rPr>
        <w:t>    </w:t>
      </w: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Stock Incentive Plans provide for the granting of stock awards, including restricted stock, stock options and stock appreciation rights, to employees and non-employees, including directors of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six months ended June 30, 2026, 93,638 shares of unvested restricted stock were awarded at a weighted average market value of $62.74. Of the restricted shares granted, 37,912 shares have performance-based vesting conditions. Stock-based compensation expense for awards with performance-based vesting conditions are reassessed each reporting period and recognized as expense based upon the probability that performance will be achieved. The value of the remaining shares awarded expected to vest is amortized to compensation expense over the related service period, which is normally three years, or over the estimated performance period. Shares of unvested restricted stock are generally forfeited if a recipient leaves the Company before the vesting date. Shares that are forfeited become available for future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left"/>
        <w:rPr>
          <w:rFonts w:ascii="Times New Roman;Times;serif" w:hAnsi="Times New Roman;Times;serif"/>
          <w:sz w:val="20"/>
        </w:rPr>
      </w:pPr>
      <w:bookmarkStart w:id="685" w:name="Tc_QzwHye6qGUKlffT0xisJZg_7_0"/>
      <w:bookmarkStart w:id="686" w:name="Tc_HTAsTuk6R0OFnKQ050G7CA_6_0"/>
      <w:bookmarkStart w:id="687" w:name="Tc_1z3nsdda70CmualnEJYN9w_5_0"/>
      <w:bookmarkStart w:id="688" w:name="Tc_Vz2YA3AeQk6GO51pqYrJDQ_4_0"/>
      <w:bookmarkStart w:id="689" w:name="Tc_fTK9dxG6J0iumnbHbY7dZg_3_0"/>
      <w:bookmarkStart w:id="690" w:name="Tc_XnU3ASFf0EOMxVDFuJiULw_2_2"/>
      <w:bookmarkStart w:id="691" w:name="Tc_NJA1a-ssi0-T0NVrxDfi6w_1_2"/>
      <w:bookmarkStart w:id="692" w:name="_1e05758f_6176_4473_a0e5_8125f42d5822"/>
      <w:bookmarkEnd w:id="685"/>
      <w:bookmarkEnd w:id="686"/>
      <w:bookmarkEnd w:id="687"/>
      <w:bookmarkEnd w:id="688"/>
      <w:bookmarkEnd w:id="689"/>
      <w:bookmarkEnd w:id="690"/>
      <w:bookmarkEnd w:id="691"/>
      <w:bookmarkEnd w:id="692"/>
      <w:r>
        <w:rPr>
          <w:rFonts w:ascii="Times New Roman;Times;serif" w:hAnsi="Times New Roman;Times;serif"/>
          <w:sz w:val="20"/>
        </w:rPr>
        <w:t>The following is a summary of restricted stock activity for the six months ended June 30, 2026:</w:t>
      </w:r>
    </w:p>
    <w:p>
      <w:pPr>
        <w:pStyle w:val="TextBody"/>
        <w:bidi w:val="0"/>
        <w:spacing w:before="0" w:after="0"/>
        <w:ind w:left="0" w:right="0" w:hanging="0"/>
        <w:jc w:val="left"/>
        <w:rPr/>
      </w:pPr>
      <w:r>
        <w:rPr/>
        <w:t>​</w:t>
      </w:r>
    </w:p>
    <w:tbl>
      <w:tblPr>
        <w:tblW w:w="4278" w:type="dxa"/>
        <w:jc w:val="left"/>
        <w:tblInd w:w="0" w:type="dxa"/>
        <w:tblLayout w:type="fixed"/>
        <w:tblCellMar>
          <w:top w:w="0" w:type="dxa"/>
          <w:left w:w="0" w:type="dxa"/>
          <w:bottom w:w="0" w:type="dxa"/>
          <w:right w:w="0" w:type="dxa"/>
        </w:tblCellMar>
      </w:tblPr>
      <w:tblGrid>
        <w:gridCol w:w="2986"/>
        <w:gridCol w:w="346"/>
        <w:gridCol w:w="94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96110" cy="175260"/>
                      <wp:effectExtent l="0" t="0" r="0" b="0"/>
                      <wp:wrapNone/>
                      <wp:docPr id="143" name="Frame14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00710" cy="175260"/>
                      <wp:effectExtent l="0" t="0" r="0" b="0"/>
                      <wp:wrapNone/>
                      <wp:docPr id="145" name="Frame14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234,370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Awarded</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93,638</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(111,816)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(16,520)</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end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199,672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net of forfeitures, of $998 and $835 was recorded for the three months ended June 30, 2026 and 2025, respectively. For the six months ended June 30, 2026 and 2025, stock-based compensation expense, net of forfeitures, of $1,845 and $1,755 was recorded, respectively.</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693" w:name="Tc_XjblLiXa0ke1POtWuY6rIg_11_2"/>
      <w:bookmarkStart w:id="694" w:name="Tc_KSx9wOKRb0iJUf4qq4paFg_11_0"/>
      <w:bookmarkStart w:id="695" w:name="Tc_Tl9WQ3jkP0SkE-07LHpOEA_10_0"/>
      <w:bookmarkStart w:id="696" w:name="Tc_KmJP-85r_0qZqYkspf1yig_9_0"/>
      <w:bookmarkStart w:id="697" w:name="Tc_4EM-h5x6C0SOTaN1jGS30Q_8_2"/>
      <w:bookmarkStart w:id="698" w:name="Tc_CMGOcAh_M02x4_YCOiwpng_8_0"/>
      <w:bookmarkStart w:id="699" w:name="Tc_VW0uU_P8ykCfKwF642fqGg_7_0"/>
      <w:bookmarkStart w:id="700" w:name="Tc_TXIFPFvfTkanm5dwm0903A_6_0"/>
      <w:bookmarkStart w:id="701" w:name="Tc_b9ntZ9dRXkyegx-gG8a5vQ_5_2"/>
      <w:bookmarkStart w:id="702" w:name="Tc_wUqr1Z0cMU-2KwSZVrC4Pw_5_0"/>
      <w:bookmarkStart w:id="703" w:name="Tc_aPOTensuPUS3XdPGTLQr3A_3_2"/>
      <w:bookmarkStart w:id="704" w:name="Tc_y5JqwLhp1kinUKxjmH49IA_2_2"/>
      <w:bookmarkStart w:id="705" w:name="Tc_jswDyDNUq0ei-tRV3Y_I3w_11_5"/>
      <w:bookmarkStart w:id="706" w:name="Tc_O2Ux0v70OEC-oUiIoIUCXA_11_2"/>
      <w:bookmarkStart w:id="707" w:name="Tc_m0XIJqdLQUKBL_Y-8gIDqg_10_0"/>
      <w:bookmarkStart w:id="708" w:name="Tc_aP7FD29HDEWqvlk1hk4pwA_9_0"/>
      <w:bookmarkStart w:id="709" w:name="Tc_Vn_ruAN8vECjdh9od28tbg_8_0"/>
      <w:bookmarkStart w:id="710" w:name="Tc_f5a2Hov5oUill7buXc4STQ_5_0"/>
      <w:bookmarkStart w:id="711" w:name="Tc_clLjTlz7WkGmUzLQTep5Cw_4_0"/>
      <w:bookmarkStart w:id="712" w:name="Tc_sv0nyDnj0EGb3Vz46f5bpw_3_5"/>
      <w:bookmarkStart w:id="713" w:name="Tc_JaYTqlDVIEOU5IT9zU4JSQ_3_2"/>
      <w:bookmarkStart w:id="714" w:name="Tc_D5qsKYX_Lk2WF_QkzOAh7A_3_0"/>
      <w:bookmarkStart w:id="715" w:name="Tc_P8Fy35v1lEigqwg2rNqL9g_2_5"/>
      <w:bookmarkStart w:id="716" w:name="Tc_qKjWoEWIwkGWGgcJbWWkGg_2_2"/>
      <w:bookmarkStart w:id="717" w:name="Tc_XJ7B7RUnakOGj48yR4JvSQ_1_5"/>
      <w:bookmarkStart w:id="718" w:name="Tc_G9c_dMfUokmTtp-YZcLYlA_1_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Pr>
          <w:rFonts w:ascii="Times New Roman;Times;serif" w:hAnsi="Times New Roman;Times;serif"/>
          <w:b/>
          <w:sz w:val="20"/>
        </w:rPr>
        <w:t>8.    ACCRUED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consist of the following:</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2971"/>
        <w:gridCol w:w="346"/>
        <w:gridCol w:w="211"/>
        <w:gridCol w:w="676"/>
        <w:gridCol w:w="346"/>
        <w:gridCol w:w="252"/>
        <w:gridCol w:w="933"/>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86585" cy="175260"/>
                      <wp:effectExtent l="0" t="0" r="0" b="0"/>
                      <wp:wrapNone/>
                      <wp:docPr id="146" name="Frame14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0020" cy="175260"/>
                      <wp:effectExtent l="0" t="0" r="0" b="0"/>
                      <wp:wrapNone/>
                      <wp:docPr id="151" name="Frame15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92455" cy="175260"/>
                      <wp:effectExtent l="0" t="0" r="0" b="0"/>
                      <wp:wrapNone/>
                      <wp:docPr id="152" name="Frame15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fringe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20,498</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reserve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obligations –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related accruals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w:t>
            </w:r>
          </w:p>
        </w:tc>
      </w:tr>
      <w:tr>
        <w:trPr/>
        <w:tc>
          <w:tcPr>
            <w:tcW w:w="29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40,890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line with the Company’s Simplify to Accelerate NOW strategy, during the first quarter of 2025, the Company began to create a state-of-the-art Fabrication Center of Excellence at the facility in Dothan, Alabama. Assembly operations from Dothan continue to be transferred into facilities in Tulsa, Oklahoma and Reynosa, Mexico.</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costs in 2026 are anticipated to be approximately $2 to $3 million, primarily related to employee severance and other personnel-related expenses, and are expected to be substantively paid by the end of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Restructuring expenses for this initiative, which are included in restructuring and business realignment costs in the condensed consolidated statement of income and comprehensive income, are as follows: </w:t>
      </w:r>
    </w:p>
    <w:p>
      <w:pPr>
        <w:pStyle w:val="TextBody"/>
        <w:bidi w:val="0"/>
        <w:spacing w:before="0" w:after="0"/>
        <w:ind w:left="0" w:right="0" w:hanging="0"/>
        <w:jc w:val="left"/>
        <w:rPr/>
      </w:pPr>
      <w:r>
        <w:rPr/>
        <w:t>​</w:t>
      </w:r>
    </w:p>
    <w:tbl>
      <w:tblPr>
        <w:tblW w:w="5511" w:type="dxa"/>
        <w:jc w:val="left"/>
        <w:tblInd w:w="0" w:type="dxa"/>
        <w:tblLayout w:type="fixed"/>
        <w:tblCellMar>
          <w:top w:w="0" w:type="dxa"/>
          <w:left w:w="0" w:type="dxa"/>
          <w:bottom w:w="0" w:type="dxa"/>
          <w:right w:w="0" w:type="dxa"/>
        </w:tblCellMar>
      </w:tblPr>
      <w:tblGrid>
        <w:gridCol w:w="3751"/>
        <w:gridCol w:w="346"/>
        <w:gridCol w:w="315"/>
        <w:gridCol w:w="945"/>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81885" cy="175260"/>
                      <wp:effectExtent l="0" t="0" r="0" b="0"/>
                      <wp:wrapNone/>
                      <wp:docPr id="153" name="Frame153"/>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0025" cy="175260"/>
                      <wp:effectExtent l="0" t="0" r="0" b="0"/>
                      <wp:wrapNone/>
                      <wp:docPr id="155" name="Frame15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0075" cy="175260"/>
                      <wp:effectExtent l="0" t="0" r="0" b="0"/>
                      <wp:wrapNone/>
                      <wp:docPr id="156" name="Frame156"/>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7790" cy="175260"/>
                      <wp:effectExtent l="0" t="0" r="0" b="0"/>
                      <wp:wrapNone/>
                      <wp:docPr id="157" name="Frame1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Restructuring</w:t>
            </w:r>
          </w:p>
        </w:tc>
        <w:tc>
          <w:tcPr>
            <w:tcW w:w="154"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accruals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liability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154"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liability at March 31, 2026</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liability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pBdr/>
        <w:bidi w:val="0"/>
        <w:spacing w:before="0" w:after="240"/>
        <w:ind w:left="0" w:right="0" w:hanging="360"/>
        <w:jc w:val="left"/>
        <w:rPr>
          <w:rFonts w:ascii="Times New Roman;Times;serif" w:hAnsi="Times New Roman;Times;serif"/>
          <w:b/>
          <w:sz w:val="20"/>
        </w:rPr>
      </w:pPr>
      <w:bookmarkStart w:id="719" w:name="_Hlk116644034"/>
      <w:bookmarkStart w:id="720" w:name="Tc_gPA4B0lcJkaDTN0BNQItkw_8_5"/>
      <w:bookmarkStart w:id="721" w:name="Tc_OHZVeXMbvUWW46uG2-j74Q_8_2"/>
      <w:bookmarkStart w:id="722" w:name="Tc_ogJgPBzmVUWiNPu3GLEYqQ_8_0"/>
      <w:bookmarkStart w:id="723" w:name="Tc_xxo_4Cb7AEawstFg4PPxfw_6_0"/>
      <w:bookmarkStart w:id="724" w:name="Tc_QIE-SdudxU2vtGjShh2_Rw_5_0"/>
      <w:bookmarkStart w:id="725" w:name="Tc_GARSKB8ukE67Dy_yPElcjg_4_5"/>
      <w:bookmarkStart w:id="726" w:name="Tc_tfc0BH-v2Uy_soQXpY16TQ_4_2"/>
      <w:bookmarkStart w:id="727" w:name="Tc_sRms4BQFmUyOUkpZs3Oyrg_4_0"/>
      <w:bookmarkStart w:id="728" w:name="Tc_aXFoJMAEEUWsQ58pin8m2A_3_0"/>
      <w:bookmarkStart w:id="729" w:name="Tc_vFQtk2cpKkmEVLXjfgnBqQ_2_5"/>
      <w:bookmarkStart w:id="730" w:name="Tc_FQIyUvGiuUShrPUfkK5Wnw_2_2"/>
      <w:bookmarkStart w:id="731" w:name="Tc_WOYoD0uTNUa73_RmMsPTCQ_1_5"/>
      <w:bookmarkStart w:id="732" w:name="Tc_S4B-qeeLZEqiEcTiyPaD9Q_1_2"/>
      <w:bookmarkStart w:id="733" w:name="_9597350e_ba55_4d33_b9b1_253a200cf90b"/>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9.    DEBT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obligations consisted of the following:</w:t>
      </w:r>
    </w:p>
    <w:p>
      <w:pPr>
        <w:pStyle w:val="TextBody"/>
        <w:bidi w:val="0"/>
        <w:spacing w:before="0" w:after="0"/>
        <w:ind w:left="0" w:right="0" w:hanging="0"/>
        <w:jc w:val="left"/>
        <w:rPr/>
      </w:pPr>
      <w:r>
        <w:rPr/>
        <w:t>​</w:t>
      </w:r>
    </w:p>
    <w:tbl>
      <w:tblPr>
        <w:tblW w:w="6245" w:type="dxa"/>
        <w:jc w:val="left"/>
        <w:tblInd w:w="0" w:type="dxa"/>
        <w:tblLayout w:type="fixed"/>
        <w:tblCellMar>
          <w:top w:w="0" w:type="dxa"/>
          <w:left w:w="0" w:type="dxa"/>
          <w:bottom w:w="0" w:type="dxa"/>
          <w:right w:w="0" w:type="dxa"/>
        </w:tblCellMar>
      </w:tblPr>
      <w:tblGrid>
        <w:gridCol w:w="3376"/>
        <w:gridCol w:w="346"/>
        <w:gridCol w:w="211"/>
        <w:gridCol w:w="781"/>
        <w:gridCol w:w="346"/>
        <w:gridCol w:w="228"/>
        <w:gridCol w:w="957"/>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43760" cy="175260"/>
                      <wp:effectExtent l="0" t="0" r="0" b="0"/>
                      <wp:wrapNone/>
                      <wp:docPr id="158" name="Frame158"/>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4780" cy="175260"/>
                      <wp:effectExtent l="0" t="0" r="0" b="0"/>
                      <wp:wrapNone/>
                      <wp:docPr id="163" name="Frame16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07695" cy="175260"/>
                      <wp:effectExtent l="0" t="0" r="0" b="0"/>
                      <wp:wrapNone/>
                      <wp:docPr id="164" name="Frame164"/>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 long-term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117,962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124,962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obligations –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7,766</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173,337</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180,389</w:t>
            </w:r>
          </w:p>
        </w:tc>
      </w:tr>
    </w:tbl>
    <w:tbl>
      <w:tblPr>
        <w:tblW w:w="7311" w:type="dxa"/>
        <w:jc w:val="left"/>
        <w:tblInd w:w="0" w:type="dxa"/>
        <w:tblLayout w:type="fixed"/>
        <w:tblCellMar>
          <w:top w:w="0" w:type="dxa"/>
          <w:left w:w="0" w:type="dxa"/>
          <w:bottom w:w="0" w:type="dxa"/>
          <w:right w:w="0" w:type="dxa"/>
        </w:tblCellMar>
      </w:tblPr>
      <w:tblGrid>
        <w:gridCol w:w="124"/>
        <w:gridCol w:w="331"/>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8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effective interest rate on long-term debt obligations is 4.95% at June 30, 2026.</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 2024, the Company entered into a Third Amended and Restated Credit Agreement (the “2024 Amended Credit Agreement”) for a $280 million revolving credit facility (the “Revolving Facility”). The changes made to the Company’s previous credit facility by the 2024 Amended Credit Agreement include: i) providing for a $50 million accordion amount and ii) extending the term from February 12, 2025 to March 1, 2029. Additionally, the Company has entered into a $150 million fixed-rate private shelf facility (the “2024 Note Payable Agreement”) under which $50.0 million of borrowings occurred on March 21, 2024. These agreements, collectively, are referred to as the “2024 Credit and Note Payable Agreements”. Pursuant to the 2024 Note Payable Agreement, the Company may from time to time issue and sell, and the borrower may consider in its sole discretion the purchase of, in one or a series of transactions, senior notes of the Company in an aggregate principal amount of up to $150 million (“Shelf Notes”). The Shelf Notes will have a maturity date of no more than 10.5 years after the date of original issuance and may be issued through March 1, 2027, unless either party terminates such issuance right. Debt issuance costs of $3.2 million were incurred related to the 2024 Credit and Note Payable Agreements and are included within unamortized debt issuance costs noted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under the Revolving Facility bear interest at the Term SOFR Rate (as defined in the 2024 Amended Credit Agreement) plus a margin of 1.25% to 2.50% or the Alternative Base Rate (as defined in the 2024 Amended Credit Agreement) plus a margin of 0.25% to 1.50%, in each case depending on the Company’s ratio of Funded Indebtedness (as defined in the 2024 Amended Credit Agreement) to Consolidated EBITDA (the “Leverage Ratio”). In addition, the Company is required to pay a commitment fee of between 0.15% and 0.325% quarterly on the unused portion of the Revolving Facility, also based on the Company’s Leverage Ratio.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covenants under the 2024 Credit and Note Payable Agreements require the Company to maintain a minimum interest coverage ratio of at least 3.0:1.0 at the end of each fiscal quarter. In addition, the Company’s Leverage Ratio at the end of any fiscal quarter shall not be greater than 4.25:1.0 through December 31, 2024 or greater than 3.75 to 1.0 as of the end of any fiscal quarter thereafter; provided that the Company may elect to temporarily increase the Leverage Ratio by 0.5:1.0 following a material acquisition under the 2024 Credit and Note Payable Agreements. The 2024 Credit and Note Payable Agreements also include covenants and restrictions that limit the Company’s ability to incur additional indebtedness, merge, consolidate or sell all or substantially all of its assets and enter into transactions with an affiliate of the Company on other than an arms’ length transaction. These covenants, which are described more fully in the 2024 Credit and Note Payable Agreements, to which reference is made for a complete statement of the covenants, were modified as of October 22, 2024, and are subject to certain exceptions. The Company was in compliance with all covenants as of June 30,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2024 Credit and Note Payable Agreements also include customary events of default, including failure to pay principal, interest or fees when due, failure to comply with covenants, if any representation or warranty made by the Company is false or misleading in any material respect, default under certain other indebtedness, certain insolvency or receivership events affecting the Company and its subsidiaries, the occurrence of certain material judgments, the occurrence of certain ERISA events, the invalidity of the loan documents or a change in control of the Company. The amounts outstanding under the Revolving Facility may be accelerated upon certain events of default.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obligations under the 2024 Credit and Note Payable Agreements are secured by substantially all of the Company’s non-realty assets and are fully and unconditionally guaranteed by certain of the Company’s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21, 2024, the Company issued and sold $50.0 million in aggregate principal amount of the Series A Senior Notes due March 21, 2031 (the “Series A Notes”). The Series A Notes were issued pursuant to the 2024 Note Payable Agreement. The Series A Notes represent senior promissory notes of the Company and will bear interest at 5.96% and will mature on March 21, 2031. Interest on the Series A Notes will be payable quarterly on the 21st day of March, June, September and December in each year, commencing on June 21, 2024. Interest is computed on the basis of a 360-day year composed of twelve 30-day months. There are no separate covenants relating to the Series A Notes. All additional borrowings are subject to the leverage ratio compliance. The Series A Notes may be prepaid at the option of the Company, in accordance with the terms of the 2024 Note Payable Agreement, at 100% of the principal amount to be prepaid plus accrued interest plus the defined “Make-Whole Amount,” if any. The Make-Whole Amount is an amount equal to the excess, if any, of the discounted value of the remaining schedule payments with respect to principal on the Series A Notes being prepaid over the amount of the prepaid principal.</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As of June 30, 2026, the unused Revolving Facility was $162,038. The amount available to borrow under the 2024 Credit and Note Payable Agreements may be limited by the Company’s debt and EBITDA levels, which impacts its covenant calculations.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22, 2024, the Company entered into a Second Amendment to the Third Amended and Restated Credit Agreement and a Second Amendment to the Note Purchase and Private Shelf Agreement (collectively, the “October 2024 Credit and Note Payable Amendments”). These amendments include provisions to increase the maximum Leverage Ratio to 4.5:1.0 for the quarter ending March 31, 2025 and June 30, 2025, 4.0:1.0 for the quarter ending September 30, 2025, and returning to 3.75:1.0 for the quarters ending December 31, 2025 and thereafter. From January 1, 2025 through September 30, 2025, borrowings under the Revolving Facility bore interest at Term SOFR plus a margin of 2.50% and a commitment fee of 0.325% on the unused portion of the Revolving Facility. Also, from October 1, 2024 through September 30, 2025, the Series A Notes bore interest at 6.46%. Subsequently, the Series A Notes have returned to an interest rate of 5.960%.</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bookmarkStart w:id="734" w:name="_Hlk116648558"/>
      <w:bookmarkEnd w:id="734"/>
      <w:r>
        <w:rPr>
          <w:rFonts w:ascii="Times New Roman;Times;serif" w:hAnsi="Times New Roman;Times;serif"/>
          <w:b/>
          <w:sz w:val="20"/>
        </w:rPr>
        <w:t>10.</w:t>
      </w:r>
      <w:r>
        <w:rPr>
          <w:rFonts w:ascii="Times New Roman;Times;serif" w:hAnsi="Times New Roman;Times;serif"/>
          <w:sz w:val="20"/>
        </w:rPr>
        <w:t>    </w:t>
      </w:r>
      <w:r>
        <w:rPr>
          <w:rFonts w:ascii="Times New Roman;Times;serif" w:hAnsi="Times New Roman;Times;serif"/>
          <w:b/>
          <w:sz w:val="20"/>
        </w:rPr>
        <w:t xml:space="preserve">DERIVATIVE FINANCIAL INSTRUMENTS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and foreign exchange risk primarily through the use of derivative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enters into foreign currency contracts with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maturities to hedge its short-term balance sheet exposure, primarily intercompany, that are denominated in currencies (Euro, Mexican Peso, New Zealand Dollar, Chinese Renminbi, Swedish Krona, Canadian Dollar) other than the subsidiary’s functional currency and are adjusted to current values using period-end exchange rates. The resulting gains or losses are recorded in other expense, net in the condensed consolidated statements of income and comprehensive income. To minimize foreign currency exposure, the Company had foreign currency contracts with notional amounts of $32,680 and $26,033 at June 30, 2026 and December 31, 2025, respectively. The foreign currency contracts are recorded in the condensed consolidated balance sheets at fair value and resulting gains or losses are recorded in other expense, net in the condensed consolidated statements of income and comprehensive income. During the three and six months ended June 30, 2026 the Company had losses of $298 and $666, respectively and during the three and six months ended June 30, 2025, the Company had gains of $1,193 and $1,070, respectively, on foreign currency contracts which is included in other expense, net and generally offset the gains or losses from the foreign currency adjustments on the intercompany balances that are also included in other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objectives in using interest rate derivatives are to add stability to interest expense and to manage its exposure to interest rate movements on its variable-rate debt.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 March 2022 the Company entered into an interest rate swap with a notional amount of $40,000 that matures in December 2026. In March 2023, the Company executed amendments to the existing swaps to amend the index on the interest rate derivatives from LIBOR to SOFR. These amendments had no material financial impact to the Company’s operations or financial position. In September 2024, the Company entered into an additional interest rate swap with a notional amount of $50,000 that matures in September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240"/>
        <w:ind w:left="0" w:right="0" w:hanging="0"/>
        <w:jc w:val="left"/>
        <w:rPr>
          <w:rFonts w:ascii="Times New Roman;Times;serif" w:hAnsi="Times New Roman;Times;serif"/>
          <w:sz w:val="20"/>
        </w:rPr>
      </w:pPr>
      <w:bookmarkStart w:id="735" w:name="Tc_y6bXwawjEkmgLIld7Zl9qg_6_13"/>
      <w:bookmarkStart w:id="736" w:name="Tc_J3RFMasLhkyBw9tEO91qlQ_6_10"/>
      <w:bookmarkStart w:id="737" w:name="Tc_cVzfereRj0ShF_BLxlfvnQ_6_7"/>
      <w:bookmarkStart w:id="738" w:name="Tc_F6V5rVP160K8on7uxnMZsw_6_4"/>
      <w:bookmarkStart w:id="739" w:name="Tc_g0f7xyy4kUSnG9FO7TZsjg_6_2"/>
      <w:bookmarkStart w:id="740" w:name="Tc_4n0bgbuHY0a6bZT5FSj1-g_6_0"/>
      <w:bookmarkStart w:id="741" w:name="Tc_AN1IHoqyWUC-38uTwWM8xw_5_13"/>
      <w:bookmarkStart w:id="742" w:name="Tc_XUKYpV24UUabJvAny3dp-Q_5_10"/>
      <w:bookmarkStart w:id="743" w:name="Tc_9A5qsJRIOUi0QbOnCSAE8Q_5_7"/>
      <w:bookmarkStart w:id="744" w:name="Tc_7TbsswasRUeZLF45JczuXQ_5_4"/>
      <w:bookmarkStart w:id="745" w:name="Tc_czJTbkwUDkKX0L8OUydArw_5_2"/>
      <w:bookmarkStart w:id="746" w:name="Tc_AfeeTw0JikK3X6zVwn92tQ_5_0"/>
      <w:bookmarkStart w:id="747" w:name="Tc_NFVpbOFiw0qA2Jo-pL41XQ_4_10"/>
      <w:bookmarkStart w:id="748" w:name="Tc_NWulwrl-vkKmkRz9mKOOpw_4_4"/>
      <w:bookmarkStart w:id="749" w:name="Tc_xSrIYORmO0y7Q5N80rjV5w_3_10"/>
      <w:bookmarkStart w:id="750" w:name="Tc_Mf6c_m8GYUSGZ3WTdqchoA_3_4"/>
      <w:bookmarkStart w:id="751" w:name="Tc_jLKLJw5Rw0Ob4Oi-y1zM1A_2_10"/>
      <w:bookmarkStart w:id="752" w:name="Tc_QVA5mUevJ06wEiutDa5zBw_2_4"/>
      <w:bookmarkStart w:id="753" w:name="Tc_SpQvwLIKjUOIB2luZ9Y9YQ_1_10"/>
      <w:bookmarkStart w:id="754" w:name="Tc_ikF3vjPmE06Y24VFMNLl0Q_1_4"/>
      <w:bookmarkStart w:id="755" w:name="Tc_hSPYvsKRek6rFeOfyyocPw_6_11"/>
      <w:bookmarkStart w:id="756" w:name="Tc_SaPCrZ57tkGGbdCchz5lEw_6_8"/>
      <w:bookmarkStart w:id="757" w:name="Tc_d5CopCryI0ug8NQ-RwQpnQ_6_5"/>
      <w:bookmarkStart w:id="758" w:name="Tc_NEqU3tR_LUmpzIiwDv_cfw_6_2"/>
      <w:bookmarkStart w:id="759" w:name="Tc_hEAK3BUIcE2f3eVfeZyccw_6_0"/>
      <w:bookmarkStart w:id="760" w:name="Tc_QwjoCx5ubE-_M1yGBBxACA_4_11"/>
      <w:bookmarkStart w:id="761" w:name="Tc_h5dg6xS-30yfTP8VXMgKNw_4_8"/>
      <w:bookmarkStart w:id="762" w:name="Tc_72yS_aItNUSps6Ho-Yj39Q_4_5"/>
      <w:bookmarkStart w:id="763" w:name="Tc_ceIrpSQTwkKlPaFfISrrKQ_4_2"/>
      <w:bookmarkStart w:id="764" w:name="Tc_T9chGQ92sE2W8pBsADMd1g_4_0"/>
      <w:bookmarkStart w:id="765" w:name="Tc_KODGzSlMLESMEDj-OWh0sA_3_8"/>
      <w:bookmarkStart w:id="766" w:name="Tc_4U4KO04lW0-1jjiNVvSLeA_3_2"/>
      <w:bookmarkStart w:id="767" w:name="Tc_779SgsZj3kqNokYG44-K_w_3_0"/>
      <w:bookmarkStart w:id="768" w:name="Tc_kWzdOqG7PUuKO9QfgIudsw_2_8"/>
      <w:bookmarkStart w:id="769" w:name="Tc_xihmuLZNJkOqovTrECB_Zw_2_2"/>
      <w:bookmarkStart w:id="770" w:name="Tc_Qh_Arnof2UGS3li6L1-l7A_1_8"/>
      <w:bookmarkStart w:id="771" w:name="Tc_nAlPfdhA50m0DOwnqem_yQ_1_2"/>
      <w:bookmarkStart w:id="772" w:name="_1161fb29_9b88_49cc_ba0c_c018fd0f7f77"/>
      <w:bookmarkStart w:id="773" w:name="Tc_9G4mLmYIIEqZ05PLra4-rQ_5_11"/>
      <w:bookmarkStart w:id="774" w:name="Tc_4dvEUCH0Ok2SrPt3RXPfqQ_5_8"/>
      <w:bookmarkStart w:id="775" w:name="Tc_ULVz-rp790qcp7Y532jfvQ_5_5"/>
      <w:bookmarkStart w:id="776" w:name="Tc_kxzVtyamwk2nCYJuqegm1w_5_2"/>
      <w:bookmarkStart w:id="777" w:name="Tc_wdWGFn85EEC-Q2AMTae4MA_5_0"/>
      <w:bookmarkStart w:id="778" w:name="Tc_Qm1K4YdEqUGDmXLRMeq0Yg_4_11"/>
      <w:bookmarkStart w:id="779" w:name="Tc_9REhlEV7CEqkZWkkfnGflA_4_8"/>
      <w:bookmarkStart w:id="780" w:name="Tc_Q1qmhJ00fk6DEy7AhEzOZg_4_5"/>
      <w:bookmarkStart w:id="781" w:name="Tc_Wc8hp7kokk6T_6kNOrj7yQ_4_2"/>
      <w:bookmarkStart w:id="782" w:name="Tc_7SqOA5_r80WczCPxtBywqw_3_8"/>
      <w:bookmarkStart w:id="783" w:name="Tc_vaEEANnkHUi3kQ83QNFVWg_3_2"/>
      <w:bookmarkStart w:id="784" w:name="Tc_f0cGGOISIk661TdGsPmbnQ_3_0"/>
      <w:bookmarkStart w:id="785" w:name="Tc_Rl7lGaJMyEqUr7baviVN2A_2_8"/>
      <w:bookmarkStart w:id="786" w:name="Tc__L0mj8rpZkuhAkY_a3Glag_2_2"/>
      <w:bookmarkStart w:id="787" w:name="Tc_j-RWKJx3XUCclSOcnLoqtg_1_8"/>
      <w:bookmarkStart w:id="788" w:name="Tc_KBZbZ5RH4UOAPzLIljejEg_1_2"/>
      <w:bookmarkStart w:id="789" w:name="_82ea649f_2833_46f8_8650_16fca7b9d4ee"/>
      <w:bookmarkStart w:id="790" w:name="Tc_AbCZqerU5Emt_MEWCbiMVg_16_7"/>
      <w:bookmarkStart w:id="791" w:name="Tc_S6mKEGD4NEGtqOrF0Iw49A_16_4"/>
      <w:bookmarkStart w:id="792" w:name="Tc_wAiNzoUXYke10WQOpBSTIA_15_5"/>
      <w:bookmarkStart w:id="793" w:name="Tc_qb7Blq7KKUyuQq4oMtv9gw_15_2"/>
      <w:bookmarkStart w:id="794" w:name="Tc_zLu05hHjbkap6rHDuMXNug_15_0"/>
      <w:bookmarkStart w:id="795" w:name="Tc_KUbokc3knEGiJrQXemT79Q_14_7"/>
      <w:bookmarkStart w:id="796" w:name="Tc__oCxuuDytk-V_uInYA4mIg_14_4"/>
      <w:bookmarkStart w:id="797" w:name="Tc_s1j7Ml5GjkCflqkkX5Ng4Q_14_2"/>
      <w:bookmarkStart w:id="798" w:name="Tc_2yKdh0_EOkK9qu_5INigng_14_0"/>
      <w:bookmarkStart w:id="799" w:name="Tc_IDhPw-G4qUiKs7qhFzfX9Q_13_7"/>
      <w:bookmarkStart w:id="800" w:name="Tc_ZkW9fDJXak2Ln7_pMsyUNg_13_4"/>
      <w:bookmarkStart w:id="801" w:name="Tc_28_nV1toLEiEhR6QDvR6lQ_13_2"/>
      <w:bookmarkStart w:id="802" w:name="Tc_TG6RfqHk20SzkXmojvzv5Q_13_0"/>
      <w:bookmarkStart w:id="803" w:name="Tc_pf_r9x6l0UiF9tA9i4DkYg_12_7"/>
      <w:bookmarkStart w:id="804" w:name="Tc_eQNeO1q2jEuBWGskKuTnow_12_4"/>
      <w:bookmarkStart w:id="805" w:name="Tc_DQLqYwbyl02I0-ZKBndQaQ_12_2"/>
      <w:bookmarkStart w:id="806" w:name="Tc_EBxIU3VY_EK06HvJJB7GUw_12_0"/>
      <w:bookmarkStart w:id="807" w:name="Tc_E4mEi_YpekS3mHfjMnSuZA_11_4"/>
      <w:bookmarkStart w:id="808" w:name="Tc_VH4vCyqOLUWrReEt6TfUBA_10_4"/>
      <w:bookmarkStart w:id="809" w:name="Tc_gkCymr3J_kKU4spX_Ee-iw_8_7"/>
      <w:bookmarkStart w:id="810" w:name="Tc_11nBOQujOEyUlQGPrDjq8A_8_4"/>
      <w:bookmarkStart w:id="811" w:name="Tc_jv2yrZ_rX02cT_Sjy60tFg_7_8"/>
      <w:bookmarkStart w:id="812" w:name="Tc_Z2vSyTtos0iIRfeGUoaTbQ_7_7"/>
      <w:bookmarkStart w:id="813" w:name="Tc_36h1Z2f5OU6oF9XYerzvtg_7_4"/>
      <w:bookmarkStart w:id="814" w:name="Tc_L43oXGTAD0CespEmEsgiLw_7_2"/>
      <w:bookmarkStart w:id="815" w:name="Tc_phlEHPCwGkGoCgXSVnBRzw_7_0"/>
      <w:bookmarkStart w:id="816" w:name="Tc_Zk6alH9Fnk6CD0y31pOU3Q_6_7"/>
      <w:bookmarkStart w:id="817" w:name="Tc_wUboHlS6BEqsj1haK4bPnQ_6_4"/>
      <w:bookmarkStart w:id="818" w:name="Tc_97fxnVRVA0qR0oknn_H1lw_6_2"/>
      <w:bookmarkStart w:id="819" w:name="Tc_rTi9x1m9u0uhSUVOnBjDcQ_6_0"/>
      <w:bookmarkStart w:id="820" w:name="Tc_7kvYzHLzuU-bvGJ-lEol6Q_5_7"/>
      <w:bookmarkStart w:id="821" w:name="Tc_83diV9lYwkC9JDTrSHLuyA_5_4"/>
      <w:bookmarkStart w:id="822" w:name="Tc_oKYQvf1LuU-jrgVpW5fTcg_5_2"/>
      <w:bookmarkStart w:id="823" w:name="Tc_qftCKxr1qECJ_kAyOTQH9A_5_0"/>
      <w:bookmarkStart w:id="824" w:name="Tc_VZhYFTwT4k22k-a7bvVrAA_4_7"/>
      <w:bookmarkStart w:id="825" w:name="Tc_jrZRy2fCRUST9F2K52cmCg_4_4"/>
      <w:bookmarkStart w:id="826" w:name="Tc_Fk8QR-Q_AEiNJPa6mjTyvg_4_2"/>
      <w:bookmarkStart w:id="827" w:name="Tc_EMYJn4rik0KDb8h5P_WOKg_4_0"/>
      <w:bookmarkStart w:id="828" w:name="Tc_0KoPZoxOw06V7pBrMuKo8A_3_7"/>
      <w:bookmarkStart w:id="829" w:name="Tc_zHJheHBmqUyXspC0O7IvTw_3_4"/>
      <w:bookmarkStart w:id="830" w:name="Tc_jPNX5uDaSkqKYelL60h9Eg_3_2"/>
      <w:bookmarkStart w:id="831" w:name="Tc_FGkEm-GUNku6Xi_oaFuOYQ_3_0"/>
      <w:bookmarkStart w:id="832" w:name="Tc_wSb_mF81iEurMXppOMnw3Q_2_4"/>
      <w:bookmarkStart w:id="833" w:name="Tc_KfYweC_LokiKBtZIrG96GQ_1_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sz w:val="20"/>
        </w:rPr>
        <w:t xml:space="preserve">The changes in the fair value of derivatives designated and that qualify as cash flow hedges is recorded in accumulated other comprehensive loss and is subsequently reclassified into earnings in the period that the hedged forecasted transaction affects earnings. During 2026 and 2025, such derivatives were used to hedge the variable cash flows associated with existing variable-rate debt.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Company estimates that $704 will be reclassified as a decrease to interest expense over the next twelve months related to its interest rate derivatives. The Company does not use derivatives for trading or speculative purposes.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presents the fair value of the Company’s derivative financial instruments as well as their classification on the condensed consolidated balance sheets as of June 30, 2026 and December 31, 2025:</w:t>
      </w:r>
    </w:p>
    <w:p>
      <w:pPr>
        <w:pStyle w:val="TextBody"/>
        <w:bidi w:val="0"/>
        <w:spacing w:before="0" w:after="0"/>
        <w:ind w:left="0" w:right="0" w:hanging="0"/>
        <w:jc w:val="left"/>
        <w:rPr/>
      </w:pPr>
      <w:r>
        <w:rPr/>
        <w:t>​</w:t>
      </w:r>
    </w:p>
    <w:tbl>
      <w:tblPr>
        <w:tblW w:w="8090" w:type="dxa"/>
        <w:jc w:val="left"/>
        <w:tblInd w:w="0" w:type="dxa"/>
        <w:tblLayout w:type="fixed"/>
        <w:tblCellMar>
          <w:top w:w="0" w:type="dxa"/>
          <w:left w:w="0" w:type="dxa"/>
          <w:bottom w:w="0" w:type="dxa"/>
          <w:right w:w="0" w:type="dxa"/>
        </w:tblCellMar>
      </w:tblPr>
      <w:tblGrid>
        <w:gridCol w:w="2281"/>
        <w:gridCol w:w="346"/>
        <w:gridCol w:w="2821"/>
        <w:gridCol w:w="346"/>
        <w:gridCol w:w="254"/>
        <w:gridCol w:w="511"/>
        <w:gridCol w:w="346"/>
        <w:gridCol w:w="369"/>
        <w:gridCol w:w="816"/>
      </w:tblGrid>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91335" cy="175260"/>
                      <wp:effectExtent l="0" t="0" r="0" b="0"/>
                      <wp:wrapNone/>
                      <wp:docPr id="166" name="Frame166"/>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1290" cy="175260"/>
                      <wp:effectExtent l="0" t="0" r="0" b="0"/>
                      <wp:wrapNone/>
                      <wp:docPr id="168" name="Frame16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24485" cy="175260"/>
                      <wp:effectExtent l="0" t="0" r="0" b="0"/>
                      <wp:wrapNone/>
                      <wp:docPr id="169" name="Frame16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4315" cy="175260"/>
                      <wp:effectExtent l="0" t="0" r="0" b="0"/>
                      <wp:wrapNone/>
                      <wp:docPr id="171" name="Frame171"/>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18160" cy="175260"/>
                      <wp:effectExtent l="0" t="0" r="0" b="0"/>
                      <wp:wrapNone/>
                      <wp:docPr id="172" name="Frame172"/>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 Derivatives</w:t>
            </w:r>
          </w:p>
        </w:tc>
      </w:tr>
      <w:tr>
        <w:trPr/>
        <w:tc>
          <w:tcPr>
            <w:tcW w:w="22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as of:</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designated as </w:t>
            </w:r>
          </w:p>
        </w:tc>
        <w:tc>
          <w:tcPr>
            <w:tcW w:w="346" w:type="dxa"/>
            <w:tcBorders/>
            <w:vAlign w:val="center"/>
          </w:tcPr>
          <w:p>
            <w:pPr>
              <w:pStyle w:val="TableContents"/>
              <w:bidi w:val="0"/>
              <w:spacing w:before="0" w:after="0"/>
              <w:ind w:left="0" w:right="0" w:hanging="0"/>
              <w:jc w:val="center"/>
              <w:rPr/>
            </w:pPr>
            <w:r>
              <w:rPr/>
              <w:t>​</w:t>
            </w:r>
          </w:p>
        </w:tc>
        <w:tc>
          <w:tcPr>
            <w:tcW w:w="28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hedging instruments</w:t>
            </w:r>
          </w:p>
        </w:tc>
        <w:tc>
          <w:tcPr>
            <w:tcW w:w="346" w:type="dxa"/>
            <w:tcBorders/>
            <w:vAlign w:val="center"/>
          </w:tcPr>
          <w:p>
            <w:pPr>
              <w:pStyle w:val="TableContents"/>
              <w:bidi w:val="0"/>
              <w:spacing w:before="0" w:after="0"/>
              <w:ind w:left="0" w:right="0" w:hanging="0"/>
              <w:jc w:val="left"/>
              <w:rPr/>
            </w:pPr>
            <w:r>
              <w:rPr/>
              <w:t>  ​ ​ ​</w:t>
            </w:r>
          </w:p>
        </w:tc>
        <w:tc>
          <w:tcPr>
            <w:tcW w:w="2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shd w:fill="CCEEFF" w:val="clear"/>
            <w:vAlign w:val="center"/>
          </w:tcPr>
          <w:p>
            <w:pPr>
              <w:pStyle w:val="TableContents"/>
              <w:bidi w:val="0"/>
              <w:spacing w:before="0" w:after="0"/>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w:t>
            </w:r>
          </w:p>
        </w:tc>
        <w:tc>
          <w:tcPr>
            <w:tcW w:w="3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 Derivatives</w:t>
            </w:r>
          </w:p>
        </w:tc>
      </w:tr>
      <w:tr>
        <w:trPr/>
        <w:tc>
          <w:tcPr>
            <w:tcW w:w="22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as of:</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designated as </w:t>
            </w:r>
          </w:p>
        </w:tc>
        <w:tc>
          <w:tcPr>
            <w:tcW w:w="346" w:type="dxa"/>
            <w:tcBorders/>
            <w:vAlign w:val="center"/>
          </w:tcPr>
          <w:p>
            <w:pPr>
              <w:pStyle w:val="TableContents"/>
              <w:bidi w:val="0"/>
              <w:spacing w:before="0" w:after="0"/>
              <w:ind w:left="0" w:right="0" w:hanging="0"/>
              <w:jc w:val="center"/>
              <w:rPr/>
            </w:pPr>
            <w:r>
              <w:rPr/>
              <w:t>​</w:t>
            </w:r>
          </w:p>
        </w:tc>
        <w:tc>
          <w:tcPr>
            <w:tcW w:w="28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hedging instruments</w:t>
            </w:r>
          </w:p>
        </w:tc>
        <w:tc>
          <w:tcPr>
            <w:tcW w:w="346" w:type="dxa"/>
            <w:tcBorders/>
            <w:vAlign w:val="center"/>
          </w:tcPr>
          <w:p>
            <w:pPr>
              <w:pStyle w:val="TableContents"/>
              <w:bidi w:val="0"/>
              <w:spacing w:before="0" w:after="0"/>
              <w:ind w:left="0" w:right="0" w:hanging="0"/>
              <w:jc w:val="left"/>
              <w:rPr/>
            </w:pPr>
            <w:r>
              <w:rPr/>
              <w:t>  ​ ​ ​</w:t>
            </w:r>
          </w:p>
        </w:tc>
        <w:tc>
          <w:tcPr>
            <w:tcW w:w="2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products</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2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tables below present the effect of cash flow hedge accounting on other comprehensive income (“OCI”) for the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15"/>
        <w:gridCol w:w="346"/>
        <w:gridCol w:w="360"/>
        <w:gridCol w:w="719"/>
        <w:gridCol w:w="591"/>
        <w:gridCol w:w="360"/>
        <w:gridCol w:w="919"/>
        <w:gridCol w:w="346"/>
        <w:gridCol w:w="360"/>
        <w:gridCol w:w="719"/>
        <w:gridCol w:w="591"/>
        <w:gridCol w:w="360"/>
        <w:gridCol w:w="919"/>
        <w:gridCol w:w="400"/>
      </w:tblGrid>
      <w:tr>
        <w:trPr/>
        <w:tc>
          <w:tcPr>
            <w:tcW w:w="3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41525" cy="175260"/>
                      <wp:effectExtent l="0" t="0" r="0" b="0"/>
                      <wp:wrapNone/>
                      <wp:docPr id="173" name="Frame173"/>
                      <a:graphic xmlns:a="http://schemas.openxmlformats.org/drawingml/2006/main">
                        <a:graphicData uri="http://schemas.microsoft.com/office/word/2010/wordprocessingShape">
                          <wps:wsp>
                            <wps:cNvSpPr txBox="1"/>
                            <wps:spPr>
                              <a:xfrm>
                                <a:off x="0" y="0"/>
                                <a:ext cx="204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8600" cy="175260"/>
                      <wp:effectExtent l="0" t="0" r="0" b="0"/>
                      <wp:wrapNone/>
                      <wp:docPr id="175" name="Frame1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56565" cy="175260"/>
                      <wp:effectExtent l="0" t="0" r="0" b="0"/>
                      <wp:wrapNone/>
                      <wp:docPr id="176" name="Frame176"/>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75285" cy="175260"/>
                      <wp:effectExtent l="0" t="0" r="0" b="0"/>
                      <wp:wrapNone/>
                      <wp:docPr id="177" name="Frame17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8600" cy="175260"/>
                      <wp:effectExtent l="0" t="0" r="0" b="0"/>
                      <wp:wrapNone/>
                      <wp:docPr id="178" name="Frame1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3565" cy="175260"/>
                      <wp:effectExtent l="0" t="0" r="0" b="0"/>
                      <wp:wrapNone/>
                      <wp:docPr id="179" name="Frame179"/>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8600" cy="175260"/>
                      <wp:effectExtent l="0" t="0" r="0" b="0"/>
                      <wp:wrapNone/>
                      <wp:docPr id="181" name="Frame1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6565" cy="175260"/>
                      <wp:effectExtent l="0" t="0" r="0" b="0"/>
                      <wp:wrapNone/>
                      <wp:docPr id="182" name="Frame18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5285" cy="175260"/>
                      <wp:effectExtent l="0" t="0" r="0" b="0"/>
                      <wp:wrapNone/>
                      <wp:docPr id="183" name="Frame183"/>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8600" cy="175260"/>
                      <wp:effectExtent l="0" t="0" r="0" b="0"/>
                      <wp:wrapNone/>
                      <wp:docPr id="184" name="Frame1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83565" cy="175260"/>
                      <wp:effectExtent l="0" t="0" r="0" b="0"/>
                      <wp:wrapNone/>
                      <wp:docPr id="185" name="Frame185"/>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54000" cy="175260"/>
                      <wp:effectExtent l="0" t="0" r="0" b="0"/>
                      <wp:wrapNone/>
                      <wp:docPr id="186" name="Frame18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pre-tax (loss) gain recognized</w:t>
            </w:r>
          </w:p>
        </w:tc>
        <w:tc>
          <w:tcPr>
            <w:tcW w:w="346" w:type="dxa"/>
            <w:tcBorders/>
            <w:vAlign w:val="center"/>
          </w:tcPr>
          <w:p>
            <w:pPr>
              <w:pStyle w:val="TableContents"/>
              <w:bidi w:val="0"/>
              <w:spacing w:before="0" w:after="0"/>
              <w:ind w:left="0" w:right="0" w:hanging="0"/>
              <w:jc w:val="left"/>
              <w:rPr/>
            </w:pPr>
            <w:r>
              <w:rPr/>
              <w:t>​</w:t>
            </w:r>
          </w:p>
        </w:tc>
        <w:tc>
          <w:tcPr>
            <w:tcW w:w="29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pre-tax gain (loss) recognized</w:t>
            </w:r>
          </w:p>
        </w:tc>
        <w:tc>
          <w:tcPr>
            <w:tcW w:w="400" w:type="dxa"/>
            <w:tcBorders/>
            <w:vAlign w:val="center"/>
          </w:tcPr>
          <w:p>
            <w:pPr>
              <w:pStyle w:val="TableContents"/>
              <w:bidi w:val="0"/>
              <w:spacing w:before="0" w:after="0"/>
              <w:ind w:left="0" w:right="0" w:hanging="0"/>
              <w:jc w:val="left"/>
              <w:rPr/>
            </w:pPr>
            <w:r>
              <w:rPr/>
              <w:t>​</w:t>
            </w:r>
          </w:p>
        </w:tc>
      </w:tr>
      <w:tr>
        <w:trPr/>
        <w:tc>
          <w:tcPr>
            <w:tcW w:w="32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OCI on derivatives</w:t>
            </w:r>
          </w:p>
        </w:tc>
        <w:tc>
          <w:tcPr>
            <w:tcW w:w="346" w:type="dxa"/>
            <w:tcBorders/>
            <w:vAlign w:val="center"/>
          </w:tcPr>
          <w:p>
            <w:pPr>
              <w:pStyle w:val="TableContents"/>
              <w:bidi w:val="0"/>
              <w:spacing w:before="0" w:after="0"/>
              <w:ind w:left="0" w:right="0" w:hanging="0"/>
              <w:jc w:val="left"/>
              <w:rPr/>
            </w:pPr>
            <w:r>
              <w:rPr/>
              <w:t>​</w:t>
            </w:r>
          </w:p>
        </w:tc>
        <w:tc>
          <w:tcPr>
            <w:tcW w:w="29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OCI on derivatives</w:t>
            </w:r>
          </w:p>
        </w:tc>
        <w:tc>
          <w:tcPr>
            <w:tcW w:w="400" w:type="dxa"/>
            <w:tcBorders/>
            <w:vAlign w:val="center"/>
          </w:tcPr>
          <w:p>
            <w:pPr>
              <w:pStyle w:val="TableContents"/>
              <w:bidi w:val="0"/>
              <w:spacing w:before="0" w:after="0"/>
              <w:ind w:left="0" w:right="0" w:hanging="0"/>
              <w:jc w:val="left"/>
              <w:rPr/>
            </w:pPr>
            <w:r>
              <w:rPr/>
              <w:t>​</w:t>
            </w:r>
          </w:p>
        </w:tc>
      </w:tr>
      <w:tr>
        <w:trPr/>
        <w:tc>
          <w:tcPr>
            <w:tcW w:w="32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in cash flow hedging relationships</w:t>
            </w:r>
          </w:p>
        </w:tc>
        <w:tc>
          <w:tcPr>
            <w:tcW w:w="346" w:type="dxa"/>
            <w:tcBorders/>
            <w:vAlign w:val="center"/>
          </w:tcPr>
          <w:p>
            <w:pPr>
              <w:pStyle w:val="TableContents"/>
              <w:bidi w:val="0"/>
              <w:spacing w:before="0" w:after="0"/>
              <w:ind w:left="0" w:right="0" w:hanging="0"/>
              <w:jc w:val="left"/>
              <w:rPr/>
            </w:pPr>
            <w:r>
              <w:rPr/>
              <w:t>​</w:t>
            </w:r>
          </w:p>
        </w:tc>
        <w:tc>
          <w:tcPr>
            <w:tcW w:w="29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9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00" w:type="dxa"/>
            <w:tcBorders/>
            <w:vAlign w:val="center"/>
          </w:tcPr>
          <w:p>
            <w:pPr>
              <w:pStyle w:val="TableContents"/>
              <w:bidi w:val="0"/>
              <w:spacing w:before="0" w:after="0"/>
              <w:ind w:left="0" w:right="0" w:hanging="0"/>
              <w:jc w:val="left"/>
              <w:rPr/>
            </w:pPr>
            <w:r>
              <w:rPr/>
              <w:t>​</w:t>
            </w:r>
          </w:p>
        </w:tc>
      </w:tr>
      <w:tr>
        <w:trPr/>
        <w:tc>
          <w:tcPr>
            <w:tcW w:w="32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1" w:type="dxa"/>
            <w:tcBorders/>
            <w:vAlign w:val="center"/>
          </w:tcPr>
          <w:p>
            <w:pPr>
              <w:pStyle w:val="TableContents"/>
              <w:bidi w:val="0"/>
              <w:spacing w:before="0" w:after="0"/>
              <w:ind w:left="0" w:right="0" w:hanging="0"/>
              <w:jc w:val="left"/>
              <w:rPr/>
            </w:pPr>
            <w:r>
              <w:rPr/>
              <w:t>  ​ ​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1" w:type="dxa"/>
            <w:tcBorders/>
            <w:vAlign w:val="center"/>
          </w:tcPr>
          <w:p>
            <w:pPr>
              <w:pStyle w:val="TableContents"/>
              <w:bidi w:val="0"/>
              <w:spacing w:before="0" w:after="0"/>
              <w:ind w:left="0" w:right="0" w:hanging="0"/>
              <w:jc w:val="left"/>
              <w:rPr/>
            </w:pPr>
            <w:r>
              <w:rPr/>
              <w:t>  ​ ​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0" w:type="dxa"/>
            <w:tcBorders/>
            <w:vAlign w:val="center"/>
          </w:tcPr>
          <w:p>
            <w:pPr>
              <w:pStyle w:val="TableContents"/>
              <w:bidi w:val="0"/>
              <w:spacing w:before="0" w:after="0"/>
              <w:ind w:left="0" w:right="0" w:hanging="0"/>
              <w:jc w:val="left"/>
              <w:rPr/>
            </w:pPr>
            <w:r>
              <w:rPr/>
              <w:t>  ​ ​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591"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591"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400" w:type="dxa"/>
            <w:tcBorders/>
            <w:shd w:fill="CCEEFF" w:val="clear"/>
            <w:vAlign w:val="center"/>
          </w:tcPr>
          <w:p>
            <w:pPr>
              <w:pStyle w:val="TableContents"/>
              <w:bidi w:val="0"/>
              <w:spacing w:before="0" w:after="0"/>
              <w:ind w:left="0" w:right="0" w:hanging="0"/>
              <w:jc w:val="left"/>
              <w:rPr/>
            </w:pPr>
            <w:r>
              <w:rPr/>
              <w:t>​</w:t>
            </w:r>
          </w:p>
        </w:tc>
      </w:tr>
      <w:tr>
        <w:trPr/>
        <w:tc>
          <w:tcPr>
            <w:tcW w:w="32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721" w:type="dxa"/>
        <w:jc w:val="left"/>
        <w:tblInd w:w="0" w:type="dxa"/>
        <w:tblLayout w:type="fixed"/>
        <w:tblCellMar>
          <w:top w:w="0" w:type="dxa"/>
          <w:left w:w="0" w:type="dxa"/>
          <w:bottom w:w="0" w:type="dxa"/>
          <w:right w:w="0" w:type="dxa"/>
        </w:tblCellMar>
      </w:tblPr>
      <w:tblGrid>
        <w:gridCol w:w="2686"/>
        <w:gridCol w:w="109"/>
        <w:gridCol w:w="417"/>
        <w:gridCol w:w="832"/>
        <w:gridCol w:w="215"/>
        <w:gridCol w:w="417"/>
        <w:gridCol w:w="832"/>
        <w:gridCol w:w="346"/>
        <w:gridCol w:w="355"/>
        <w:gridCol w:w="710"/>
        <w:gridCol w:w="583"/>
        <w:gridCol w:w="355"/>
        <w:gridCol w:w="710"/>
        <w:gridCol w:w="154"/>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05610" cy="175260"/>
                      <wp:effectExtent l="0" t="0" r="0" b="0"/>
                      <wp:wrapNone/>
                      <wp:docPr id="187" name="Frame18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64795" cy="175260"/>
                      <wp:effectExtent l="0" t="0" r="0" b="0"/>
                      <wp:wrapNone/>
                      <wp:docPr id="189" name="Frame18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28320" cy="175260"/>
                      <wp:effectExtent l="0" t="0" r="0" b="0"/>
                      <wp:wrapNone/>
                      <wp:docPr id="190" name="Frame190"/>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6525" cy="175260"/>
                      <wp:effectExtent l="0" t="0" r="0" b="0"/>
                      <wp:wrapNone/>
                      <wp:docPr id="191" name="Frame19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4795" cy="175260"/>
                      <wp:effectExtent l="0" t="0" r="0" b="0"/>
                      <wp:wrapNone/>
                      <wp:docPr id="192" name="Frame192"/>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28320" cy="175260"/>
                      <wp:effectExtent l="0" t="0" r="0" b="0"/>
                      <wp:wrapNone/>
                      <wp:docPr id="193" name="Frame19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5425" cy="175260"/>
                      <wp:effectExtent l="0" t="0" r="0" b="0"/>
                      <wp:wrapNone/>
                      <wp:docPr id="195" name="Frame19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50850" cy="175260"/>
                      <wp:effectExtent l="0" t="0" r="0" b="0"/>
                      <wp:wrapNone/>
                      <wp:docPr id="196" name="Frame19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0205" cy="175260"/>
                      <wp:effectExtent l="0" t="0" r="0" b="0"/>
                      <wp:wrapNone/>
                      <wp:docPr id="197" name="Frame197"/>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5425" cy="175260"/>
                      <wp:effectExtent l="0" t="0" r="0" b="0"/>
                      <wp:wrapNone/>
                      <wp:docPr id="198" name="Frame19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50850" cy="175260"/>
                      <wp:effectExtent l="0" t="0" r="0" b="0"/>
                      <wp:wrapNone/>
                      <wp:docPr id="199" name="Frame199"/>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7790" cy="175260"/>
                      <wp:effectExtent l="0" t="0" r="0" b="0"/>
                      <wp:wrapNone/>
                      <wp:docPr id="200" name="Frame20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Amount of pre-tax gain reclassified </w:t>
            </w:r>
          </w:p>
        </w:tc>
        <w:tc>
          <w:tcPr>
            <w:tcW w:w="346" w:type="dxa"/>
            <w:tcBorders/>
            <w:vAlign w:val="center"/>
          </w:tcPr>
          <w:p>
            <w:pPr>
              <w:pStyle w:val="TableContents"/>
              <w:bidi w:val="0"/>
              <w:spacing w:before="0" w:after="0"/>
              <w:ind w:left="0" w:right="0" w:hanging="0"/>
              <w:jc w:val="left"/>
              <w:rPr/>
            </w:pPr>
            <w:r>
              <w:rPr/>
              <w:t>​</w:t>
            </w:r>
          </w:p>
        </w:tc>
        <w:tc>
          <w:tcPr>
            <w:tcW w:w="27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Amount of pre-tax gain reclassified </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accumulated OCI into income</w:t>
            </w:r>
          </w:p>
        </w:tc>
        <w:tc>
          <w:tcPr>
            <w:tcW w:w="346" w:type="dxa"/>
            <w:tcBorders/>
            <w:vAlign w:val="center"/>
          </w:tcPr>
          <w:p>
            <w:pPr>
              <w:pStyle w:val="TableContents"/>
              <w:bidi w:val="0"/>
              <w:spacing w:before="0" w:after="0"/>
              <w:ind w:left="0" w:right="0" w:hanging="0"/>
              <w:jc w:val="left"/>
              <w:rPr/>
            </w:pPr>
            <w:r>
              <w:rPr/>
              <w:t>​</w:t>
            </w:r>
          </w:p>
        </w:tc>
        <w:tc>
          <w:tcPr>
            <w:tcW w:w="27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accumulated OCI into income</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reclassified</w:t>
            </w:r>
          </w:p>
        </w:tc>
        <w:tc>
          <w:tcPr>
            <w:tcW w:w="109" w:type="dxa"/>
            <w:tcBorders/>
            <w:vAlign w:val="center"/>
          </w:tcPr>
          <w:p>
            <w:pPr>
              <w:pStyle w:val="TableContents"/>
              <w:bidi w:val="0"/>
              <w:spacing w:before="0" w:after="0"/>
              <w:ind w:left="0" w:right="0" w:hanging="0"/>
              <w:jc w:val="left"/>
              <w:rPr/>
            </w:pPr>
            <w:r>
              <w:rPr/>
              <w:t>​</w:t>
            </w:r>
          </w:p>
        </w:tc>
        <w:tc>
          <w:tcPr>
            <w:tcW w:w="27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7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from accumulated OCI into income</w:t>
            </w:r>
          </w:p>
        </w:tc>
        <w:tc>
          <w:tcPr>
            <w:tcW w:w="109" w:type="dxa"/>
            <w:tcBorders/>
            <w:vAlign w:val="center"/>
          </w:tcPr>
          <w:p>
            <w:pPr>
              <w:pStyle w:val="TableContents"/>
              <w:bidi w:val="0"/>
              <w:spacing w:before="0" w:after="0"/>
              <w:ind w:left="0" w:right="0" w:hanging="0"/>
              <w:jc w:val="left"/>
              <w:rPr/>
            </w:pPr>
            <w:r>
              <w:rPr/>
              <w:t>​</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15" w:type="dxa"/>
            <w:tcBorders/>
            <w:vAlign w:val="center"/>
          </w:tcPr>
          <w:p>
            <w:pPr>
              <w:pStyle w:val="TableContents"/>
              <w:bidi w:val="0"/>
              <w:spacing w:before="0" w:after="0"/>
              <w:ind w:left="0" w:right="0" w:hanging="0"/>
              <w:jc w:val="left"/>
              <w:rPr/>
            </w:pPr>
            <w:r>
              <w:rPr/>
              <w:t>​</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83"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58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215"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583"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The table below presents the line items that reflect the effect of the Company’s derivative financial instruments on the condensed consolidated statements of income and comprehensive income for the three and six months ended June 30, 2026 and 2025:</w:t>
      </w:r>
    </w:p>
    <w:p>
      <w:pPr>
        <w:pStyle w:val="TextBody"/>
        <w:bidi w:val="0"/>
        <w:spacing w:before="24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77"/>
        <w:gridCol w:w="346"/>
        <w:gridCol w:w="1608"/>
        <w:gridCol w:w="346"/>
        <w:gridCol w:w="271"/>
        <w:gridCol w:w="736"/>
        <w:gridCol w:w="446"/>
        <w:gridCol w:w="271"/>
        <w:gridCol w:w="736"/>
        <w:gridCol w:w="346"/>
        <w:gridCol w:w="271"/>
        <w:gridCol w:w="736"/>
        <w:gridCol w:w="446"/>
        <w:gridCol w:w="271"/>
        <w:gridCol w:w="736"/>
        <w:gridCol w:w="162"/>
      </w:tblGrid>
      <w:tr>
        <w:trPr/>
        <w:tc>
          <w:tcPr>
            <w:tcW w:w="2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572895" cy="175260"/>
                      <wp:effectExtent l="0" t="0" r="0" b="0"/>
                      <wp:wrapNone/>
                      <wp:docPr id="201" name="Frame201"/>
                      <a:graphic xmlns:a="http://schemas.openxmlformats.org/drawingml/2006/main">
                        <a:graphicData uri="http://schemas.microsoft.com/office/word/2010/wordprocessingShape">
                          <wps:wsp>
                            <wps:cNvSpPr txBox="1"/>
                            <wps:spPr>
                              <a:xfrm>
                                <a:off x="0" y="0"/>
                                <a:ext cx="157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021080" cy="175260"/>
                      <wp:effectExtent l="0" t="0" r="0" b="0"/>
                      <wp:wrapNone/>
                      <wp:docPr id="203" name="Frame203"/>
                      <a:graphic xmlns:a="http://schemas.openxmlformats.org/drawingml/2006/main">
                        <a:graphicData uri="http://schemas.microsoft.com/office/word/2010/wordprocessingShape">
                          <wps:wsp>
                            <wps:cNvSpPr txBox="1"/>
                            <wps:spPr>
                              <a:xfrm>
                                <a:off x="0" y="0"/>
                                <a:ext cx="1021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2085" cy="175260"/>
                      <wp:effectExtent l="0" t="0" r="0" b="0"/>
                      <wp:wrapNone/>
                      <wp:docPr id="205" name="Frame20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67360" cy="175260"/>
                      <wp:effectExtent l="0" t="0" r="0" b="0"/>
                      <wp:wrapNone/>
                      <wp:docPr id="206" name="Frame20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3210" cy="175260"/>
                      <wp:effectExtent l="0" t="0" r="0" b="0"/>
                      <wp:wrapNone/>
                      <wp:docPr id="207" name="Frame207"/>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2085" cy="175260"/>
                      <wp:effectExtent l="0" t="0" r="0" b="0"/>
                      <wp:wrapNone/>
                      <wp:docPr id="208" name="Frame2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67360" cy="175260"/>
                      <wp:effectExtent l="0" t="0" r="0" b="0"/>
                      <wp:wrapNone/>
                      <wp:docPr id="209" name="Frame2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2085" cy="175260"/>
                      <wp:effectExtent l="0" t="0" r="0" b="0"/>
                      <wp:wrapNone/>
                      <wp:docPr id="211" name="Frame2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67360" cy="175260"/>
                      <wp:effectExtent l="0" t="0" r="0" b="0"/>
                      <wp:wrapNone/>
                      <wp:docPr id="212" name="Frame2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3210" cy="175260"/>
                      <wp:effectExtent l="0" t="0" r="0" b="0"/>
                      <wp:wrapNone/>
                      <wp:docPr id="213" name="Frame213"/>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72085" cy="175260"/>
                      <wp:effectExtent l="0" t="0" r="0" b="0"/>
                      <wp:wrapNone/>
                      <wp:docPr id="214" name="Frame21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67360" cy="175260"/>
                      <wp:effectExtent l="0" t="0" r="0" b="0"/>
                      <wp:wrapNone/>
                      <wp:docPr id="215" name="Frame21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02870" cy="175260"/>
                      <wp:effectExtent l="0" t="0" r="0" b="0"/>
                      <wp:wrapNone/>
                      <wp:docPr id="216" name="Frame216"/>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amounts of income and expense</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amounts of income and expense</w:t>
            </w:r>
          </w:p>
        </w:tc>
        <w:tc>
          <w:tcPr>
            <w:tcW w:w="162" w:type="dxa"/>
            <w:tcBorders/>
            <w:vAlign w:val="center"/>
          </w:tcPr>
          <w:p>
            <w:pPr>
              <w:pStyle w:val="TableContents"/>
              <w:bidi w:val="0"/>
              <w:spacing w:before="0" w:after="0"/>
              <w:ind w:left="0" w:right="0" w:hanging="0"/>
              <w:jc w:val="left"/>
              <w:rPr/>
            </w:pPr>
            <w:r>
              <w:rPr/>
              <w:t>​</w:t>
            </w:r>
          </w:p>
        </w:tc>
      </w:tr>
      <w:tr>
        <w:trPr/>
        <w:tc>
          <w:tcPr>
            <w:tcW w:w="24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items presented that reflect the</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items presented that reflect the</w:t>
            </w:r>
          </w:p>
        </w:tc>
        <w:tc>
          <w:tcPr>
            <w:tcW w:w="162" w:type="dxa"/>
            <w:tcBorders/>
            <w:vAlign w:val="center"/>
          </w:tcPr>
          <w:p>
            <w:pPr>
              <w:pStyle w:val="TableContents"/>
              <w:bidi w:val="0"/>
              <w:spacing w:before="0" w:after="0"/>
              <w:ind w:left="0" w:right="0" w:hanging="0"/>
              <w:jc w:val="left"/>
              <w:rPr/>
            </w:pPr>
            <w:r>
              <w:rPr/>
              <w:t>​</w:t>
            </w:r>
          </w:p>
        </w:tc>
      </w:tr>
      <w:tr>
        <w:trPr/>
        <w:tc>
          <w:tcPr>
            <w:tcW w:w="24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effects of cash flow hedges recorded</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effects of cash flow hedges recorded</w:t>
            </w:r>
          </w:p>
        </w:tc>
        <w:tc>
          <w:tcPr>
            <w:tcW w:w="162" w:type="dxa"/>
            <w:tcBorders/>
            <w:vAlign w:val="center"/>
          </w:tcPr>
          <w:p>
            <w:pPr>
              <w:pStyle w:val="TableContents"/>
              <w:bidi w:val="0"/>
              <w:spacing w:before="0" w:after="0"/>
              <w:ind w:left="0" w:right="0" w:hanging="0"/>
              <w:jc w:val="left"/>
              <w:rPr/>
            </w:pPr>
            <w:r>
              <w:rPr/>
              <w:t>​</w:t>
            </w:r>
          </w:p>
        </w:tc>
      </w:tr>
      <w:tr>
        <w:trPr/>
        <w:tc>
          <w:tcPr>
            <w:tcW w:w="24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0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62" w:type="dxa"/>
            <w:tcBorders/>
            <w:vAlign w:val="center"/>
          </w:tcPr>
          <w:p>
            <w:pPr>
              <w:pStyle w:val="TableContents"/>
              <w:bidi w:val="0"/>
              <w:spacing w:before="0" w:after="0"/>
              <w:ind w:left="0" w:right="0" w:hanging="0"/>
              <w:jc w:val="left"/>
              <w:rPr/>
            </w:pPr>
            <w:r>
              <w:rPr/>
              <w:t>​</w:t>
            </w:r>
          </w:p>
        </w:tc>
      </w:tr>
      <w:tr>
        <w:trPr/>
        <w:tc>
          <w:tcPr>
            <w:tcW w:w="24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designated as hedging instruments</w:t>
            </w:r>
          </w:p>
        </w:tc>
        <w:tc>
          <w:tcPr>
            <w:tcW w:w="346" w:type="dxa"/>
            <w:tcBorders/>
            <w:vAlign w:val="center"/>
          </w:tcPr>
          <w:p>
            <w:pPr>
              <w:pStyle w:val="TableContents"/>
              <w:bidi w:val="0"/>
              <w:spacing w:before="0" w:after="0"/>
              <w:ind w:left="0" w:right="0" w:hanging="0"/>
              <w:jc w:val="left"/>
              <w:rPr/>
            </w:pPr>
            <w:r>
              <w:rPr/>
              <w:t>  ​ ​ ​</w:t>
            </w:r>
          </w:p>
        </w:tc>
        <w:tc>
          <w:tcPr>
            <w:tcW w:w="16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 Location</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2" w:type="dxa"/>
            <w:tcBorders/>
            <w:vAlign w:val="center"/>
          </w:tcPr>
          <w:p>
            <w:pPr>
              <w:pStyle w:val="TableContents"/>
              <w:bidi w:val="0"/>
              <w:spacing w:before="0" w:after="0"/>
              <w:ind w:left="0" w:right="0" w:hanging="0"/>
              <w:jc w:val="left"/>
              <w:rPr/>
            </w:pPr>
            <w:r>
              <w:rPr/>
              <w:t>​</w:t>
            </w:r>
          </w:p>
        </w:tc>
      </w:tr>
      <w:tr>
        <w:trPr/>
        <w:tc>
          <w:tcPr>
            <w:tcW w:w="2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0"/>
              <w:ind w:left="0" w:right="0" w:hanging="0"/>
              <w:jc w:val="left"/>
              <w:rPr/>
            </w:pPr>
            <w:r>
              <w:rPr/>
              <w:t> </w:t>
            </w:r>
          </w:p>
        </w:tc>
        <w:tc>
          <w:tcPr>
            <w:tcW w:w="1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4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4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7,187</w:t>
            </w:r>
          </w:p>
        </w:tc>
        <w:tc>
          <w:tcPr>
            <w:tcW w:w="16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0"/>
        <w:ind w:left="0" w:right="0" w:hanging="0"/>
        <w:jc w:val="left"/>
        <w:rPr/>
      </w:pPr>
      <w:bookmarkStart w:id="834" w:name="Tc_UnwbvRGLZ0qNt3APf0UnOw_6_17"/>
      <w:bookmarkStart w:id="835" w:name="Tc_h2Rb4QpO20OQKt4KFYN2YA_6_15"/>
      <w:bookmarkStart w:id="836" w:name="Tc_CsB1N4IFMEqxDdRtki9Rag_6_14"/>
      <w:bookmarkStart w:id="837" w:name="Tc_idWjaSdjJk6qZ35XfNnqIg_6_12"/>
      <w:bookmarkStart w:id="838" w:name="Tc_0r01YJX6mEyPGggUV3de2g_6_11"/>
      <w:bookmarkStart w:id="839" w:name="Tc_jxuK3mKABky71zwCSJ7QaQ_6_8"/>
      <w:bookmarkStart w:id="840" w:name="Tc_NOXTBcwz6kiW0-BgEj1BEg_6_6"/>
      <w:bookmarkStart w:id="841" w:name="Tc_gyVO18hgWEully32R9w5cA_6_5"/>
      <w:bookmarkStart w:id="842" w:name="Tc_Vbl9uW7aykyGS2hLA-d_RQ_6_2"/>
      <w:bookmarkStart w:id="843" w:name="Tc_gev0rozdYkGmmePix6prBA_6_0"/>
      <w:bookmarkStart w:id="844" w:name="Tc_8rQphGs_jE-vGofp53LviQ_5_17"/>
      <w:bookmarkStart w:id="845" w:name="Tc_BKcdn-9wvkSgzE8FGRULnQ_5_14"/>
      <w:bookmarkStart w:id="846" w:name="Tc_evMFxcTix0eJEmcxaIs_lQ_5_11"/>
      <w:bookmarkStart w:id="847" w:name="Tc_yv8M0WpRWkuSDguFuYgGgA_5_8"/>
      <w:bookmarkStart w:id="848" w:name="Tc_V7L0u-6c40q3vuLTK5Sl6A_5_5"/>
      <w:bookmarkStart w:id="849" w:name="Tc_4W-7ctqD5EOQJDWWgp9y7g_5_2"/>
      <w:bookmarkStart w:id="850" w:name="Tc_dS8R-BwAS0KTCJlB1CoAZQ_5_0"/>
      <w:bookmarkStart w:id="851" w:name="Tc_XbJXSmkaR0Kfx3UHwbytIQ_4_14"/>
      <w:bookmarkStart w:id="852" w:name="Tc_Dwrml-1AaUalxfEobEBAAg_4_11"/>
      <w:bookmarkStart w:id="853" w:name="Tc_rPUAzvLAHUGx8Nnu0y72TQ_4_8"/>
      <w:bookmarkStart w:id="854" w:name="Tc_bahkzWUE-EWeCceueZzfIw_4_5"/>
      <w:bookmarkStart w:id="855" w:name="Tc_HUTGtCv3u0i8qdUlBXZSBQ_4_2"/>
      <w:bookmarkStart w:id="856" w:name="Tc_f2Y8_KepV0yEbpVkyd2vVg_4_0"/>
      <w:bookmarkStart w:id="857" w:name="Tc_tP5vHqLjWUmEG-Y9X4_A5Q_3_11"/>
      <w:bookmarkStart w:id="858" w:name="Tc_Gr5Kr6JeEkeQnRmw4DLu3Q_3_8"/>
      <w:bookmarkStart w:id="859" w:name="Tc_yoHmKgcJs0mxm1jTI0nVug_3_5"/>
      <w:bookmarkStart w:id="860" w:name="Tc_hwVQHguX7kK8bbcmPXC8Cg_3_2"/>
      <w:bookmarkStart w:id="861" w:name="Tc_zO4BfJcFukmEeReUifra-g_3_0"/>
      <w:bookmarkStart w:id="862" w:name="Tc_JYiG9ARCck-SHMcx5buPTQ_2_11"/>
      <w:bookmarkStart w:id="863" w:name="Tc_eDSYc-vfukWsJcj3QkXdBg_2_8"/>
      <w:bookmarkStart w:id="864" w:name="Tc_RNJ5qMBKN0GFEbN5wBO5AA_2_5"/>
      <w:bookmarkStart w:id="865" w:name="Tc_9JoCpYo55UKksy7pPghPpA_1_8"/>
      <w:bookmarkStart w:id="866" w:name="_0046050d_4c03_4528_9eb1_4ec2dce661cd"/>
      <w:bookmarkStart w:id="867" w:name="Tc_xM1x5IhV_0y1TL_ZI6961w_6_17"/>
      <w:bookmarkStart w:id="868" w:name="Tc_Lye-o5HC5UCXptIe0vSVMg_6_15"/>
      <w:bookmarkStart w:id="869" w:name="Tc_dOlqM03MGEC2-WqLtrAILQ_6_14"/>
      <w:bookmarkStart w:id="870" w:name="Tc_ZVKHV3WB50m2rqbtipu-8Q_6_12"/>
      <w:bookmarkStart w:id="871" w:name="Tc_G6N4yQsqQEWQMcKxHYdj0Q_6_11"/>
      <w:bookmarkStart w:id="872" w:name="Tc_7g4U9RfXwkySy4WMz4j4-Q_6_8"/>
      <w:bookmarkStart w:id="873" w:name="Tc_EqLXP6bnrU6pfOqkK9oeOw_6_6"/>
      <w:bookmarkStart w:id="874" w:name="Tc_1jJ1jPYyEE6NeUMdXXQIBw_6_5"/>
      <w:bookmarkStart w:id="875" w:name="Tc_cgy6Gc03xkSunndVnS7M8Q_6_2"/>
      <w:bookmarkStart w:id="876" w:name="Tc_14E8uFSViUORkfVlnv3QhA_6_0"/>
      <w:bookmarkStart w:id="877" w:name="Tc_EkmANBh0YkO7jj4AsJoiIA_5_17"/>
      <w:bookmarkStart w:id="878" w:name="Tc_Mz4LVJDki0qj43pWHPXghA_5_14"/>
      <w:bookmarkStart w:id="879" w:name="Tc_vIcdW6zdN0SanSZbJbG0AA_5_11"/>
      <w:bookmarkStart w:id="880" w:name="Tc_vEigEz9LmUKr1anN0Wlzmg_5_8"/>
      <w:bookmarkStart w:id="881" w:name="Tc_WM0q5_mj3EKteGJumgsjsg_5_5"/>
      <w:bookmarkStart w:id="882" w:name="Tc_Kl77TvIQvEy9XdYp-42L2w_5_2"/>
      <w:bookmarkStart w:id="883" w:name="Tc_4hAGcMBTfECRh_k7tkOXjg_5_0"/>
      <w:bookmarkStart w:id="884" w:name="Tc_fBJynhH0bkC5mobh_hVJfg_4_14"/>
      <w:bookmarkStart w:id="885" w:name="Tc_BkT2fyEYB0uuZnj-obMemg_4_11"/>
      <w:bookmarkStart w:id="886" w:name="Tc_2WzHSqYY-0uuQj-f0daqXA_4_8"/>
      <w:bookmarkStart w:id="887" w:name="Tc_pqiCdZ9-oEelWUO6cyLA-A_4_5"/>
      <w:bookmarkStart w:id="888" w:name="Tc_SVdKJGxH30yWd30Sq-vyDw_4_2"/>
      <w:bookmarkStart w:id="889" w:name="Tc_eKaob4Z16kmiCEe79Qszgg_4_0"/>
      <w:bookmarkStart w:id="890" w:name="Tc_2ywcJ9FokUu6rQijbIzTCw_3_11"/>
      <w:bookmarkStart w:id="891" w:name="Tc_WQxKpyRmiUWL-OzjiLOBIA_3_8"/>
      <w:bookmarkStart w:id="892" w:name="Tc_FElurbX-J0eKySfl3neZBQ_3_5"/>
      <w:bookmarkStart w:id="893" w:name="Tc_TumhiWQQ8kih2Mx9dC0qYg_3_2"/>
      <w:bookmarkStart w:id="894" w:name="Tc_OBiEQPOtg0mMCwSUTHEBvA_3_0"/>
      <w:bookmarkStart w:id="895" w:name="Tc_JaUcTxlss0Ke0Q57iHd2vA_2_11"/>
      <w:bookmarkStart w:id="896" w:name="Tc_r-1f6-yprkadXO2Xdi-0zQ_2_8"/>
      <w:bookmarkStart w:id="897" w:name="Tc_J0GtvxrST0ybQGXeRuKkYg_2_5"/>
      <w:bookmarkStart w:id="898" w:name="Tc_wcdnn7yUyku_NZ1wHv6iFw_1_8"/>
      <w:bookmarkStart w:id="899" w:name="_b4aa8b28_c43c_405e_9aa5_e61b71348b56"/>
      <w:bookmarkStart w:id="900" w:name="Tc_n8CLYeJh8UKd5PfYONuW0A_6_17"/>
      <w:bookmarkStart w:id="901" w:name="Tc_aDmt9T-GKUaSoPHe6fUEIA_6_15"/>
      <w:bookmarkStart w:id="902" w:name="Tc_uv2mVD90i0Wd8NJXc_lG9g_6_14"/>
      <w:bookmarkStart w:id="903" w:name="Tc_TOM4CMmEeEaSKpGxP0JHrQ_6_12"/>
      <w:bookmarkStart w:id="904" w:name="Tc_f3V1rxmPGkaGkDgbvGhyCw_6_11"/>
      <w:bookmarkStart w:id="905" w:name="Tc_zmcOlKzqj0KF6yZ43soZtA_6_8"/>
      <w:bookmarkStart w:id="906" w:name="Tc_rFyFzgczDkmRxePbFj3OJA_6_6"/>
      <w:bookmarkStart w:id="907" w:name="Tc_Uc_s8KxkdkqPSBIZgX2h7A_6_5"/>
      <w:bookmarkStart w:id="908" w:name="Tc_nfnVv8IuKkK4ROTSwf8hJQ_6_2"/>
      <w:bookmarkStart w:id="909" w:name="Tc_c4gbQbTvakiXcdHc6dDMQw_6_0"/>
      <w:bookmarkStart w:id="910" w:name="Tc_vaATEMOF6UqnXtMM9QQ5pA_5_17"/>
      <w:bookmarkStart w:id="911" w:name="Tc_oLBRXWEWP0uJUVAPvPhI0w_5_14"/>
      <w:bookmarkStart w:id="912" w:name="Tc_Z4BPPAF04UG4-d_5w297lA_5_11"/>
      <w:bookmarkStart w:id="913" w:name="Tc_pE1w2Uoia0mFnLtyl2MSdA_5_8"/>
      <w:bookmarkStart w:id="914" w:name="Tc_BhxOF7ibgEu223KiP_8YqA_5_5"/>
      <w:bookmarkStart w:id="915" w:name="Tc_VYc9Z_KHQUerZpl0-HFEpw_5_2"/>
      <w:bookmarkStart w:id="916" w:name="Tc_t0uv658FR0G9Qrune2Kuxg_5_0"/>
      <w:bookmarkStart w:id="917" w:name="Tc_QSuN7fqX7UWcSWrRy0iDlA_4_14"/>
      <w:bookmarkStart w:id="918" w:name="Tc_em98NEmM6EC_-Uc3w1QfqQ_4_11"/>
      <w:bookmarkStart w:id="919" w:name="Tc_ZdskI-RYDk-pQQG_oyt8Pw_4_8"/>
      <w:bookmarkStart w:id="920" w:name="Tc_aU_4ZxDEFUiv-iozejyFmA_4_5"/>
      <w:bookmarkStart w:id="921" w:name="Tc_ZTaKcGd9y0qGTFrx_w_RyA_4_2"/>
      <w:bookmarkStart w:id="922" w:name="Tc_ZPN1rT0Pl0GX8_pvgkrAkg_4_0"/>
      <w:bookmarkStart w:id="923" w:name="Tc_dzKMle1qiUaJPKcJXlEJVw_3_11"/>
      <w:bookmarkStart w:id="924" w:name="Tc_vvc-BZeIN0CAVRvKbHG5PQ_3_8"/>
      <w:bookmarkStart w:id="925" w:name="Tc_TeWdJVR64UeIJf-nzHgreQ_3_5"/>
      <w:bookmarkStart w:id="926" w:name="Tc_xuf1m44SbUaALd6YMJDwbg_3_2"/>
      <w:bookmarkStart w:id="927" w:name="Tc_U9Vh14rsjEq7uRKO7vGO_w_3_0"/>
      <w:bookmarkStart w:id="928" w:name="Tc_H0gfWDQBCE-4kxZlHkhgwg_2_11"/>
      <w:bookmarkStart w:id="929" w:name="Tc_j-kWKaLS-0iZAubLbLKBbw_2_8"/>
      <w:bookmarkStart w:id="930" w:name="Tc_tr4qJe1_AU-f-_32nlkMdQ_2_5"/>
      <w:bookmarkStart w:id="931" w:name="Tc_AH8lTo-8ekWZIfvfiKwCOg_1_8"/>
      <w:bookmarkStart w:id="932" w:name="_9530f3b0_6c31_4023_a025_808741e69b13"/>
      <w:bookmarkStart w:id="933" w:name="Tc_J9B8qTeNm06CP6CGwLbWMw_6_17"/>
      <w:bookmarkStart w:id="934" w:name="Tc_oIvgj6rYSEuB1teQcDavCg_6_15"/>
      <w:bookmarkStart w:id="935" w:name="Tc_Pcw_Qc-pgkak62byxyBFlA_6_14"/>
      <w:bookmarkStart w:id="936" w:name="Tc_B2uJis7Xi0inpNrRDaK1YA_6_12"/>
      <w:bookmarkStart w:id="937" w:name="Tc_DQZdFWC5cEW4fWCldw0w0Q_6_11"/>
      <w:bookmarkStart w:id="938" w:name="Tc_4UBNijpin0iVxFDWScgZrA_6_8"/>
      <w:bookmarkStart w:id="939" w:name="Tc_z62TcBH25UGdg6ZlJhxGSQ_6_6"/>
      <w:bookmarkStart w:id="940" w:name="Tc_5z2xxLQZtkux97TWGNQi9Q_6_5"/>
      <w:bookmarkStart w:id="941" w:name="Tc_X464E7aVmU-spDz77ItWYA_6_2"/>
      <w:bookmarkStart w:id="942" w:name="Tc_Hp2oB0hs-06n0Uf1vc-ErA_6_0"/>
      <w:bookmarkStart w:id="943" w:name="Tc_RsDt7mM2M029J21g2lbiuA_5_17"/>
      <w:bookmarkStart w:id="944" w:name="Tc_BsVJ6teaNUye1hbNhU8ZPQ_5_14"/>
      <w:bookmarkStart w:id="945" w:name="Tc_7z2sCz6G4E6LzKdC-3YnTw_5_11"/>
      <w:bookmarkStart w:id="946" w:name="Tc_sRq8BeKTGU61Pf-UQxeGrQ_5_8"/>
      <w:bookmarkStart w:id="947" w:name="Tc_pHOvrN7FU02fDCB9DhHwAA_5_5"/>
      <w:bookmarkStart w:id="948" w:name="Tc_IsK7KXGXdUOYYwcIZyrW4w_5_2"/>
      <w:bookmarkStart w:id="949" w:name="Tc_OXsGasWitk2blPt2wxOsJQ_5_0"/>
      <w:bookmarkStart w:id="950" w:name="Tc_52xl2vnIgE2VEhxp2VAVHA_4_14"/>
      <w:bookmarkStart w:id="951" w:name="Tc_QATxWLcO4kixIy2ZFeyJwA_4_11"/>
      <w:bookmarkStart w:id="952" w:name="Tc_myPOb8nGYUWFPBUS__YFJw_4_8"/>
      <w:bookmarkStart w:id="953" w:name="Tc_DOws0EhiI0qBLah49cZNOA_4_5"/>
      <w:bookmarkStart w:id="954" w:name="Tc_5OOd_h35TkG89waApU4qJA_4_2"/>
      <w:bookmarkStart w:id="955" w:name="Tc_VSgAO_r2vEy3I3PdJo44Ig_4_0"/>
      <w:bookmarkStart w:id="956" w:name="Tc_kS04v-9Gi0GI4bMU9Q4IBA_3_11"/>
      <w:bookmarkStart w:id="957" w:name="Tc_jpSon5C_rU-ZG_sd1ZQVww_3_8"/>
      <w:bookmarkStart w:id="958" w:name="Tc_ui45pyiFkkOTG0WzdDSIPw_3_5"/>
      <w:bookmarkStart w:id="959" w:name="Tc_3sKUwouOhE67RhSscC__2g_3_2"/>
      <w:bookmarkStart w:id="960" w:name="Tc_x9UiSuSwIkWtiQ7INEeyAA_3_0"/>
      <w:bookmarkStart w:id="961" w:name="Tc_8uO4-jj2w0uH2huiZXHmgQ_2_11"/>
      <w:bookmarkStart w:id="962" w:name="Tc_JjUeZiJRJUuM01rc-wlhNw_2_8"/>
      <w:bookmarkStart w:id="963" w:name="Tc_CMjy2jA-J0av5qFmeGPY4g_2_5"/>
      <w:bookmarkStart w:id="964" w:name="Tc_Bx8gIQonXEqIH3XQPi2UYg_1_8"/>
      <w:bookmarkStart w:id="965" w:name="_6a7f9e58_f883_4da8_8fbf_6934e065a630"/>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tables below present a gross presentation, the effects of offsetting, and a net presentation of the Company’s derivatives as of June 30, 2026 and December 31, 2025. The net amounts of derivative assets or liabilities can be reconciled to the tabular disclosure of fair value. The tabular disclosure of fair value provides the location that derivative assets and liabilities are presented in the condensed consolidated balance sheets: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Derivative assets:</w:t>
      </w:r>
    </w:p>
    <w:tbl>
      <w:tblPr>
        <w:tblW w:w="10132" w:type="dxa"/>
        <w:jc w:val="left"/>
        <w:tblInd w:w="0" w:type="dxa"/>
        <w:tblLayout w:type="fixed"/>
        <w:tblCellMar>
          <w:top w:w="0" w:type="dxa"/>
          <w:left w:w="0" w:type="dxa"/>
          <w:bottom w:w="0" w:type="dxa"/>
          <w:right w:w="0" w:type="dxa"/>
        </w:tblCellMar>
      </w:tblPr>
      <w:tblGrid>
        <w:gridCol w:w="1051"/>
        <w:gridCol w:w="346"/>
        <w:gridCol w:w="395"/>
        <w:gridCol w:w="791"/>
        <w:gridCol w:w="346"/>
        <w:gridCol w:w="449"/>
        <w:gridCol w:w="737"/>
        <w:gridCol w:w="346"/>
        <w:gridCol w:w="414"/>
        <w:gridCol w:w="832"/>
        <w:gridCol w:w="346"/>
        <w:gridCol w:w="357"/>
        <w:gridCol w:w="589"/>
        <w:gridCol w:w="463"/>
        <w:gridCol w:w="454"/>
        <w:gridCol w:w="747"/>
        <w:gridCol w:w="463"/>
        <w:gridCol w:w="288"/>
        <w:gridCol w:w="71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67385" cy="175260"/>
                      <wp:effectExtent l="0" t="0" r="0" b="0"/>
                      <wp:wrapNone/>
                      <wp:docPr id="217" name="Frame21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50825" cy="175260"/>
                      <wp:effectExtent l="0" t="0" r="0" b="0"/>
                      <wp:wrapNone/>
                      <wp:docPr id="219" name="Frame21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2285" cy="175260"/>
                      <wp:effectExtent l="0" t="0" r="0" b="0"/>
                      <wp:wrapNone/>
                      <wp:docPr id="220" name="Frame22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85115" cy="175260"/>
                      <wp:effectExtent l="0" t="0" r="0" b="0"/>
                      <wp:wrapNone/>
                      <wp:docPr id="222" name="Frame222"/>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67995" cy="175260"/>
                      <wp:effectExtent l="0" t="0" r="0" b="0"/>
                      <wp:wrapNone/>
                      <wp:docPr id="223" name="Frame223"/>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62890" cy="175260"/>
                      <wp:effectExtent l="0" t="0" r="0" b="0"/>
                      <wp:wrapNone/>
                      <wp:docPr id="225" name="Frame22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28320" cy="175260"/>
                      <wp:effectExtent l="0" t="0" r="0" b="0"/>
                      <wp:wrapNone/>
                      <wp:docPr id="226" name="Frame226"/>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6695" cy="175260"/>
                      <wp:effectExtent l="0" t="0" r="0" b="0"/>
                      <wp:wrapNone/>
                      <wp:docPr id="228" name="Frame22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74015" cy="175260"/>
                      <wp:effectExtent l="0" t="0" r="0" b="0"/>
                      <wp:wrapNone/>
                      <wp:docPr id="229" name="Frame229"/>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94005" cy="175260"/>
                      <wp:effectExtent l="0" t="0" r="0" b="0"/>
                      <wp:wrapNone/>
                      <wp:docPr id="230" name="Frame230"/>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88290" cy="175260"/>
                      <wp:effectExtent l="0" t="0" r="0" b="0"/>
                      <wp:wrapNone/>
                      <wp:docPr id="231" name="Frame231"/>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74345" cy="175260"/>
                      <wp:effectExtent l="0" t="0" r="0" b="0"/>
                      <wp:wrapNone/>
                      <wp:docPr id="232" name="Frame23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94005" cy="175260"/>
                      <wp:effectExtent l="0" t="0" r="0" b="0"/>
                      <wp:wrapNone/>
                      <wp:docPr id="233" name="Frame233"/>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2880" cy="175260"/>
                      <wp:effectExtent l="0" t="0" r="0" b="0"/>
                      <wp:wrapNone/>
                      <wp:docPr id="234" name="Frame234"/>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55930" cy="175260"/>
                      <wp:effectExtent l="0" t="0" r="0" b="0"/>
                      <wp:wrapNone/>
                      <wp:docPr id="235" name="Frame23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4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amounts</w:t>
            </w:r>
          </w:p>
        </w:tc>
        <w:tc>
          <w:tcPr>
            <w:tcW w:w="34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center"/>
              <w:rPr/>
            </w:pPr>
            <w:r>
              <w:rPr/>
              <w:t>​</w:t>
            </w:r>
          </w:p>
        </w:tc>
        <w:tc>
          <w:tcPr>
            <w:tcW w:w="463"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center"/>
              <w:rPr/>
            </w:pPr>
            <w:r>
              <w:rPr/>
              <w:t>​</w:t>
            </w:r>
          </w:p>
        </w:tc>
        <w:tc>
          <w:tcPr>
            <w:tcW w:w="463"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assets</w:t>
            </w:r>
          </w:p>
        </w:tc>
        <w:tc>
          <w:tcPr>
            <w:tcW w:w="346" w:type="dxa"/>
            <w:tcBorders/>
            <w:vAlign w:val="center"/>
          </w:tcPr>
          <w:p>
            <w:pPr>
              <w:pStyle w:val="TableContents"/>
              <w:bidi w:val="0"/>
              <w:spacing w:before="0" w:after="0"/>
              <w:ind w:left="0" w:right="0" w:hanging="0"/>
              <w:jc w:val="center"/>
              <w:rPr/>
            </w:pPr>
            <w:r>
              <w:rPr/>
              <w:t>​</w:t>
            </w:r>
          </w:p>
        </w:tc>
        <w:tc>
          <w:tcPr>
            <w:tcW w:w="407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 not offset in the consolidated </w:t>
            </w:r>
          </w:p>
        </w:tc>
      </w:tr>
      <w:tr>
        <w:trPr/>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offset in the</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presented in the</w:t>
            </w:r>
          </w:p>
        </w:tc>
        <w:tc>
          <w:tcPr>
            <w:tcW w:w="346" w:type="dxa"/>
            <w:tcBorders/>
            <w:vAlign w:val="center"/>
          </w:tcPr>
          <w:p>
            <w:pPr>
              <w:pStyle w:val="TableContents"/>
              <w:bidi w:val="0"/>
              <w:spacing w:before="0" w:after="0"/>
              <w:ind w:left="0" w:right="0" w:hanging="0"/>
              <w:jc w:val="center"/>
              <w:rPr/>
            </w:pPr>
            <w:r>
              <w:rPr/>
              <w:t>​</w:t>
            </w:r>
          </w:p>
        </w:tc>
        <w:tc>
          <w:tcPr>
            <w:tcW w:w="407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r>
      <w:tr>
        <w:trPr/>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recognized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463"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collateral</w:t>
            </w:r>
          </w:p>
        </w:tc>
        <w:tc>
          <w:tcPr>
            <w:tcW w:w="463"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center"/>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463"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received</w:t>
            </w:r>
          </w:p>
        </w:tc>
        <w:tc>
          <w:tcPr>
            <w:tcW w:w="463"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47"/>
        <w:gridCol w:w="346"/>
        <w:gridCol w:w="395"/>
        <w:gridCol w:w="791"/>
        <w:gridCol w:w="346"/>
        <w:gridCol w:w="449"/>
        <w:gridCol w:w="737"/>
        <w:gridCol w:w="346"/>
        <w:gridCol w:w="414"/>
        <w:gridCol w:w="832"/>
        <w:gridCol w:w="346"/>
        <w:gridCol w:w="357"/>
        <w:gridCol w:w="589"/>
        <w:gridCol w:w="451"/>
        <w:gridCol w:w="454"/>
        <w:gridCol w:w="747"/>
        <w:gridCol w:w="451"/>
        <w:gridCol w:w="288"/>
        <w:gridCol w:w="719"/>
      </w:tblGrid>
      <w:tr>
        <w:trPr/>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28345" cy="175260"/>
                      <wp:effectExtent l="0" t="0" r="0" b="0"/>
                      <wp:wrapNone/>
                      <wp:docPr id="236" name="Frame236"/>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50825" cy="175260"/>
                      <wp:effectExtent l="0" t="0" r="0" b="0"/>
                      <wp:wrapNone/>
                      <wp:docPr id="238" name="Frame238"/>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2285" cy="175260"/>
                      <wp:effectExtent l="0" t="0" r="0" b="0"/>
                      <wp:wrapNone/>
                      <wp:docPr id="239" name="Frame23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85115" cy="175260"/>
                      <wp:effectExtent l="0" t="0" r="0" b="0"/>
                      <wp:wrapNone/>
                      <wp:docPr id="241" name="Frame241"/>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67995" cy="175260"/>
                      <wp:effectExtent l="0" t="0" r="0" b="0"/>
                      <wp:wrapNone/>
                      <wp:docPr id="242" name="Frame242"/>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62890" cy="175260"/>
                      <wp:effectExtent l="0" t="0" r="0" b="0"/>
                      <wp:wrapNone/>
                      <wp:docPr id="244" name="Frame24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8320" cy="175260"/>
                      <wp:effectExtent l="0" t="0" r="0" b="0"/>
                      <wp:wrapNone/>
                      <wp:docPr id="245" name="Frame245"/>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6695" cy="175260"/>
                      <wp:effectExtent l="0" t="0" r="0" b="0"/>
                      <wp:wrapNone/>
                      <wp:docPr id="247" name="Frame24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74015" cy="175260"/>
                      <wp:effectExtent l="0" t="0" r="0" b="0"/>
                      <wp:wrapNone/>
                      <wp:docPr id="248" name="Frame24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86385" cy="175260"/>
                      <wp:effectExtent l="0" t="0" r="0" b="0"/>
                      <wp:wrapNone/>
                      <wp:docPr id="249" name="Frame24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88290" cy="175260"/>
                      <wp:effectExtent l="0" t="0" r="0" b="0"/>
                      <wp:wrapNone/>
                      <wp:docPr id="250" name="Frame250"/>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74345" cy="175260"/>
                      <wp:effectExtent l="0" t="0" r="0" b="0"/>
                      <wp:wrapNone/>
                      <wp:docPr id="251" name="Frame251"/>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86385" cy="175260"/>
                      <wp:effectExtent l="0" t="0" r="0" b="0"/>
                      <wp:wrapNone/>
                      <wp:docPr id="252" name="Frame25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82880" cy="175260"/>
                      <wp:effectExtent l="0" t="0" r="0" b="0"/>
                      <wp:wrapNone/>
                      <wp:docPr id="253" name="Frame25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56565" cy="175260"/>
                      <wp:effectExtent l="0" t="0" r="0" b="0"/>
                      <wp:wrapNone/>
                      <wp:docPr id="254" name="Frame254"/>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4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amounts</w:t>
            </w:r>
          </w:p>
        </w:tc>
        <w:tc>
          <w:tcPr>
            <w:tcW w:w="34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r>
      <w:tr>
        <w:trPr/>
        <w:tc>
          <w:tcPr>
            <w:tcW w:w="11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assets</w:t>
            </w:r>
          </w:p>
        </w:tc>
        <w:tc>
          <w:tcPr>
            <w:tcW w:w="346" w:type="dxa"/>
            <w:tcBorders/>
            <w:vAlign w:val="center"/>
          </w:tcPr>
          <w:p>
            <w:pPr>
              <w:pStyle w:val="TableContents"/>
              <w:bidi w:val="0"/>
              <w:spacing w:before="0" w:after="0"/>
              <w:ind w:left="0" w:right="0" w:hanging="0"/>
              <w:jc w:val="center"/>
              <w:rPr/>
            </w:pPr>
            <w:r>
              <w:rPr/>
              <w:t>​</w:t>
            </w:r>
          </w:p>
        </w:tc>
        <w:tc>
          <w:tcPr>
            <w:tcW w:w="405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 not offset in the consolidated </w:t>
            </w:r>
          </w:p>
        </w:tc>
      </w:tr>
      <w:tr>
        <w:trPr/>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offset in the</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presented in the</w:t>
            </w:r>
          </w:p>
        </w:tc>
        <w:tc>
          <w:tcPr>
            <w:tcW w:w="346" w:type="dxa"/>
            <w:tcBorders/>
            <w:vAlign w:val="center"/>
          </w:tcPr>
          <w:p>
            <w:pPr>
              <w:pStyle w:val="TableContents"/>
              <w:bidi w:val="0"/>
              <w:spacing w:before="0" w:after="0"/>
              <w:ind w:left="0" w:right="0" w:hanging="0"/>
              <w:jc w:val="center"/>
              <w:rPr/>
            </w:pPr>
            <w:r>
              <w:rPr/>
              <w:t>​</w:t>
            </w:r>
          </w:p>
        </w:tc>
        <w:tc>
          <w:tcPr>
            <w:tcW w:w="40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r>
      <w:tr>
        <w:trPr/>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recognized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451"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collateral</w:t>
            </w:r>
          </w:p>
        </w:tc>
        <w:tc>
          <w:tcPr>
            <w:tcW w:w="45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r>
      <w:tr>
        <w:trPr/>
        <w:tc>
          <w:tcPr>
            <w:tcW w:w="11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451"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received</w:t>
            </w:r>
          </w:p>
        </w:tc>
        <w:tc>
          <w:tcPr>
            <w:tcW w:w="45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11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Derivative liabilities:</w:t>
      </w:r>
    </w:p>
    <w:tbl>
      <w:tblPr>
        <w:tblW w:w="10205" w:type="dxa"/>
        <w:jc w:val="left"/>
        <w:tblInd w:w="0" w:type="dxa"/>
        <w:tblLayout w:type="fixed"/>
        <w:tblCellMar>
          <w:top w:w="0" w:type="dxa"/>
          <w:left w:w="0" w:type="dxa"/>
          <w:bottom w:w="0" w:type="dxa"/>
          <w:right w:w="0" w:type="dxa"/>
        </w:tblCellMar>
      </w:tblPr>
      <w:tblGrid>
        <w:gridCol w:w="1051"/>
        <w:gridCol w:w="346"/>
        <w:gridCol w:w="593"/>
        <w:gridCol w:w="593"/>
        <w:gridCol w:w="346"/>
        <w:gridCol w:w="449"/>
        <w:gridCol w:w="737"/>
        <w:gridCol w:w="346"/>
        <w:gridCol w:w="622"/>
        <w:gridCol w:w="624"/>
        <w:gridCol w:w="346"/>
        <w:gridCol w:w="371"/>
        <w:gridCol w:w="575"/>
        <w:gridCol w:w="499"/>
        <w:gridCol w:w="454"/>
        <w:gridCol w:w="747"/>
        <w:gridCol w:w="499"/>
        <w:gridCol w:w="400"/>
        <w:gridCol w:w="607"/>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67385" cy="175260"/>
                      <wp:effectExtent l="0" t="0" r="0" b="0"/>
                      <wp:wrapNone/>
                      <wp:docPr id="255" name="Frame25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76555" cy="175260"/>
                      <wp:effectExtent l="0" t="0" r="0" b="0"/>
                      <wp:wrapNone/>
                      <wp:docPr id="257" name="Frame257"/>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76555" cy="175260"/>
                      <wp:effectExtent l="0" t="0" r="0" b="0"/>
                      <wp:wrapNone/>
                      <wp:docPr id="258" name="Frame258"/>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85115" cy="175260"/>
                      <wp:effectExtent l="0" t="0" r="0" b="0"/>
                      <wp:wrapNone/>
                      <wp:docPr id="260" name="Frame260"/>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67995" cy="175260"/>
                      <wp:effectExtent l="0" t="0" r="0" b="0"/>
                      <wp:wrapNone/>
                      <wp:docPr id="261" name="Frame26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94970" cy="175260"/>
                      <wp:effectExtent l="0" t="0" r="0" b="0"/>
                      <wp:wrapNone/>
                      <wp:docPr id="263" name="Frame263"/>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96240" cy="175260"/>
                      <wp:effectExtent l="0" t="0" r="0" b="0"/>
                      <wp:wrapNone/>
                      <wp:docPr id="264" name="Frame264"/>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35585" cy="175260"/>
                      <wp:effectExtent l="0" t="0" r="0" b="0"/>
                      <wp:wrapNone/>
                      <wp:docPr id="266" name="Frame26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65125" cy="175260"/>
                      <wp:effectExtent l="0" t="0" r="0" b="0"/>
                      <wp:wrapNone/>
                      <wp:docPr id="267" name="Frame267"/>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16865" cy="175260"/>
                      <wp:effectExtent l="0" t="0" r="0" b="0"/>
                      <wp:wrapNone/>
                      <wp:docPr id="268" name="Frame268"/>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88290" cy="175260"/>
                      <wp:effectExtent l="0" t="0" r="0" b="0"/>
                      <wp:wrapNone/>
                      <wp:docPr id="269" name="Frame269"/>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74345" cy="175260"/>
                      <wp:effectExtent l="0" t="0" r="0" b="0"/>
                      <wp:wrapNone/>
                      <wp:docPr id="270" name="Frame270"/>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16865" cy="175260"/>
                      <wp:effectExtent l="0" t="0" r="0" b="0"/>
                      <wp:wrapNone/>
                      <wp:docPr id="271" name="Frame271"/>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54000" cy="175260"/>
                      <wp:effectExtent l="0" t="0" r="0" b="0"/>
                      <wp:wrapNone/>
                      <wp:docPr id="272" name="Frame27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85445" cy="175260"/>
                      <wp:effectExtent l="0" t="0" r="0" b="0"/>
                      <wp:wrapNone/>
                      <wp:docPr id="273" name="Frame27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4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amounts</w:t>
            </w:r>
          </w:p>
        </w:tc>
        <w:tc>
          <w:tcPr>
            <w:tcW w:w="346"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w:t>
            </w:r>
          </w:p>
        </w:tc>
        <w:tc>
          <w:tcPr>
            <w:tcW w:w="575"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liabilities</w:t>
            </w:r>
          </w:p>
        </w:tc>
        <w:tc>
          <w:tcPr>
            <w:tcW w:w="346" w:type="dxa"/>
            <w:tcBorders/>
            <w:vAlign w:val="center"/>
          </w:tcPr>
          <w:p>
            <w:pPr>
              <w:pStyle w:val="TableContents"/>
              <w:bidi w:val="0"/>
              <w:spacing w:before="0" w:after="0"/>
              <w:ind w:left="0" w:right="0" w:hanging="0"/>
              <w:jc w:val="center"/>
              <w:rPr/>
            </w:pPr>
            <w:r>
              <w:rPr/>
              <w:t>​</w:t>
            </w:r>
          </w:p>
        </w:tc>
        <w:tc>
          <w:tcPr>
            <w:tcW w:w="415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 not offset in the consolidated </w:t>
            </w:r>
          </w:p>
        </w:tc>
      </w:tr>
      <w:tr>
        <w:trPr/>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offset in the</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presented in the</w:t>
            </w:r>
          </w:p>
        </w:tc>
        <w:tc>
          <w:tcPr>
            <w:tcW w:w="346" w:type="dxa"/>
            <w:tcBorders/>
            <w:vAlign w:val="center"/>
          </w:tcPr>
          <w:p>
            <w:pPr>
              <w:pStyle w:val="TableContents"/>
              <w:bidi w:val="0"/>
              <w:spacing w:before="0" w:after="0"/>
              <w:ind w:left="0" w:right="0" w:hanging="0"/>
              <w:jc w:val="center"/>
              <w:rPr/>
            </w:pPr>
            <w:r>
              <w:rPr/>
              <w:t>​</w:t>
            </w:r>
          </w:p>
        </w:tc>
        <w:tc>
          <w:tcPr>
            <w:tcW w:w="41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r>
      <w:tr>
        <w:trPr/>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recognized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499"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collateral</w:t>
            </w:r>
          </w:p>
        </w:tc>
        <w:tc>
          <w:tcPr>
            <w:tcW w:w="499"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499"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received</w:t>
            </w:r>
          </w:p>
        </w:tc>
        <w:tc>
          <w:tcPr>
            <w:tcW w:w="499"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47"/>
        <w:gridCol w:w="346"/>
        <w:gridCol w:w="395"/>
        <w:gridCol w:w="791"/>
        <w:gridCol w:w="346"/>
        <w:gridCol w:w="449"/>
        <w:gridCol w:w="737"/>
        <w:gridCol w:w="346"/>
        <w:gridCol w:w="414"/>
        <w:gridCol w:w="832"/>
        <w:gridCol w:w="346"/>
        <w:gridCol w:w="357"/>
        <w:gridCol w:w="589"/>
        <w:gridCol w:w="451"/>
        <w:gridCol w:w="454"/>
        <w:gridCol w:w="747"/>
        <w:gridCol w:w="451"/>
        <w:gridCol w:w="288"/>
        <w:gridCol w:w="719"/>
      </w:tblGrid>
      <w:tr>
        <w:trPr/>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28345" cy="175260"/>
                      <wp:effectExtent l="0" t="0" r="0" b="0"/>
                      <wp:wrapNone/>
                      <wp:docPr id="274" name="Frame274"/>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50825" cy="175260"/>
                      <wp:effectExtent l="0" t="0" r="0" b="0"/>
                      <wp:wrapNone/>
                      <wp:docPr id="276" name="Frame276"/>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02285" cy="175260"/>
                      <wp:effectExtent l="0" t="0" r="0" b="0"/>
                      <wp:wrapNone/>
                      <wp:docPr id="277" name="Frame27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85115" cy="175260"/>
                      <wp:effectExtent l="0" t="0" r="0" b="0"/>
                      <wp:wrapNone/>
                      <wp:docPr id="279" name="Frame279"/>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67995" cy="175260"/>
                      <wp:effectExtent l="0" t="0" r="0" b="0"/>
                      <wp:wrapNone/>
                      <wp:docPr id="280" name="Frame28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62890" cy="175260"/>
                      <wp:effectExtent l="0" t="0" r="0" b="0"/>
                      <wp:wrapNone/>
                      <wp:docPr id="282" name="Frame282"/>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28320" cy="175260"/>
                      <wp:effectExtent l="0" t="0" r="0" b="0"/>
                      <wp:wrapNone/>
                      <wp:docPr id="283" name="Frame28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26695" cy="175260"/>
                      <wp:effectExtent l="0" t="0" r="0" b="0"/>
                      <wp:wrapNone/>
                      <wp:docPr id="285" name="Frame28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74015" cy="175260"/>
                      <wp:effectExtent l="0" t="0" r="0" b="0"/>
                      <wp:wrapNone/>
                      <wp:docPr id="286" name="Frame286"/>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86385" cy="175260"/>
                      <wp:effectExtent l="0" t="0" r="0" b="0"/>
                      <wp:wrapNone/>
                      <wp:docPr id="287" name="Frame28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88290" cy="175260"/>
                      <wp:effectExtent l="0" t="0" r="0" b="0"/>
                      <wp:wrapNone/>
                      <wp:docPr id="288" name="Frame288"/>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74345" cy="175260"/>
                      <wp:effectExtent l="0" t="0" r="0" b="0"/>
                      <wp:wrapNone/>
                      <wp:docPr id="289" name="Frame289"/>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86385" cy="175260"/>
                      <wp:effectExtent l="0" t="0" r="0" b="0"/>
                      <wp:wrapNone/>
                      <wp:docPr id="290" name="Frame29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82880" cy="175260"/>
                      <wp:effectExtent l="0" t="0" r="0" b="0"/>
                      <wp:wrapNone/>
                      <wp:docPr id="291" name="Frame29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56565" cy="175260"/>
                      <wp:effectExtent l="0" t="0" r="0" b="0"/>
                      <wp:wrapNone/>
                      <wp:docPr id="292" name="Frame29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4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amounts</w:t>
            </w:r>
          </w:p>
        </w:tc>
        <w:tc>
          <w:tcPr>
            <w:tcW w:w="34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454"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r>
      <w:tr>
        <w:trPr/>
        <w:tc>
          <w:tcPr>
            <w:tcW w:w="11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liabilities</w:t>
            </w:r>
          </w:p>
        </w:tc>
        <w:tc>
          <w:tcPr>
            <w:tcW w:w="346" w:type="dxa"/>
            <w:tcBorders/>
            <w:vAlign w:val="center"/>
          </w:tcPr>
          <w:p>
            <w:pPr>
              <w:pStyle w:val="TableContents"/>
              <w:bidi w:val="0"/>
              <w:spacing w:before="0" w:after="0"/>
              <w:ind w:left="0" w:right="0" w:hanging="0"/>
              <w:jc w:val="center"/>
              <w:rPr/>
            </w:pPr>
            <w:r>
              <w:rPr/>
              <w:t>​</w:t>
            </w:r>
          </w:p>
        </w:tc>
        <w:tc>
          <w:tcPr>
            <w:tcW w:w="405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 not offset in the consolidated </w:t>
            </w:r>
          </w:p>
        </w:tc>
      </w:tr>
      <w:tr>
        <w:trPr/>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amounts</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offset in the</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presented in the</w:t>
            </w:r>
          </w:p>
        </w:tc>
        <w:tc>
          <w:tcPr>
            <w:tcW w:w="346" w:type="dxa"/>
            <w:tcBorders/>
            <w:vAlign w:val="center"/>
          </w:tcPr>
          <w:p>
            <w:pPr>
              <w:pStyle w:val="TableContents"/>
              <w:bidi w:val="0"/>
              <w:spacing w:before="0" w:after="0"/>
              <w:ind w:left="0" w:right="0" w:hanging="0"/>
              <w:jc w:val="center"/>
              <w:rPr/>
            </w:pPr>
            <w:r>
              <w:rPr/>
              <w:t>​</w:t>
            </w:r>
          </w:p>
        </w:tc>
        <w:tc>
          <w:tcPr>
            <w:tcW w:w="40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r>
      <w:tr>
        <w:trPr/>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recognized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451"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collateral</w:t>
            </w:r>
          </w:p>
        </w:tc>
        <w:tc>
          <w:tcPr>
            <w:tcW w:w="45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r>
      <w:tr>
        <w:trPr/>
        <w:tc>
          <w:tcPr>
            <w:tcW w:w="11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451"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received</w:t>
            </w:r>
          </w:p>
        </w:tc>
        <w:tc>
          <w:tcPr>
            <w:tcW w:w="45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11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4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agreements with each of its derivative counterparties that contain a provision where if the Company either defaults or is capable of being declared in default on any of its indebtedness, then the Company could also be declared in default on its derivative obligations.</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11.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Authoritative guidance defines fair value as the price that would be received to sell an asset or paid to transfer a liability (an exit price) in an orderly transaction between market participants at the measurement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guidance establishes a framework for measuring fair value which utilizes observable and unobservable inputs. Observable inputs reflect market data obtained from independent sources, while unobservable inputs reflect the Company’s market assumptions. Preference is given to observable inputs.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240"/>
        <w:ind w:left="0" w:right="0" w:hanging="0"/>
        <w:jc w:val="left"/>
        <w:rPr>
          <w:rFonts w:ascii="Times New Roman;Times;serif" w:hAnsi="Times New Roman;Times;serif"/>
          <w:sz w:val="20"/>
        </w:rPr>
      </w:pPr>
      <w:bookmarkStart w:id="966" w:name="Tc_mUIWvUPmGUyRqnzE2D3DOA_6_9"/>
      <w:bookmarkStart w:id="967" w:name="Tc_jK-JcEr1xEOe_t5TJ4taDw_6_3"/>
      <w:bookmarkStart w:id="968" w:name="Tc__7-BAUqqqUSnc5yvP17c7g_6_0"/>
      <w:bookmarkStart w:id="969" w:name="Tc_8JMO9wUYW0ONsQHwvD6o-Q_5_9"/>
      <w:bookmarkStart w:id="970" w:name="Tc_YGH1St4Uk0-zfOHidoQ6AA_5_3"/>
      <w:bookmarkStart w:id="971" w:name="Tc_eqoizOopB0S_TyvEsVUPjg_5_0"/>
      <w:bookmarkStart w:id="972" w:name="Tc_gJkzU5KM4ESxNoIRSVMHPQ_4_9"/>
      <w:bookmarkStart w:id="973" w:name="Tc_t5uUQJ9I8UmHja4gZsH1uA_4_8"/>
      <w:bookmarkStart w:id="974" w:name="Tc_VQxAa1GUaEGp6THsM-aA0w_4_6"/>
      <w:bookmarkStart w:id="975" w:name="Tc_RxIdmqV3PUiNCs5Ygbxc0Q_4_5"/>
      <w:bookmarkStart w:id="976" w:name="Tc_as5wH1VvTUSPDEIdQXeW6w_4_2"/>
      <w:bookmarkStart w:id="977" w:name="Tc_iWsxoUFf9k-z9Nqa52_dSw_4_0"/>
      <w:bookmarkStart w:id="978" w:name="Tc_JW9XStrz7Ema4OVUxXLpUg_3_0"/>
      <w:bookmarkStart w:id="979" w:name="Tc_RWh1N5cm0UGD1AlScGeDOw_2_8"/>
      <w:bookmarkStart w:id="980" w:name="Tc_i74kScgVIkmz_h6E0-EN6w_2_5"/>
      <w:bookmarkStart w:id="981" w:name="Tc_X7Gebnd7TESST0Z9Hbo3Dw_2_2"/>
      <w:bookmarkStart w:id="982" w:name="Tc_zRLS8vaLJEOvE8FG2N1b1A_1_2"/>
      <w:bookmarkStart w:id="983" w:name="_f1d0e9a3_0f36_42b5_8076_20f037c5cf5c"/>
      <w:bookmarkStart w:id="984" w:name="Tc_wWWXd_uiEEySvXtWJMbLYA_6_9"/>
      <w:bookmarkStart w:id="985" w:name="Tc_hwIpUCIFy0Ov4BgBYxrJ9g_6_3"/>
      <w:bookmarkStart w:id="986" w:name="Tc_JXcw5M6ByEKrN7UoznoSfQ_6_0"/>
      <w:bookmarkStart w:id="987" w:name="Tc_Fveogr-BUEa6TqJXsJ19gA_5_9"/>
      <w:bookmarkStart w:id="988" w:name="Tc_N63UPwsCcEa52SfL0WVtFQ_5_3"/>
      <w:bookmarkStart w:id="989" w:name="Tc__mFvFAFOKUeji8rUCog4pA_5_0"/>
      <w:bookmarkStart w:id="990" w:name="Tc_eNduOLymrE-tgn1266ZHNg_4_9"/>
      <w:bookmarkStart w:id="991" w:name="Tc_037YVt8l6UKsYL1YvdGPWQ_4_8"/>
      <w:bookmarkStart w:id="992" w:name="Tc_0AmViCUoyk6kCXdXVHPJTw_4_6"/>
      <w:bookmarkStart w:id="993" w:name="Tc_Zt62-TcGdUCHlNEqt01t2g_4_5"/>
      <w:bookmarkStart w:id="994" w:name="Tc_8ORh8mIBjEKRezBXvTBfOg_4_2"/>
      <w:bookmarkStart w:id="995" w:name="Tc_64vj5v3HjUSvwPTqeYhN5w_4_0"/>
      <w:bookmarkStart w:id="996" w:name="Tc_-m2axFa9lk21g_39rGHUQg_3_0"/>
      <w:bookmarkStart w:id="997" w:name="Tc_VXwPOEc0N0KDBoBR-ZD3uA_2_8"/>
      <w:bookmarkStart w:id="998" w:name="Tc_DrnZdc9MhUyo9TDrTDwjpA_2_5"/>
      <w:bookmarkStart w:id="999" w:name="Tc_BSNClRLyYk2-KrNuWftZkA_2_2"/>
      <w:bookmarkStart w:id="1000" w:name="Tc_eK0mVa1H00K0UUDBUJRLLA_1_2"/>
      <w:bookmarkStart w:id="1001" w:name="_f3e18c03_a72f_4d4f_85b4_86dcf4608d46"/>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ascii="Times New Roman;Times;serif" w:hAnsi="Times New Roman;Times;serif"/>
          <w:sz w:val="20"/>
        </w:rPr>
        <w:t>These two types of inputs create the following three – level fair value hierarchy:</w:t>
      </w:r>
    </w:p>
    <w:tbl>
      <w:tblPr>
        <w:tblW w:w="10205" w:type="dxa"/>
        <w:jc w:val="left"/>
        <w:tblInd w:w="0" w:type="dxa"/>
        <w:tblLayout w:type="fixed"/>
        <w:tblCellMar>
          <w:top w:w="0" w:type="dxa"/>
          <w:left w:w="0" w:type="dxa"/>
          <w:bottom w:w="0" w:type="dxa"/>
          <w:right w:w="0" w:type="dxa"/>
        </w:tblCellMar>
      </w:tblPr>
      <w:tblGrid>
        <w:gridCol w:w="681"/>
        <w:gridCol w:w="9524"/>
      </w:tblGrid>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w:t>
            </w:r>
          </w:p>
        </w:tc>
        <w:tc>
          <w:tcPr>
            <w:tcW w:w="9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for identical assets or liabilities in active markets.</w:t>
            </w:r>
          </w:p>
          <w:p>
            <w:pPr>
              <w:pStyle w:val="TableContents"/>
              <w:bidi w:val="0"/>
              <w:spacing w:before="0" w:after="0"/>
              <w:ind w:left="0" w:right="0" w:hanging="0"/>
              <w:jc w:val="left"/>
              <w:rPr/>
            </w:pPr>
            <w:r>
              <w:rPr/>
              <w:t>​</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9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for similar assets or liabilities in active markets; quoted prices for identical or similar assets or liabilities in markets that are not active; and model – derived valuations whose inputs or significant value drivers are observable.</w:t>
            </w:r>
          </w:p>
          <w:p>
            <w:pPr>
              <w:pStyle w:val="TableContents"/>
              <w:bidi w:val="0"/>
              <w:spacing w:before="0" w:after="0"/>
              <w:ind w:left="0" w:right="0" w:hanging="0"/>
              <w:jc w:val="left"/>
              <w:rPr/>
            </w:pPr>
            <w:r>
              <w:rPr/>
              <w:t>​</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w:t>
            </w:r>
          </w:p>
        </w:tc>
        <w:tc>
          <w:tcPr>
            <w:tcW w:w="9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inputs to the valuation model that are unobservable.</w:t>
            </w:r>
          </w:p>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Company’s financial assets and liabilities include cash and cash equivalents, accounts receivable, debt obligations, accounts payable, and accrued liabilities. The carrying amounts reported in the condensed consolidated balance sheets for these assets and liabilities approximate their fair value because of the immediate or short-term maturities of these financial instruments.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tables presents the Company’s financial assets (liabilities) that are accounted for at fair value on a recurring basis as of June 30, 2026 and December 31, 2025, respectively, by level within the fair value hierarchy: </w:t>
      </w:r>
    </w:p>
    <w:p>
      <w:pPr>
        <w:pStyle w:val="TextBody"/>
        <w:bidi w:val="0"/>
        <w:spacing w:before="0" w:after="0"/>
        <w:ind w:left="0" w:right="0" w:hanging="0"/>
        <w:jc w:val="left"/>
        <w:rPr/>
      </w:pPr>
      <w:r>
        <w:rPr/>
        <w:t>​</w:t>
      </w:r>
    </w:p>
    <w:tbl>
      <w:tblPr>
        <w:tblW w:w="6294" w:type="dxa"/>
        <w:jc w:val="left"/>
        <w:tblInd w:w="0" w:type="dxa"/>
        <w:tblLayout w:type="fixed"/>
        <w:tblCellMar>
          <w:top w:w="0" w:type="dxa"/>
          <w:left w:w="0" w:type="dxa"/>
          <w:bottom w:w="0" w:type="dxa"/>
          <w:right w:w="0" w:type="dxa"/>
        </w:tblCellMar>
      </w:tblPr>
      <w:tblGrid>
        <w:gridCol w:w="3166"/>
        <w:gridCol w:w="346"/>
        <w:gridCol w:w="211"/>
        <w:gridCol w:w="571"/>
        <w:gridCol w:w="346"/>
        <w:gridCol w:w="211"/>
        <w:gridCol w:w="421"/>
        <w:gridCol w:w="346"/>
        <w:gridCol w:w="215"/>
        <w:gridCol w:w="46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10410" cy="175260"/>
                      <wp:effectExtent l="0" t="0" r="0" b="0"/>
                      <wp:wrapNone/>
                      <wp:docPr id="293" name="Frame29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2585" cy="175260"/>
                      <wp:effectExtent l="0" t="0" r="0" b="0"/>
                      <wp:wrapNone/>
                      <wp:docPr id="296" name="Frame2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67335" cy="175260"/>
                      <wp:effectExtent l="0" t="0" r="0" b="0"/>
                      <wp:wrapNone/>
                      <wp:docPr id="299" name="Frame29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6525" cy="175260"/>
                      <wp:effectExtent l="0" t="0" r="0" b="0"/>
                      <wp:wrapNone/>
                      <wp:docPr id="301" name="Frame30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92735" cy="175260"/>
                      <wp:effectExtent l="0" t="0" r="0" b="0"/>
                      <wp:wrapNone/>
                      <wp:docPr id="302" name="Frame30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hedge contracts,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6309" w:type="dxa"/>
        <w:jc w:val="left"/>
        <w:tblInd w:w="0" w:type="dxa"/>
        <w:tblLayout w:type="fixed"/>
        <w:tblCellMar>
          <w:top w:w="0" w:type="dxa"/>
          <w:left w:w="0" w:type="dxa"/>
          <w:bottom w:w="0" w:type="dxa"/>
          <w:right w:w="0" w:type="dxa"/>
        </w:tblCellMar>
      </w:tblPr>
      <w:tblGrid>
        <w:gridCol w:w="3166"/>
        <w:gridCol w:w="346"/>
        <w:gridCol w:w="211"/>
        <w:gridCol w:w="571"/>
        <w:gridCol w:w="346"/>
        <w:gridCol w:w="211"/>
        <w:gridCol w:w="436"/>
        <w:gridCol w:w="346"/>
        <w:gridCol w:w="215"/>
        <w:gridCol w:w="46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10410" cy="175260"/>
                      <wp:effectExtent l="0" t="0" r="0" b="0"/>
                      <wp:wrapNone/>
                      <wp:docPr id="303" name="Frame30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62585" cy="175260"/>
                      <wp:effectExtent l="0" t="0" r="0" b="0"/>
                      <wp:wrapNone/>
                      <wp:docPr id="306" name="Frame3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76860" cy="175260"/>
                      <wp:effectExtent l="0" t="0" r="0" b="0"/>
                      <wp:wrapNone/>
                      <wp:docPr id="309" name="Frame30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6525" cy="175260"/>
                      <wp:effectExtent l="0" t="0" r="0" b="0"/>
                      <wp:wrapNone/>
                      <wp:docPr id="311" name="Frame3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92735" cy="175260"/>
                      <wp:effectExtent l="0" t="0" r="0" b="0"/>
                      <wp:wrapNone/>
                      <wp:docPr id="312" name="Frame31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hedge contracts,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461"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002" w:name="_Hlk100922014"/>
      <w:bookmarkEnd w:id="1002"/>
      <w:r>
        <w:rPr>
          <w:rFonts w:ascii="Times New Roman;Times;serif" w:hAnsi="Times New Roman;Times;serif"/>
          <w:b/>
          <w:sz w:val="20"/>
        </w:rPr>
        <w:t>12.    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There is potential for volatility of the effective tax rate due to several factors, including changes in the mix of the pre-tax income and the jurisdictions to which it relates, changes in tax laws, settlements with taxing authorities and foreign currency fluctuations.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effective income tax rate was 20.2% and 23.1% for the three months ended June 30, 2026 and 2025, respectively. For the six months ended June 30, 2026 and 2025, the effective income tax rate was 20.5% and 22.0%,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operating leases for office space, manufacturing facilities and equipment, computer equipment and automobiles. Many leases include one or more options to renew, some of which include options to extend the leases for a long-term period, and some leases include options to terminate the leases within 30 days. In certain of the Company’s lease agreements, the rental payments are adjusted periodically to reflect actual charges incurred for capital area maintenance, utilities, inflation and/or changes in other indexes.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1003" w:name="Tc_6LoJUzAxd0WfqH-3inH1TA_10_5"/>
      <w:bookmarkStart w:id="1004" w:name="Tc_x0upwrxFmkC8iWlbDtSXDA_10_2"/>
      <w:bookmarkStart w:id="1005" w:name="Tc_bijHeWfx10GlSwmpf1W39Q_10_0"/>
      <w:bookmarkStart w:id="1006" w:name="Tc_TUh4mTm62UGDXoOVZc-Snw_9_0"/>
      <w:bookmarkStart w:id="1007" w:name="Tc_Pr-NOAz2wEuldYnr4HP0kQ_8_5"/>
      <w:bookmarkStart w:id="1008" w:name="Tc_m0oLce5lyU2isk8Vurd5Kw_8_2"/>
      <w:bookmarkStart w:id="1009" w:name="Tc_S1-txI9DDEC-AHLizIdKog_8_0"/>
      <w:bookmarkStart w:id="1010" w:name="Tc_Lz-_J_TMhEiVe2myqdzwVQ_7_0"/>
      <w:bookmarkStart w:id="1011" w:name="Tc_EYu5QCsRJEqUGuwil2osog_6_0"/>
      <w:bookmarkStart w:id="1012" w:name="Tc_m2PSuU7fLEWsjEp0MHQBjw_5_0"/>
      <w:bookmarkStart w:id="1013" w:name="Tc_M6aQxtbdAUGL3naJShXAbg_4_0"/>
      <w:bookmarkStart w:id="1014" w:name="Tc_KEA5dwNZsEu6ZrbgyEtg1Q_3_0"/>
      <w:bookmarkStart w:id="1015" w:name="Tc_QeDoFzc8W0a5LCyWZ-Rseg_2_0"/>
      <w:bookmarkStart w:id="1016" w:name="Tc_7T50t6ukJU6LpwgZFvV98w_1_5"/>
      <w:bookmarkStart w:id="1017" w:name="Tc_3Bu9gEGVRkqu2zFgWtVx3A_1_2"/>
      <w:bookmarkStart w:id="1018" w:name="_6aa96ffd_e228_4b0a_96bb_1449c4a6eae5"/>
      <w:bookmarkStart w:id="1019" w:name="_aabdafa0_c8cb_4e9d_a019_d63ea85dabcc_3"/>
      <w:bookmarkStart w:id="1020" w:name="_aabdafa0_c8cb_4e9d_a019_d63ea85dabcc_2"/>
      <w:bookmarkStart w:id="1021" w:name="_aabdafa0_c8cb_4e9d_a019_d63ea85dabcc"/>
      <w:bookmarkStart w:id="1022" w:name="Tc_eR1jhlx0S0KLnLK9xxQkSQ_5_5"/>
      <w:bookmarkStart w:id="1023" w:name="Tc_5J8yjXS1QkefcnoQqB6cCQ_5_2"/>
      <w:bookmarkStart w:id="1024" w:name="Tc_Y7TzQmDqfUCXPVE6JHWaQQ_5_0"/>
      <w:bookmarkStart w:id="1025" w:name="Tc_ltleZI_q00q2IuHddQleKQ_4_5"/>
      <w:bookmarkStart w:id="1026" w:name="Tc_L69cK-ozb0S1DPmidYpnBg_4_2"/>
      <w:bookmarkStart w:id="1027" w:name="Tc_FYOdQ9upSUOt85RHE99mLQ_4_0"/>
      <w:bookmarkStart w:id="1028" w:name="Tc_iik2hMiyskeYnfNMty8ZWA_3_5"/>
      <w:bookmarkStart w:id="1029" w:name="Tc_gp_8FYpS80mjCfa-qfgDpQ_3_2"/>
      <w:bookmarkStart w:id="1030" w:name="Tc_T0nY1bgui0icIoHMvRVD-A_3_0"/>
      <w:bookmarkStart w:id="1031" w:name="Tc_mFWn9ujX306vzdGW4IuTtQ_2_5"/>
      <w:bookmarkStart w:id="1032" w:name="Tc_eoglbYJSCEeVxSd34BHyiw_2_2"/>
      <w:bookmarkStart w:id="1033" w:name="Tc_70mg-5uRe0ydcf2OuK_E7w_1_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sz w:val="20"/>
        </w:rPr>
        <w:t>Supplemental cash flow information related to the Company’s operating and finance leases for the six months ended June 30, 2026 and 2025 was as follows:</w:t>
      </w:r>
    </w:p>
    <w:p>
      <w:pPr>
        <w:pStyle w:val="TextBody"/>
        <w:bidi w:val="0"/>
        <w:spacing w:before="0" w:after="0"/>
        <w:ind w:left="0" w:right="0" w:hanging="0"/>
        <w:jc w:val="left"/>
        <w:rPr/>
      </w:pPr>
      <w:r>
        <w:rPr/>
        <w:t>​</w:t>
      </w:r>
    </w:p>
    <w:tbl>
      <w:tblPr>
        <w:tblW w:w="6532" w:type="dxa"/>
        <w:jc w:val="left"/>
        <w:tblInd w:w="0" w:type="dxa"/>
        <w:tblLayout w:type="fixed"/>
        <w:tblCellMar>
          <w:top w:w="0" w:type="dxa"/>
          <w:left w:w="0" w:type="dxa"/>
          <w:bottom w:w="0" w:type="dxa"/>
          <w:right w:w="0" w:type="dxa"/>
        </w:tblCellMar>
      </w:tblPr>
      <w:tblGrid>
        <w:gridCol w:w="4171"/>
        <w:gridCol w:w="346"/>
        <w:gridCol w:w="211"/>
        <w:gridCol w:w="571"/>
        <w:gridCol w:w="346"/>
        <w:gridCol w:w="211"/>
        <w:gridCol w:w="676"/>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48585" cy="175260"/>
                      <wp:effectExtent l="0" t="0" r="0" b="0"/>
                      <wp:wrapNone/>
                      <wp:docPr id="313" name="Frame313"/>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62585" cy="175260"/>
                      <wp:effectExtent l="0" t="0" r="0" b="0"/>
                      <wp:wrapNone/>
                      <wp:docPr id="316" name="Frame3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 on finance lease obligations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acquired under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1,385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finance lease obligations relate to a manufacturing facility. Finance lease assets of $6,573 and $7,037 as of June 30, 2026 and December 31, 2025, respectively, are included in property, plant and equipment, net. As of June 30, 2026, finance lease obligations of $483 are included in </w:t>
      </w:r>
      <w:r>
        <w:rPr>
          <w:rFonts w:ascii="Times New Roman;Times;serif" w:hAnsi="Times New Roman;Times;serif"/>
          <w:b w:val="false"/>
          <w:i w:val="false"/>
          <w:caps w:val="false"/>
          <w:smallCaps w:val="false"/>
          <w:sz w:val="20"/>
        </w:rPr>
        <w:t>accrued liabilities</w:t>
      </w:r>
      <w:r>
        <w:rPr>
          <w:rFonts w:ascii="Times New Roman;Times;serif" w:hAnsi="Times New Roman;Times;serif"/>
          <w:sz w:val="20"/>
        </w:rPr>
        <w:t xml:space="preserve"> and $7,389 are included in </w:t>
      </w:r>
      <w:r>
        <w:rPr>
          <w:rFonts w:ascii="Times New Roman;Times;serif" w:hAnsi="Times New Roman;Times;serif"/>
          <w:b w:val="false"/>
          <w:i w:val="false"/>
          <w:caps w:val="false"/>
          <w:smallCaps w:val="false"/>
          <w:sz w:val="20"/>
        </w:rPr>
        <w:t>long-term debt</w:t>
      </w:r>
      <w:r>
        <w:rPr>
          <w:rFonts w:ascii="Times New Roman;Times;serif" w:hAnsi="Times New Roman;Times;serif"/>
          <w:sz w:val="20"/>
        </w:rPr>
        <w:t xml:space="preserve"> on the condensed consolidated balance sheet. As of December 31, 2025, finance lease obligations of $486 are included in </w:t>
      </w:r>
      <w:r>
        <w:rPr>
          <w:rFonts w:ascii="Times New Roman;Times;serif" w:hAnsi="Times New Roman;Times;serif"/>
          <w:b w:val="false"/>
          <w:i w:val="false"/>
          <w:caps w:val="false"/>
          <w:smallCaps w:val="false"/>
          <w:sz w:val="20"/>
        </w:rPr>
        <w:t>accrued liabilities</w:t>
      </w:r>
      <w:r>
        <w:rPr>
          <w:rFonts w:ascii="Times New Roman;Times;serif" w:hAnsi="Times New Roman;Times;serif"/>
          <w:sz w:val="20"/>
        </w:rPr>
        <w:t xml:space="preserve"> and $7,766 are included in </w:t>
      </w:r>
      <w:r>
        <w:rPr>
          <w:rFonts w:ascii="Times New Roman;Times;serif" w:hAnsi="Times New Roman;Times;serif"/>
          <w:b w:val="false"/>
          <w:i w:val="false"/>
          <w:caps w:val="false"/>
          <w:smallCaps w:val="false"/>
          <w:sz w:val="20"/>
        </w:rPr>
        <w:t>long-term debt</w:t>
      </w:r>
      <w:r>
        <w:rPr>
          <w:rFonts w:ascii="Times New Roman;Times;serif" w:hAnsi="Times New Roman;Times;serif"/>
          <w:sz w:val="20"/>
        </w:rPr>
        <w:t xml:space="preserve"> on the condensed consolidated balance sheet.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maturity of the Company’s operating and finance lease liabilities as of June 30, 2026:</w:t>
      </w:r>
    </w:p>
    <w:p>
      <w:pPr>
        <w:pStyle w:val="TextBody"/>
        <w:bidi w:val="0"/>
        <w:spacing w:before="0" w:after="0"/>
        <w:ind w:left="0" w:right="0" w:hanging="0"/>
        <w:jc w:val="left"/>
        <w:rPr/>
      </w:pPr>
      <w:r>
        <w:rPr/>
        <w:t>​</w:t>
      </w:r>
    </w:p>
    <w:tbl>
      <w:tblPr>
        <w:tblW w:w="5646" w:type="dxa"/>
        <w:jc w:val="left"/>
        <w:tblInd w:w="0" w:type="dxa"/>
        <w:tblLayout w:type="fixed"/>
        <w:tblCellMar>
          <w:top w:w="0" w:type="dxa"/>
          <w:left w:w="0" w:type="dxa"/>
          <w:bottom w:w="0" w:type="dxa"/>
          <w:right w:w="0" w:type="dxa"/>
        </w:tblCellMar>
      </w:tblPr>
      <w:tblGrid>
        <w:gridCol w:w="2596"/>
        <w:gridCol w:w="346"/>
        <w:gridCol w:w="319"/>
        <w:gridCol w:w="1046"/>
        <w:gridCol w:w="109"/>
        <w:gridCol w:w="274"/>
        <w:gridCol w:w="95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48460" cy="175260"/>
                      <wp:effectExtent l="0" t="0" r="0" b="0"/>
                      <wp:wrapNone/>
                      <wp:docPr id="320" name="Frame32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2565" cy="175260"/>
                      <wp:effectExtent l="0" t="0" r="0" b="0"/>
                      <wp:wrapNone/>
                      <wp:docPr id="322" name="Frame32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64210" cy="175260"/>
                      <wp:effectExtent l="0" t="0" r="0" b="0"/>
                      <wp:wrapNone/>
                      <wp:docPr id="323" name="Frame32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3990" cy="175260"/>
                      <wp:effectExtent l="0" t="0" r="0" b="0"/>
                      <wp:wrapNone/>
                      <wp:docPr id="325" name="Frame32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07060" cy="175260"/>
                      <wp:effectExtent l="0" t="0" r="0" b="0"/>
                      <wp:wrapNone/>
                      <wp:docPr id="326" name="Frame32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6,319</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27,380</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7,872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operating leases for certain facilities from companies for which a member of management is a part owner. In connection with such leases, the Company made fixed minimum lease payments to the lessor of $187 and $380 during the three and six months ended June 30, 2026 and $272 and $526 during the three and six months ended June 30, 2025, respectively, and is obligated to make payments of $377 during the remainder of 2026. Future fixed minimum lease payments under these leases as of June 30, 2026 are $4,601.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034" w:name="Tc_CU4SIzWVCEGtBhHddEE9Qw_8_14"/>
      <w:bookmarkStart w:id="1035" w:name="Tc_NbzL3YxHPky1LJywoapq2w_8_11"/>
      <w:bookmarkStart w:id="1036" w:name="Tc_U0VUPcWRp0CFlM984ipFZg_8_8"/>
      <w:bookmarkStart w:id="1037" w:name="Tc_zfFZTDLrhEOj0UurBZh2iQ_8_5"/>
      <w:bookmarkStart w:id="1038" w:name="Tc_dUkTIaW5FUSfzdgHctFLFQ_8_2"/>
      <w:bookmarkStart w:id="1039" w:name="Tc_ZcIdmDOKkUu6NnsIXYX6ig_8_0"/>
      <w:bookmarkStart w:id="1040" w:name="Tc_iiM1iCSnR0aBLyTk9BudIQ_7_9"/>
      <w:bookmarkStart w:id="1041" w:name="Tc_GSouIqg4HkSdTN8KEeuiKw_7_6"/>
      <w:bookmarkStart w:id="1042" w:name="Tc_KJaQgdFXUE6EUVRlnEtILg_7_3"/>
      <w:bookmarkStart w:id="1043" w:name="Tc__QkNy1M6HEmd7RVZEn7dLg_7_0"/>
      <w:bookmarkStart w:id="1044" w:name="Tc_c_k5doo0y0aWjAsAjIQegQ_6_12"/>
      <w:bookmarkStart w:id="1045" w:name="Tc_LXd07TOLkk-gqPAA-8p-vQ_6_3"/>
      <w:bookmarkStart w:id="1046" w:name="Tc_0GTchDXvfkaE17X4IEdzsg_6_0"/>
      <w:bookmarkStart w:id="1047" w:name="Tc_u52he048a0ulBeUzWDBshw_5_12"/>
      <w:bookmarkStart w:id="1048" w:name="Tc_PPtFOceTMUGYtROMwaDxcg_5_3"/>
      <w:bookmarkStart w:id="1049" w:name="Tc_eDWPQm4fnEuLSXlQzL5OPQ_5_0"/>
      <w:bookmarkStart w:id="1050" w:name="Tc_m5OxIa7okEyXIqHZJeV7NA_4_14"/>
      <w:bookmarkStart w:id="1051" w:name="Tc_5YcbPyWFqkqg3llfmGDTTQ_4_11"/>
      <w:bookmarkStart w:id="1052" w:name="Tc_ja_ON0cZkky-K9pBuBnQng_4_8"/>
      <w:bookmarkStart w:id="1053" w:name="Tc_NExmROcRykK4VmYVCa8dIw_4_5"/>
      <w:bookmarkStart w:id="1054" w:name="Tc_pF_6yE4AaE2mtxg3GZSFNQ_4_2"/>
      <w:bookmarkStart w:id="1055" w:name="Tc_icbL85dssUOuNjt_Kjs5Qw_4_0"/>
      <w:bookmarkStart w:id="1056" w:name="Tc_-5DAWx2qJ0q0j1lcrmfZpg_3_14"/>
      <w:bookmarkStart w:id="1057" w:name="Tc_jU1UT2a02U2czjx6udzzKg_3_11"/>
      <w:bookmarkStart w:id="1058" w:name="Tc_pAF_wtVLLEmjwn3YXfFQ9A_3_8"/>
      <w:bookmarkStart w:id="1059" w:name="Tc_upYxWSAWbUyElLMwcsc5YQ_3_5"/>
      <w:bookmarkStart w:id="1060" w:name="Tc_6M4ezi8PmEqF2nYHdRCekQ_3_2"/>
      <w:bookmarkStart w:id="1061" w:name="Tc_WUxAec9gUkm_EGimg7qAkg_2_11"/>
      <w:bookmarkStart w:id="1062" w:name="Tc_MzIwoPERuUmS3mRMJ4G02w_2_8"/>
      <w:bookmarkStart w:id="1063" w:name="Tc_6_nCUEewYkO41x4B4RP4fA_2_2"/>
      <w:bookmarkStart w:id="1064" w:name="Tc_pQKAXHEWikKKRzEIDE0eXw_1_11"/>
      <w:bookmarkStart w:id="1065" w:name="_c76b9b03_d436_4034_82bd_a4f1cd8a8e31"/>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sz w:val="20"/>
        </w:rPr>
        <w:t>14.    ACCUMULATED OTHER COMPREHENSIVE (LOSS) INCOME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 (“AOCI”) for the three and six months ended June 30, 2026 and 2025 is comprised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34"/>
        <w:gridCol w:w="346"/>
        <w:gridCol w:w="405"/>
        <w:gridCol w:w="811"/>
        <w:gridCol w:w="346"/>
        <w:gridCol w:w="360"/>
        <w:gridCol w:w="824"/>
        <w:gridCol w:w="346"/>
        <w:gridCol w:w="317"/>
        <w:gridCol w:w="786"/>
        <w:gridCol w:w="346"/>
        <w:gridCol w:w="314"/>
        <w:gridCol w:w="1097"/>
        <w:gridCol w:w="346"/>
        <w:gridCol w:w="211"/>
        <w:gridCol w:w="816"/>
      </w:tblGrid>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14985" cy="175260"/>
                      <wp:effectExtent l="0" t="0" r="0" b="0"/>
                      <wp:wrapNone/>
                      <wp:docPr id="327" name="Frame32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23240" cy="175260"/>
                      <wp:effectExtent l="0" t="0" r="0" b="0"/>
                      <wp:wrapNone/>
                      <wp:docPr id="328" name="Frame328"/>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9110" cy="175260"/>
                      <wp:effectExtent l="0" t="0" r="0" b="0"/>
                      <wp:wrapNone/>
                      <wp:docPr id="329" name="Frame32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6595" cy="175260"/>
                      <wp:effectExtent l="0" t="0" r="0" b="0"/>
                      <wp:wrapNone/>
                      <wp:docPr id="330" name="Frame33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18160" cy="175260"/>
                      <wp:effectExtent l="0" t="0" r="0" b="0"/>
                      <wp:wrapNone/>
                      <wp:docPr id="331" name="Frame33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46" w:type="dxa"/>
            <w:tcBorders/>
            <w:vAlign w:val="center"/>
          </w:tcPr>
          <w:p>
            <w:pPr>
              <w:pStyle w:val="TableContents"/>
              <w:bidi w:val="0"/>
              <w:spacing w:before="0" w:after="0"/>
              <w:ind w:left="0" w:right="0" w:hanging="0"/>
              <w:jc w:val="left"/>
              <w:rPr/>
            </w:pPr>
            <w:r>
              <w:rPr/>
              <w:t>​</w:t>
            </w:r>
          </w:p>
        </w:tc>
        <w:tc>
          <w:tcPr>
            <w:tcW w:w="118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Effect of</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Liability</w:t>
            </w:r>
          </w:p>
        </w:tc>
        <w:tc>
          <w:tcPr>
            <w:tcW w:w="346" w:type="dxa"/>
            <w:tcBorders/>
            <w:vAlign w:val="center"/>
          </w:tcPr>
          <w:p>
            <w:pPr>
              <w:pStyle w:val="TableContents"/>
              <w:bidi w:val="0"/>
              <w:spacing w:before="0" w:after="0"/>
              <w:ind w:left="0" w:right="0" w:hanging="0"/>
              <w:jc w:val="left"/>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(12,207)</w:t>
            </w:r>
          </w:p>
        </w:tc>
      </w:tr>
      <w:tr>
        <w:trPr/>
        <w:tc>
          <w:tcPr>
            <w:tcW w:w="2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cash flow hedges</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AOCI</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2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Normal"/>
        <w:bidi w:val="0"/>
        <w:spacing w:before="0" w:after="0"/>
        <w:jc w:val="left"/>
        <w:rPr>
          <w:sz w:val="4"/>
          <w:szCs w:val="4"/>
        </w:rPr>
      </w:pPr>
      <w:r>
        <w:rPr>
          <w:sz w:val="4"/>
          <w:szCs w:val="4"/>
        </w:rPr>
      </w:r>
      <w:bookmarkStart w:id="1066" w:name="Tc_51jyNUH2FkO8tjxDwwI1lw_8_14"/>
      <w:bookmarkStart w:id="1067" w:name="Tc_6R9NlqPHQkq1wJbYnBhKRQ_8_11"/>
      <w:bookmarkStart w:id="1068" w:name="Tc_EjdA2mc-F0-xjl7V6xR4HQ_8_8"/>
      <w:bookmarkStart w:id="1069" w:name="Tc_UBHWvWjW-kyRmbCYkjSY5g_8_5"/>
      <w:bookmarkStart w:id="1070" w:name="Tc_3T03FyewOE-Cubb2TlSYIA_8_2"/>
      <w:bookmarkStart w:id="1071" w:name="Tc_BdD8UVBKTEq6IN0qRjVN6Q_8_0"/>
      <w:bookmarkStart w:id="1072" w:name="Tc_Wz1-fccxsEiqH5azncivcQ_7_9"/>
      <w:bookmarkStart w:id="1073" w:name="Tc_x9mBT3q25U6Kjwp6rZzFgg_7_6"/>
      <w:bookmarkStart w:id="1074" w:name="Tc_4gOhpCsuy0u3idADQ90-9w_7_3"/>
      <w:bookmarkStart w:id="1075" w:name="Tc_eyneeIj0bUKnNvmxChmJFQ_7_0"/>
      <w:bookmarkStart w:id="1076" w:name="Tc_n5gi1gHjfU6tlZyXjDIixQ_6_12"/>
      <w:bookmarkStart w:id="1077" w:name="Tc_w03QAzBLI0OazjKc10QK5A_6_3"/>
      <w:bookmarkStart w:id="1078" w:name="Tc_BURoeWUvwUaabcjxyMekvA_6_0"/>
      <w:bookmarkStart w:id="1079" w:name="Tc_9j1cPaoZw0mO6Hv0GUmKHw_5_12"/>
      <w:bookmarkStart w:id="1080" w:name="Tc_1b8EzNWtn0WYBrJRMwnpQA_5_3"/>
      <w:bookmarkStart w:id="1081" w:name="Tc_Jfm7hyEuCEyUEYnKcQpFhw_5_0"/>
      <w:bookmarkStart w:id="1082" w:name="Tc_p-n5IAWIY06zOHKbMymDVA_4_14"/>
      <w:bookmarkStart w:id="1083" w:name="Tc__dNyxY6WF0STkFM8JrR7Wg_4_11"/>
      <w:bookmarkStart w:id="1084" w:name="Tc_gHI-Pn385E--oymbaTiAvg_4_8"/>
      <w:bookmarkStart w:id="1085" w:name="Tc_0fJ_mwVMT0yd2SVaNDG84w_4_5"/>
      <w:bookmarkStart w:id="1086" w:name="Tc_iQ6hWFT8E0O9fXt0dshU0A_4_2"/>
      <w:bookmarkStart w:id="1087" w:name="Tc_tkOHMx7InUGcvLAsLBnzyQ_4_0"/>
      <w:bookmarkStart w:id="1088" w:name="Tc_uctRb97q6UaWn345-wiGnA_3_14"/>
      <w:bookmarkStart w:id="1089" w:name="Tc_tb2d2fM1hka3HwAcdz9vhQ_3_11"/>
      <w:bookmarkStart w:id="1090" w:name="Tc_58yyKpYnxkKj08iquUbp9A_3_8"/>
      <w:bookmarkStart w:id="1091" w:name="Tc_wH3ez-ysuUS3PMoBKOvz5g_3_5"/>
      <w:bookmarkStart w:id="1092" w:name="Tc_fu7KJYTINEid1KFn5eNLXw_3_2"/>
      <w:bookmarkStart w:id="1093" w:name="Tc_SSOoSSBSn02d5oOJgxZRzg_2_11"/>
      <w:bookmarkStart w:id="1094" w:name="Tc_ssWZUG-UXEq4VtdNUQANkQ_2_8"/>
      <w:bookmarkStart w:id="1095" w:name="Tc_EtmOY6XVUEONK41C7K-lDg_2_2"/>
      <w:bookmarkStart w:id="1096" w:name="Tc_JW-5ybBMDEy-PvO6cDzLsQ_1_11"/>
      <w:bookmarkStart w:id="1097" w:name="_c5420165_b5ab_4838_9433_e7d451cd945e"/>
      <w:bookmarkStart w:id="1098" w:name="Tc_DDROI3qX702v2I_Y5IVVDw_8_14"/>
      <w:bookmarkStart w:id="1099" w:name="Tc_oGPAO-Z-akyhDVNNjRhoeA_8_11"/>
      <w:bookmarkStart w:id="1100" w:name="Tc_i-CWSkIgskyQo8K6NFGNTA_8_8"/>
      <w:bookmarkStart w:id="1101" w:name="Tc_AihgQiT-3EmPCqDnc5QFMg_8_5"/>
      <w:bookmarkStart w:id="1102" w:name="Tc_kCY5ZML8ukSMApnJqx34xA_8_2"/>
      <w:bookmarkStart w:id="1103" w:name="Tc_KnwuMextXEKR3uJRg4D87A_8_0"/>
      <w:bookmarkStart w:id="1104" w:name="Tc_-XCi9VMRAkenNnsfxErVaA_7_9"/>
      <w:bookmarkStart w:id="1105" w:name="Tc_yW26RhdX4EyvMrajNVIWaQ_7_6"/>
      <w:bookmarkStart w:id="1106" w:name="Tc_BoFu0TBnM0GEn1oAllXz2Q_7_3"/>
      <w:bookmarkStart w:id="1107" w:name="Tc_ydPbyWVREUqXE3WtoBSmKg_7_0"/>
      <w:bookmarkStart w:id="1108" w:name="Tc_I5fcRVXhi0-K-_A4BogXKw_6_12"/>
      <w:bookmarkStart w:id="1109" w:name="Tc_F4iGNU1I_E-JDy3jnUQOPw_6_3"/>
      <w:bookmarkStart w:id="1110" w:name="Tc_KrTmUgSwPE6cv4igXjFmKQ_6_0"/>
      <w:bookmarkStart w:id="1111" w:name="Tc_CGVP3j_e40e_nY7tBwcvxg_5_12"/>
      <w:bookmarkStart w:id="1112" w:name="Tc_dhxEN8Z41UmL0xdunNkmSw_5_3"/>
      <w:bookmarkStart w:id="1113" w:name="Tc_o0lmzYOwCU2nwj0EEn9FrA_5_0"/>
      <w:bookmarkStart w:id="1114" w:name="Tc_EgRQRsTG20C_rkFh0fDcVw_4_14"/>
      <w:bookmarkStart w:id="1115" w:name="Tc_EjjZBsnsjUiul_OouxFgQA_4_11"/>
      <w:bookmarkStart w:id="1116" w:name="Tc_UKhXbpO9y0msZF2vz3-y_w_4_8"/>
      <w:bookmarkStart w:id="1117" w:name="Tc_YVJCu8zNgU6Eac3V8HYPDA_4_5"/>
      <w:bookmarkStart w:id="1118" w:name="Tc_YjjsY79NnU2VqzL7QGBEBA_4_2"/>
      <w:bookmarkStart w:id="1119" w:name="Tc_cbdhF4sypEa0-74WSSpw3g_4_0"/>
      <w:bookmarkStart w:id="1120" w:name="Tc_KUatz1n5QkuIGxhJEX_BBg_3_14"/>
      <w:bookmarkStart w:id="1121" w:name="Tc_v-9inVPjF0mZ3Dp0DIN7Fg_3_11"/>
      <w:bookmarkStart w:id="1122" w:name="Tc_XKwgnxPhGUmndWpgRCAshQ_3_8"/>
      <w:bookmarkStart w:id="1123" w:name="Tc_QRXHaef1bUiKkDYxxVRc3A_3_5"/>
      <w:bookmarkStart w:id="1124" w:name="Tc_YNBXVg96Ek6f06_F5MldBg_3_2"/>
      <w:bookmarkStart w:id="1125" w:name="Tc_9QzskxYkv0yU1nZSqKQpNg_2_11"/>
      <w:bookmarkStart w:id="1126" w:name="Tc_E5yd_g6Gb0yZtQtDxfzn9g_2_8"/>
      <w:bookmarkStart w:id="1127" w:name="Tc_Dqn3C6NJlEK7yYzlkzBcDg_2_2"/>
      <w:bookmarkStart w:id="1128" w:name="Tc_6Vhw7MHKIkqaCv_jAZ4WuQ_1_11"/>
      <w:bookmarkStart w:id="1129" w:name="_3bda77cd_3ac5_4686_92fb_9c9a2fc50a67"/>
      <w:bookmarkStart w:id="1130" w:name="Tc_7ZFZ_ygpLk-hJeOmU9nM1g_8_14"/>
      <w:bookmarkStart w:id="1131" w:name="Tc_kXO3qb0gPUKqydHkuze_nA_8_11"/>
      <w:bookmarkStart w:id="1132" w:name="Tc_luDYPkcXRUWZm8YSljrCiQ_8_8"/>
      <w:bookmarkStart w:id="1133" w:name="Tc_J2HByr6ElEuyE6xACcdBZA_8_5"/>
      <w:bookmarkStart w:id="1134" w:name="Tc_XRw3ltPtN0-VS9tT1nKl5g_8_2"/>
      <w:bookmarkStart w:id="1135" w:name="Tc_Dr1Gbnv1uEeBRzzc92nYOw_8_0"/>
      <w:bookmarkStart w:id="1136" w:name="Tc_gqUHjWuBf0KoviGgrnbxow_7_9"/>
      <w:bookmarkStart w:id="1137" w:name="Tc_HaJVE_yiI0GhlMhE9YM21A_7_6"/>
      <w:bookmarkStart w:id="1138" w:name="Tc_wz3nETumxUKfp2zzXW4Cfw_7_3"/>
      <w:bookmarkStart w:id="1139" w:name="Tc_1_XAMi5eVEy6XJKbsWjcYQ_7_0"/>
      <w:bookmarkStart w:id="1140" w:name="Tc_0jZxDQMzLEO1f3cHG8M6Uw_6_12"/>
      <w:bookmarkStart w:id="1141" w:name="Tc__QtfllIRSU-0uRGEyHoRPA_6_3"/>
      <w:bookmarkStart w:id="1142" w:name="Tc_OrpIHgrih0mXpavsGzGKZQ_6_0"/>
      <w:bookmarkStart w:id="1143" w:name="Tc_HZrAu8BMwEGF23vhA0OIeA_5_12"/>
      <w:bookmarkStart w:id="1144" w:name="Tc_KE2AggDTJU-Wq53IoNDCxg_5_3"/>
      <w:bookmarkStart w:id="1145" w:name="Tc_s18mXhihkkeSobpzsYthww_5_0"/>
      <w:bookmarkStart w:id="1146" w:name="Tc_cGO8Bv7UNUqI8TNFI5opgw_4_14"/>
      <w:bookmarkStart w:id="1147" w:name="Tc_FEfpnPJHGEqPOdiM-ZhRTA_4_11"/>
      <w:bookmarkStart w:id="1148" w:name="Tc_h72V-rclzkeScja2AVFMew_4_8"/>
      <w:bookmarkStart w:id="1149" w:name="Tc_IgZcoEHlS0GppXraKzSEdw_4_5"/>
      <w:bookmarkStart w:id="1150" w:name="Tc_LQPwqhfZZ0qPckcoivpdtQ_4_2"/>
      <w:bookmarkStart w:id="1151" w:name="Tc_o9IbAcdJgUy4p47S-aJprA_4_0"/>
      <w:bookmarkStart w:id="1152" w:name="Tc_9iXeRW8SZE-lqy7Ivrltdg_3_14"/>
      <w:bookmarkStart w:id="1153" w:name="Tc_nrglV4Lj_0WFV7nYZav7Ug_3_11"/>
      <w:bookmarkStart w:id="1154" w:name="Tc_Ce1b-3cZ5k-yglRnFFpgxw_3_8"/>
      <w:bookmarkStart w:id="1155" w:name="Tc_iV5NYy-qWEeTjxffJMWRjg_3_5"/>
      <w:bookmarkStart w:id="1156" w:name="Tc_zTOM_YDljUyDhwrB9MOSKA_3_2"/>
      <w:bookmarkStart w:id="1157" w:name="Tc_PRyfJg16WEeNgVmCFcRhzA_2_11"/>
      <w:bookmarkStart w:id="1158" w:name="Tc_zNTLbhRguEW0fqL-iWImog_2_8"/>
      <w:bookmarkStart w:id="1159" w:name="Tc_56gV-XO780S5Iq-7tipJEg_2_2"/>
      <w:bookmarkStart w:id="1160" w:name="Tc_kXTwS5VI8EGejtv1t3mvCg_1_11"/>
      <w:bookmarkStart w:id="1161" w:name="_51011fb8_584b_48c5_9ac1_a09503f9a2dd"/>
      <w:bookmarkStart w:id="1162" w:name="Tc_51jyNUH2FkO8tjxDwwI1lw_8_14"/>
      <w:bookmarkStart w:id="1163" w:name="Tc_6R9NlqPHQkq1wJbYnBhKRQ_8_11"/>
      <w:bookmarkStart w:id="1164" w:name="Tc_EjdA2mc-F0-xjl7V6xR4HQ_8_8"/>
      <w:bookmarkStart w:id="1165" w:name="Tc_UBHWvWjW-kyRmbCYkjSY5g_8_5"/>
      <w:bookmarkStart w:id="1166" w:name="Tc_3T03FyewOE-Cubb2TlSYIA_8_2"/>
      <w:bookmarkStart w:id="1167" w:name="Tc_BdD8UVBKTEq6IN0qRjVN6Q_8_0"/>
      <w:bookmarkStart w:id="1168" w:name="Tc_Wz1-fccxsEiqH5azncivcQ_7_9"/>
      <w:bookmarkStart w:id="1169" w:name="Tc_x9mBT3q25U6Kjwp6rZzFgg_7_6"/>
      <w:bookmarkStart w:id="1170" w:name="Tc_4gOhpCsuy0u3idADQ90-9w_7_3"/>
      <w:bookmarkStart w:id="1171" w:name="Tc_eyneeIj0bUKnNvmxChmJFQ_7_0"/>
      <w:bookmarkStart w:id="1172" w:name="Tc_n5gi1gHjfU6tlZyXjDIixQ_6_12"/>
      <w:bookmarkStart w:id="1173" w:name="Tc_w03QAzBLI0OazjKc10QK5A_6_3"/>
      <w:bookmarkStart w:id="1174" w:name="Tc_BURoeWUvwUaabcjxyMekvA_6_0"/>
      <w:bookmarkStart w:id="1175" w:name="Tc_9j1cPaoZw0mO6Hv0GUmKHw_5_12"/>
      <w:bookmarkStart w:id="1176" w:name="Tc_1b8EzNWtn0WYBrJRMwnpQA_5_3"/>
      <w:bookmarkStart w:id="1177" w:name="Tc_Jfm7hyEuCEyUEYnKcQpFhw_5_0"/>
      <w:bookmarkStart w:id="1178" w:name="Tc_p-n5IAWIY06zOHKbMymDVA_4_14"/>
      <w:bookmarkStart w:id="1179" w:name="Tc__dNyxY6WF0STkFM8JrR7Wg_4_11"/>
      <w:bookmarkStart w:id="1180" w:name="Tc_gHI-Pn385E--oymbaTiAvg_4_8"/>
      <w:bookmarkStart w:id="1181" w:name="Tc_0fJ_mwVMT0yd2SVaNDG84w_4_5"/>
      <w:bookmarkStart w:id="1182" w:name="Tc_iQ6hWFT8E0O9fXt0dshU0A_4_2"/>
      <w:bookmarkStart w:id="1183" w:name="Tc_tkOHMx7InUGcvLAsLBnzyQ_4_0"/>
      <w:bookmarkStart w:id="1184" w:name="Tc_uctRb97q6UaWn345-wiGnA_3_14"/>
      <w:bookmarkStart w:id="1185" w:name="Tc_tb2d2fM1hka3HwAcdz9vhQ_3_11"/>
      <w:bookmarkStart w:id="1186" w:name="Tc_58yyKpYnxkKj08iquUbp9A_3_8"/>
      <w:bookmarkStart w:id="1187" w:name="Tc_wH3ez-ysuUS3PMoBKOvz5g_3_5"/>
      <w:bookmarkStart w:id="1188" w:name="Tc_fu7KJYTINEid1KFn5eNLXw_3_2"/>
      <w:bookmarkStart w:id="1189" w:name="Tc_SSOoSSBSn02d5oOJgxZRzg_2_11"/>
      <w:bookmarkStart w:id="1190" w:name="Tc_ssWZUG-UXEq4VtdNUQANkQ_2_8"/>
      <w:bookmarkStart w:id="1191" w:name="Tc_EtmOY6XVUEONK41C7K-lDg_2_2"/>
      <w:bookmarkStart w:id="1192" w:name="Tc_JW-5ybBMDEy-PvO6cDzLsQ_1_11"/>
      <w:bookmarkStart w:id="1193" w:name="_c5420165_b5ab_4838_9433_e7d451cd945e"/>
      <w:bookmarkStart w:id="1194" w:name="Tc_DDROI3qX702v2I_Y5IVVDw_8_14"/>
      <w:bookmarkStart w:id="1195" w:name="Tc_oGPAO-Z-akyhDVNNjRhoeA_8_11"/>
      <w:bookmarkStart w:id="1196" w:name="Tc_i-CWSkIgskyQo8K6NFGNTA_8_8"/>
      <w:bookmarkStart w:id="1197" w:name="Tc_AihgQiT-3EmPCqDnc5QFMg_8_5"/>
      <w:bookmarkStart w:id="1198" w:name="Tc_kCY5ZML8ukSMApnJqx34xA_8_2"/>
      <w:bookmarkStart w:id="1199" w:name="Tc_KnwuMextXEKR3uJRg4D87A_8_0"/>
      <w:bookmarkStart w:id="1200" w:name="Tc_-XCi9VMRAkenNnsfxErVaA_7_9"/>
      <w:bookmarkStart w:id="1201" w:name="Tc_yW26RhdX4EyvMrajNVIWaQ_7_6"/>
      <w:bookmarkStart w:id="1202" w:name="Tc_BoFu0TBnM0GEn1oAllXz2Q_7_3"/>
      <w:bookmarkStart w:id="1203" w:name="Tc_ydPbyWVREUqXE3WtoBSmKg_7_0"/>
      <w:bookmarkStart w:id="1204" w:name="Tc_I5fcRVXhi0-K-_A4BogXKw_6_12"/>
      <w:bookmarkStart w:id="1205" w:name="Tc_F4iGNU1I_E-JDy3jnUQOPw_6_3"/>
      <w:bookmarkStart w:id="1206" w:name="Tc_KrTmUgSwPE6cv4igXjFmKQ_6_0"/>
      <w:bookmarkStart w:id="1207" w:name="Tc_CGVP3j_e40e_nY7tBwcvxg_5_12"/>
      <w:bookmarkStart w:id="1208" w:name="Tc_dhxEN8Z41UmL0xdunNkmSw_5_3"/>
      <w:bookmarkStart w:id="1209" w:name="Tc_o0lmzYOwCU2nwj0EEn9FrA_5_0"/>
      <w:bookmarkStart w:id="1210" w:name="Tc_EgRQRsTG20C_rkFh0fDcVw_4_14"/>
      <w:bookmarkStart w:id="1211" w:name="Tc_EjjZBsnsjUiul_OouxFgQA_4_11"/>
      <w:bookmarkStart w:id="1212" w:name="Tc_UKhXbpO9y0msZF2vz3-y_w_4_8"/>
      <w:bookmarkStart w:id="1213" w:name="Tc_YVJCu8zNgU6Eac3V8HYPDA_4_5"/>
      <w:bookmarkStart w:id="1214" w:name="Tc_YjjsY79NnU2VqzL7QGBEBA_4_2"/>
      <w:bookmarkStart w:id="1215" w:name="Tc_cbdhF4sypEa0-74WSSpw3g_4_0"/>
      <w:bookmarkStart w:id="1216" w:name="Tc_KUatz1n5QkuIGxhJEX_BBg_3_14"/>
      <w:bookmarkStart w:id="1217" w:name="Tc_v-9inVPjF0mZ3Dp0DIN7Fg_3_11"/>
      <w:bookmarkStart w:id="1218" w:name="Tc_XKwgnxPhGUmndWpgRCAshQ_3_8"/>
      <w:bookmarkStart w:id="1219" w:name="Tc_QRXHaef1bUiKkDYxxVRc3A_3_5"/>
      <w:bookmarkStart w:id="1220" w:name="Tc_YNBXVg96Ek6f06_F5MldBg_3_2"/>
      <w:bookmarkStart w:id="1221" w:name="Tc_9QzskxYkv0yU1nZSqKQpNg_2_11"/>
      <w:bookmarkStart w:id="1222" w:name="Tc_E5yd_g6Gb0yZtQtDxfzn9g_2_8"/>
      <w:bookmarkStart w:id="1223" w:name="Tc_Dqn3C6NJlEK7yYzlkzBcDg_2_2"/>
      <w:bookmarkStart w:id="1224" w:name="Tc_6Vhw7MHKIkqaCv_jAZ4WuQ_1_11"/>
      <w:bookmarkStart w:id="1225" w:name="_3bda77cd_3ac5_4686_92fb_9c9a2fc50a67"/>
      <w:bookmarkStart w:id="1226" w:name="Tc_7ZFZ_ygpLk-hJeOmU9nM1g_8_14"/>
      <w:bookmarkStart w:id="1227" w:name="Tc_kXO3qb0gPUKqydHkuze_nA_8_11"/>
      <w:bookmarkStart w:id="1228" w:name="Tc_luDYPkcXRUWZm8YSljrCiQ_8_8"/>
      <w:bookmarkStart w:id="1229" w:name="Tc_J2HByr6ElEuyE6xACcdBZA_8_5"/>
      <w:bookmarkStart w:id="1230" w:name="Tc_XRw3ltPtN0-VS9tT1nKl5g_8_2"/>
      <w:bookmarkStart w:id="1231" w:name="Tc_Dr1Gbnv1uEeBRzzc92nYOw_8_0"/>
      <w:bookmarkStart w:id="1232" w:name="Tc_gqUHjWuBf0KoviGgrnbxow_7_9"/>
      <w:bookmarkStart w:id="1233" w:name="Tc_HaJVE_yiI0GhlMhE9YM21A_7_6"/>
      <w:bookmarkStart w:id="1234" w:name="Tc_wz3nETumxUKfp2zzXW4Cfw_7_3"/>
      <w:bookmarkStart w:id="1235" w:name="Tc_1_XAMi5eVEy6XJKbsWjcYQ_7_0"/>
      <w:bookmarkStart w:id="1236" w:name="Tc_0jZxDQMzLEO1f3cHG8M6Uw_6_12"/>
      <w:bookmarkStart w:id="1237" w:name="Tc__QtfllIRSU-0uRGEyHoRPA_6_3"/>
      <w:bookmarkStart w:id="1238" w:name="Tc_OrpIHgrih0mXpavsGzGKZQ_6_0"/>
      <w:bookmarkStart w:id="1239" w:name="Tc_HZrAu8BMwEGF23vhA0OIeA_5_12"/>
      <w:bookmarkStart w:id="1240" w:name="Tc_KE2AggDTJU-Wq53IoNDCxg_5_3"/>
      <w:bookmarkStart w:id="1241" w:name="Tc_s18mXhihkkeSobpzsYthww_5_0"/>
      <w:bookmarkStart w:id="1242" w:name="Tc_cGO8Bv7UNUqI8TNFI5opgw_4_14"/>
      <w:bookmarkStart w:id="1243" w:name="Tc_FEfpnPJHGEqPOdiM-ZhRTA_4_11"/>
      <w:bookmarkStart w:id="1244" w:name="Tc_h72V-rclzkeScja2AVFMew_4_8"/>
      <w:bookmarkStart w:id="1245" w:name="Tc_IgZcoEHlS0GppXraKzSEdw_4_5"/>
      <w:bookmarkStart w:id="1246" w:name="Tc_LQPwqhfZZ0qPckcoivpdtQ_4_2"/>
      <w:bookmarkStart w:id="1247" w:name="Tc_o9IbAcdJgUy4p47S-aJprA_4_0"/>
      <w:bookmarkStart w:id="1248" w:name="Tc_9iXeRW8SZE-lqy7Ivrltdg_3_14"/>
      <w:bookmarkStart w:id="1249" w:name="Tc_nrglV4Lj_0WFV7nYZav7Ug_3_11"/>
      <w:bookmarkStart w:id="1250" w:name="Tc_Ce1b-3cZ5k-yglRnFFpgxw_3_8"/>
      <w:bookmarkStart w:id="1251" w:name="Tc_iV5NYy-qWEeTjxffJMWRjg_3_5"/>
      <w:bookmarkStart w:id="1252" w:name="Tc_zTOM_YDljUyDhwrB9MOSKA_3_2"/>
      <w:bookmarkStart w:id="1253" w:name="Tc_PRyfJg16WEeNgVmCFcRhzA_2_11"/>
      <w:bookmarkStart w:id="1254" w:name="Tc_zNTLbhRguEW0fqL-iWImog_2_8"/>
      <w:bookmarkStart w:id="1255" w:name="Tc_56gV-XO780S5Iq-7tipJEg_2_2"/>
      <w:bookmarkStart w:id="1256" w:name="Tc_kXTwS5VI8EGejtv1t3mvCg_1_11"/>
      <w:bookmarkStart w:id="1257" w:name="_51011fb8_584b_48c5_9ac1_a09503f9a2dd"/>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p>
    <w:tbl>
      <w:tblPr>
        <w:tblW w:w="10205" w:type="dxa"/>
        <w:jc w:val="left"/>
        <w:tblInd w:w="0" w:type="dxa"/>
        <w:tblLayout w:type="fixed"/>
        <w:tblCellMar>
          <w:top w:w="0" w:type="dxa"/>
          <w:left w:w="0" w:type="dxa"/>
          <w:bottom w:w="0" w:type="dxa"/>
          <w:right w:w="0" w:type="dxa"/>
        </w:tblCellMar>
      </w:tblPr>
      <w:tblGrid>
        <w:gridCol w:w="2534"/>
        <w:gridCol w:w="346"/>
        <w:gridCol w:w="405"/>
        <w:gridCol w:w="811"/>
        <w:gridCol w:w="346"/>
        <w:gridCol w:w="319"/>
        <w:gridCol w:w="865"/>
        <w:gridCol w:w="346"/>
        <w:gridCol w:w="317"/>
        <w:gridCol w:w="786"/>
        <w:gridCol w:w="346"/>
        <w:gridCol w:w="314"/>
        <w:gridCol w:w="1097"/>
        <w:gridCol w:w="346"/>
        <w:gridCol w:w="211"/>
        <w:gridCol w:w="816"/>
      </w:tblGrid>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14985" cy="175260"/>
                      <wp:effectExtent l="0" t="0" r="0" b="0"/>
                      <wp:wrapNone/>
                      <wp:docPr id="332" name="Frame33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49275" cy="175260"/>
                      <wp:effectExtent l="0" t="0" r="0" b="0"/>
                      <wp:wrapNone/>
                      <wp:docPr id="333" name="Frame33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9110" cy="175260"/>
                      <wp:effectExtent l="0" t="0" r="0" b="0"/>
                      <wp:wrapNone/>
                      <wp:docPr id="334" name="Frame33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6595" cy="175260"/>
                      <wp:effectExtent l="0" t="0" r="0" b="0"/>
                      <wp:wrapNone/>
                      <wp:docPr id="335" name="Frame335"/>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18160" cy="175260"/>
                      <wp:effectExtent l="0" t="0" r="0" b="0"/>
                      <wp:wrapNone/>
                      <wp:docPr id="336" name="Frame336"/>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46" w:type="dxa"/>
            <w:tcBorders/>
            <w:vAlign w:val="center"/>
          </w:tcPr>
          <w:p>
            <w:pPr>
              <w:pStyle w:val="TableContents"/>
              <w:bidi w:val="0"/>
              <w:spacing w:before="0" w:after="0"/>
              <w:ind w:left="0" w:right="0" w:hanging="0"/>
              <w:jc w:val="left"/>
              <w:rPr/>
            </w:pPr>
            <w:r>
              <w:rPr/>
              <w:t>​</w:t>
            </w:r>
          </w:p>
        </w:tc>
        <w:tc>
          <w:tcPr>
            <w:tcW w:w="118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Effect of</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Liability</w:t>
            </w:r>
          </w:p>
        </w:tc>
        <w:tc>
          <w:tcPr>
            <w:tcW w:w="346" w:type="dxa"/>
            <w:tcBorders/>
            <w:vAlign w:val="center"/>
          </w:tcPr>
          <w:p>
            <w:pPr>
              <w:pStyle w:val="TableContents"/>
              <w:bidi w:val="0"/>
              <w:spacing w:before="0" w:after="0"/>
              <w:ind w:left="0" w:right="0" w:hanging="0"/>
              <w:jc w:val="left"/>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w:t>
            </w:r>
          </w:p>
        </w:tc>
      </w:tr>
      <w:tr>
        <w:trPr/>
        <w:tc>
          <w:tcPr>
            <w:tcW w:w="2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cash flow hedges</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AOCI</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11,644</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34"/>
        <w:gridCol w:w="346"/>
        <w:gridCol w:w="405"/>
        <w:gridCol w:w="811"/>
        <w:gridCol w:w="346"/>
        <w:gridCol w:w="360"/>
        <w:gridCol w:w="824"/>
        <w:gridCol w:w="346"/>
        <w:gridCol w:w="317"/>
        <w:gridCol w:w="786"/>
        <w:gridCol w:w="346"/>
        <w:gridCol w:w="314"/>
        <w:gridCol w:w="1097"/>
        <w:gridCol w:w="346"/>
        <w:gridCol w:w="211"/>
        <w:gridCol w:w="816"/>
      </w:tblGrid>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14985" cy="175260"/>
                      <wp:effectExtent l="0" t="0" r="0" b="0"/>
                      <wp:wrapNone/>
                      <wp:docPr id="337" name="Frame33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23240" cy="175260"/>
                      <wp:effectExtent l="0" t="0" r="0" b="0"/>
                      <wp:wrapNone/>
                      <wp:docPr id="338" name="Frame338"/>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9110" cy="175260"/>
                      <wp:effectExtent l="0" t="0" r="0" b="0"/>
                      <wp:wrapNone/>
                      <wp:docPr id="339" name="Frame33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6595" cy="175260"/>
                      <wp:effectExtent l="0" t="0" r="0" b="0"/>
                      <wp:wrapNone/>
                      <wp:docPr id="340" name="Frame34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18160" cy="175260"/>
                      <wp:effectExtent l="0" t="0" r="0" b="0"/>
                      <wp:wrapNone/>
                      <wp:docPr id="341" name="Frame34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46" w:type="dxa"/>
            <w:tcBorders/>
            <w:vAlign w:val="center"/>
          </w:tcPr>
          <w:p>
            <w:pPr>
              <w:pStyle w:val="TableContents"/>
              <w:bidi w:val="0"/>
              <w:spacing w:before="0" w:after="0"/>
              <w:ind w:left="0" w:right="0" w:hanging="0"/>
              <w:jc w:val="left"/>
              <w:rPr/>
            </w:pPr>
            <w:r>
              <w:rPr/>
              <w:t>​</w:t>
            </w:r>
          </w:p>
        </w:tc>
        <w:tc>
          <w:tcPr>
            <w:tcW w:w="1184"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Effect of</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r>
      <w:tr>
        <w:trPr/>
        <w:tc>
          <w:tcPr>
            <w:tcW w:w="2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Liability</w:t>
            </w:r>
          </w:p>
        </w:tc>
        <w:tc>
          <w:tcPr>
            <w:tcW w:w="346" w:type="dxa"/>
            <w:tcBorders/>
            <w:vAlign w:val="center"/>
          </w:tcPr>
          <w:p>
            <w:pPr>
              <w:pStyle w:val="TableContents"/>
              <w:bidi w:val="0"/>
              <w:spacing w:before="0" w:after="0"/>
              <w:ind w:left="0" w:right="0" w:hanging="0"/>
              <w:jc w:val="left"/>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r>
      <w:tr>
        <w:trPr/>
        <w:tc>
          <w:tcPr>
            <w:tcW w:w="2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cash flow hedges</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AOCI</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5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w:t>
            </w:r>
          </w:p>
        </w:tc>
      </w:tr>
      <w:tr>
        <w:trPr/>
        <w:tc>
          <w:tcPr>
            <w:tcW w:w="2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16"/>
        <w:gridCol w:w="346"/>
        <w:gridCol w:w="405"/>
        <w:gridCol w:w="811"/>
        <w:gridCol w:w="346"/>
        <w:gridCol w:w="310"/>
        <w:gridCol w:w="840"/>
        <w:gridCol w:w="346"/>
        <w:gridCol w:w="305"/>
        <w:gridCol w:w="753"/>
        <w:gridCol w:w="346"/>
        <w:gridCol w:w="314"/>
        <w:gridCol w:w="1097"/>
        <w:gridCol w:w="346"/>
        <w:gridCol w:w="211"/>
        <w:gridCol w:w="813"/>
      </w:tblGrid>
      <w:tr>
        <w:trPr/>
        <w:tc>
          <w:tcPr>
            <w:tcW w:w="2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14985" cy="175260"/>
                      <wp:effectExtent l="0" t="0" r="0" b="0"/>
                      <wp:wrapNone/>
                      <wp:docPr id="342" name="Frame34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33400" cy="175260"/>
                      <wp:effectExtent l="0" t="0" r="0" b="0"/>
                      <wp:wrapNone/>
                      <wp:docPr id="343" name="Frame34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78155" cy="175260"/>
                      <wp:effectExtent l="0" t="0" r="0" b="0"/>
                      <wp:wrapNone/>
                      <wp:docPr id="344" name="Frame344"/>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6595" cy="175260"/>
                      <wp:effectExtent l="0" t="0" r="0" b="0"/>
                      <wp:wrapNone/>
                      <wp:docPr id="345" name="Frame345"/>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16255" cy="175260"/>
                      <wp:effectExtent l="0" t="0" r="0" b="0"/>
                      <wp:wrapNone/>
                      <wp:docPr id="346" name="Frame34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r>
      <w:tr>
        <w:trPr/>
        <w:tc>
          <w:tcPr>
            <w:tcW w:w="2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46" w:type="dxa"/>
            <w:tcBorders/>
            <w:vAlign w:val="center"/>
          </w:tcPr>
          <w:p>
            <w:pPr>
              <w:pStyle w:val="TableContents"/>
              <w:bidi w:val="0"/>
              <w:spacing w:before="0" w:after="0"/>
              <w:ind w:left="0" w:right="0" w:hanging="0"/>
              <w:jc w:val="left"/>
              <w:rPr/>
            </w:pPr>
            <w:r>
              <w:rPr/>
              <w:t>​</w:t>
            </w:r>
          </w:p>
        </w:tc>
        <w:tc>
          <w:tcPr>
            <w:tcW w:w="115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Effect of</w:t>
            </w:r>
          </w:p>
        </w:tc>
        <w:tc>
          <w:tcPr>
            <w:tcW w:w="34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r>
      <w:tr>
        <w:trPr/>
        <w:tc>
          <w:tcPr>
            <w:tcW w:w="2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Liability</w:t>
            </w:r>
          </w:p>
        </w:tc>
        <w:tc>
          <w:tcPr>
            <w:tcW w:w="346" w:type="dxa"/>
            <w:tcBorders/>
            <w:vAlign w:val="center"/>
          </w:tcPr>
          <w:p>
            <w:pPr>
              <w:pStyle w:val="TableContents"/>
              <w:bidi w:val="0"/>
              <w:spacing w:before="0" w:after="0"/>
              <w:ind w:left="0" w:right="0" w:hanging="0"/>
              <w:jc w:val="left"/>
              <w:rPr/>
            </w:pPr>
            <w:r>
              <w:rPr/>
              <w:t>  ​ ​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46" w:type="dxa"/>
            <w:tcBorders/>
            <w:vAlign w:val="center"/>
          </w:tcPr>
          <w:p>
            <w:pPr>
              <w:pStyle w:val="TableContents"/>
              <w:bidi w:val="0"/>
              <w:spacing w:before="0" w:after="0"/>
              <w:ind w:left="0" w:right="0" w:hanging="0"/>
              <w:jc w:val="left"/>
              <w:rPr/>
            </w:pPr>
            <w:r>
              <w:rPr/>
              <w:t>  ​ ​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(23,183)</w:t>
            </w:r>
          </w:p>
        </w:tc>
      </w:tr>
      <w:tr>
        <w:trPr/>
        <w:tc>
          <w:tcPr>
            <w:tcW w:w="2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cash flow hedges</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2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AOCI</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r>
      <w:tr>
        <w:trPr/>
        <w:tc>
          <w:tcPr>
            <w:tcW w:w="2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15,506</w:t>
            </w:r>
          </w:p>
        </w:tc>
      </w:tr>
      <w:tr>
        <w:trPr/>
        <w:tc>
          <w:tcPr>
            <w:tcW w:w="2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realized gains and losses relating to the Company’s interest rate swap hedges were reclassified from AOCI and included in interest expense in the condensed consolidated statements of income and comprehensive income.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DIVIDENDS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declared a quarterly dividend of $0.04 per share in the second quarter of 2026, and $0.03 per share in the first quarter of 2026 and the first and second quarters of 2025.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ALLIENT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TextBody"/>
        <w:bidi w:val="0"/>
        <w:spacing w:before="0" w:after="240"/>
        <w:ind w:left="0" w:right="0" w:hanging="0"/>
        <w:jc w:val="left"/>
        <w:rPr>
          <w:rFonts w:ascii="Times New Roman;Times;serif" w:hAnsi="Times New Roman;Times;serif"/>
          <w:b/>
          <w:sz w:val="20"/>
        </w:rPr>
      </w:pPr>
      <w:bookmarkStart w:id="1258" w:name="Tc_H0cpfA4iVU-Hk2IIkGkKdQ_6_0"/>
      <w:bookmarkStart w:id="1259" w:name="Tc_bhD6yHQyG02eSsAe5hDWww_5_0"/>
      <w:bookmarkStart w:id="1260" w:name="Tc_MiximvzfI0mE42Ix8r8Krw_4_0"/>
      <w:bookmarkStart w:id="1261" w:name="Tc_YIrtNW1uFEyFBF9V4QbZwg_3_8"/>
      <w:bookmarkStart w:id="1262" w:name="Tc_YeVdmEu7dka-hi_P3T01Hg_3_6"/>
      <w:bookmarkStart w:id="1263" w:name="Tc_CQ2HdDwu5kqBC1Iz0MQYIw_3_4"/>
      <w:bookmarkStart w:id="1264" w:name="Tc_LitJljZMY0emAIcprJO7yA_3_2"/>
      <w:bookmarkStart w:id="1265" w:name="Tc_XxKJdJsEFEWpS5WD6ldYtg_2_6"/>
      <w:bookmarkStart w:id="1266" w:name="Tc_Q4LCnjMPH0KfpcrCg5gJ_w_2_2"/>
      <w:bookmarkStart w:id="1267" w:name="Tc_9Nvybf--yke7o4sMG6pVLA_1_6"/>
      <w:bookmarkStart w:id="1268" w:name="Tc_GBpPgaTmP06RKhPjmZC6yg_1_2"/>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b/>
          <w:sz w:val="20"/>
        </w:rPr>
        <w:t>16    EARNINGS PER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weighted-average shares outstanding are as follows:</w:t>
      </w:r>
    </w:p>
    <w:p>
      <w:pPr>
        <w:pStyle w:val="TextBody"/>
        <w:bidi w:val="0"/>
        <w:spacing w:before="0" w:after="0"/>
        <w:ind w:left="0" w:right="0" w:hanging="0"/>
        <w:jc w:val="left"/>
        <w:rPr/>
      </w:pPr>
      <w:r>
        <w:rPr/>
        <w:t>​</w:t>
      </w:r>
    </w:p>
    <w:tbl>
      <w:tblPr>
        <w:tblW w:w="8185" w:type="dxa"/>
        <w:jc w:val="left"/>
        <w:tblInd w:w="0" w:type="dxa"/>
        <w:tblLayout w:type="fixed"/>
        <w:tblCellMar>
          <w:top w:w="0" w:type="dxa"/>
          <w:left w:w="0" w:type="dxa"/>
          <w:bottom w:w="0" w:type="dxa"/>
          <w:right w:w="0" w:type="dxa"/>
        </w:tblCellMar>
      </w:tblPr>
      <w:tblGrid>
        <w:gridCol w:w="3766"/>
        <w:gridCol w:w="286"/>
        <w:gridCol w:w="676"/>
        <w:gridCol w:w="346"/>
        <w:gridCol w:w="676"/>
        <w:gridCol w:w="346"/>
        <w:gridCol w:w="676"/>
        <w:gridCol w:w="346"/>
        <w:gridCol w:w="676"/>
        <w:gridCol w:w="39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391410" cy="175260"/>
                      <wp:effectExtent l="0" t="0" r="0" b="0"/>
                      <wp:wrapNone/>
                      <wp:docPr id="347" name="Frame34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81610" cy="175260"/>
                      <wp:effectExtent l="0" t="0" r="0" b="0"/>
                      <wp:wrapNone/>
                      <wp:docPr id="348" name="Frame3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9260" cy="175260"/>
                      <wp:effectExtent l="0" t="0" r="0" b="0"/>
                      <wp:wrapNone/>
                      <wp:docPr id="349" name="Frame3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29260" cy="175260"/>
                      <wp:effectExtent l="0" t="0" r="0" b="0"/>
                      <wp:wrapNone/>
                      <wp:docPr id="351" name="Frame3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29260" cy="175260"/>
                      <wp:effectExtent l="0" t="0" r="0" b="0"/>
                      <wp:wrapNone/>
                      <wp:docPr id="353" name="Frame3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29260" cy="175260"/>
                      <wp:effectExtent l="0" t="0" r="0" b="0"/>
                      <wp:wrapNone/>
                      <wp:docPr id="355"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48285" cy="175260"/>
                      <wp:effectExtent l="0" t="0" r="0" b="0"/>
                      <wp:wrapNone/>
                      <wp:docPr id="356" name="Frame3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69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69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28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16,639</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potential common shares</w:t>
            </w:r>
          </w:p>
        </w:tc>
        <w:tc>
          <w:tcPr>
            <w:tcW w:w="28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91" w:type="dxa"/>
            <w:tcBorders/>
            <w:vAlign w:val="center"/>
          </w:tcPr>
          <w:p>
            <w:pPr>
              <w:pStyle w:val="TableContents"/>
              <w:bidi w:val="0"/>
              <w:spacing w:before="0" w:after="0"/>
              <w:ind w:left="0" w:right="0" w:hanging="0"/>
              <w:jc w:val="left"/>
              <w:rPr/>
            </w:pPr>
            <w:r>
              <w:rPr/>
              <w:t> </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28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16,671</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the anti-dilutive common shares excluded from the calculation of diluted earnings per share were 37,000 and 41,000, respectively. For the three and six months ended June 30, 2025, the anti-dilutive common shares excluded from the calculation of diluted earnings per share were 55,000 and 64,000,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69" w:name="_Hlk165290973"/>
      <w:bookmarkEnd w:id="1269"/>
      <w:r>
        <w:rPr>
          <w:rFonts w:ascii="Times New Roman;Times;serif" w:hAnsi="Times New Roman;Times;serif"/>
          <w:b/>
          <w:sz w:val="20"/>
        </w:rPr>
        <w:t>17.    SEGMENT INFORMATION</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The Company operates in one segment for the manufacture and marketing of specialty-controlled motion products and solutions for end user and OEM applications. The Company’s chief operating decision maker (“CODM”) has been identified as the Chief Executive Officer and President, who reviews operating results to make decisions about allocating resources, monitoring budgets, and assessing performance for the entire Company. The measure of segment profit or loss utilized is consolidated net income. The CODM uses this measure to compare results to prior periods and during our budgeting and forecasting process to assess profitability and enable decision making. The reports reviewed by the CODM do not provide for any significant expense categories beyond those as reported on the consolidated statement of income and comprehensive income. The accounting policies of the Company are described in Note 1 </w:t>
      </w:r>
      <w:r>
        <w:rPr>
          <w:rFonts w:ascii="Times New Roman;Times;serif" w:hAnsi="Times New Roman;Times;serif"/>
          <w:i/>
          <w:sz w:val="20"/>
        </w:rPr>
        <w:t xml:space="preserve">Significant Accounting Policies </w:t>
      </w:r>
      <w:r>
        <w:rPr>
          <w:rFonts w:ascii="Times New Roman;Times;serif" w:hAnsi="Times New Roman;Times;serif"/>
          <w:sz w:val="20"/>
        </w:rPr>
        <w:t>in the 2025 Form 10-K.</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The CODM utilizes consolidated net income, which is available in our consolidated statements of income and comprehensive income, as the measurement for assessing financial performance.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 and 2025, revenue was comprised of 54% and 55%, respectively, shipped to U.S. customers. Revenue for the six months ended June 30, 2026 and 2025 was comprised of 53% and 54%, respectively, shipped to U.S. customers. The remainder of revenues for all periods were shipped to foreign customers, primarily in Europe, Canada, and Asia-Pacific.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Identifiable foreign fixed assets were $28,024 and $30,418 as of June 30, 2026 and December 31, 2025, respectively. Identifiable assets outside of the U.S. are attributable to Europe, China, Mexico, and Asia-Pacific.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and 2025, no customers individually accounted for a material concentration of revenue nor accounts receivable.</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1270" w:name="_Hlk86660622"/>
      <w:bookmarkEnd w:id="1270"/>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sz w:val="20"/>
        </w:rPr>
      </w:pPr>
      <w:bookmarkStart w:id="1271" w:name="Item2ManagementsDiscussionandAnalysisofF"/>
      <w:bookmarkStart w:id="1272" w:name="_01ea2cb5_00c0_486f_befe_f12eacca4ea8"/>
      <w:bookmarkEnd w:id="1271"/>
      <w:bookmarkEnd w:id="1272"/>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statements contained herein that are not statements of historical fact constitute “forward-looking statements” within the meaning of the Private Securities Litigation Reform Act of 1995. Forward-looking statements include, without limitation, any statement that may predict, forecast, indicate, or imply future results, performance, or achievements, and may contain the word “believe,” “anticipate,” “expect,” “project,” “intend,” “will continue,” “will likely result,” “should” or words or phrases of similar meaning. Forward-looking statements involve known and unknown risks and uncertainties that may cause actual results to differ materially from the expected results described in the forward-looking statements. The risks and uncertainties include those associated with: the domestic and foreign general business and economic conditions in the markets we serve, including political and currency risks and adverse changes in local legal and regulatory environments; the severity, magnitude and duration of the impact of global pandemics, including impacts from businesses’ and governments’ responses to the impact on our operations and personnel, and on commercial activity and demand across our and our customers’ businesses, and on global supply chains; our inability to predict the extent to which global pandemic impacts will adversely impact our business operations, financial performance, results of operations, financial position, the prices of our securities and the achievement of our strategic objectives; the geopolitical conflicts and their ability to create instability and economic uncertainty; the introduction of new technologies and the impact of competitive products; the ability to protect the Company’s intellectual property; our ability to sustain, manage or forecast our growth and product acceptance to accurately align capacity with demand; the continued success of our customers and the ability to realize the full amounts reflected in our order backlog as revenue; the loss of significant customers or the enforceability of the Company’s contracts in connection with a merger, acquisition, disposition, bankruptcy, or otherwise; our ability to meet the technical specifications of our customers; the performance of subcontractors or suppliers and the continued availability of parts and components; failure of a key information technology system, process or site or a breach of information security, including a cybersecurity breach, ransomware, or failure of one or more key information technology systems, networks, processes, associated sites or service providers; changes in government regulations; the availability of financing and our access to capital markets, borrowings, or financial transactions to hedge certain risks; the ability to attract and retain qualified personnel, and in particular those who can design new applications and products for the motion industry; the ability to implement our corporate strategies designed for growth and improvement in profits including to identify and consummate favorable acquisitions to support external growth and the development of new technologies; the ability to successfully integrate an acquired business into our business model without substantial costs, delays, or problems; our ability to control costs, including the establishment and operation of low cost region manufacturing and component sourcing capabilities; and in the Company’s Annual Report in Form 10-K. Actual results, events and performance may differ materially from the Company’s forward-looking statements. Readers are cautioned not to place undue reliance on these forward-looking statements as a prediction of actual results. Any forward-looking statement speaks only as of the date on which it is made. New risks and uncertainties arise over time, and it is not possible for us to predict the occurrence of those matters or the manner in which they may affect us. The Company has no obligation or intent to release publicly any revisions to any forward-looking statements, whether as a result of new information, future events, or otherwise.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New risk factors emerge from time to time, and it is not possible for management to predict all such risk factors, nor can it assess the impact of all such risk factors on its business or the extent to which any factor, or combination of factors, may cause actual results to differ materially from those contained in any forward-looking statements. The Company’s expectations, beliefs and projections are believed to have a reasonable basis; however, the Company makes no assurance that expectations, beliefs, or projections will be achieved.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global company that is engaged in the business of designing, manufacturing, and selling precision motion, control, power, and structural composites to provide integrated system solutions as well as individual products, to a broad spectrum of customers throughout the world primarily for the industrial, vehicle, medical, and aerospace and defense markets. We are headquartered in Williamsville, NY, and have operations in the United States, Canada, Mexico, Europe, and Asia-Pacific. We are known worldwide for our expertise in electro-magnetic, mechanical, and electronic motion technology. We sell component and integrated controlled motion solutions to end customers and OEMs through our own direct sales force and authorized manufacturers’ representatives and distributors. Our products include nano precision positioning systems, servo control systems, motion controllers, digital servo amplifiers and drives, brushless servo, torque, and coreless motors, brush motors, integrated motor-drives, gear motors, gearing, incremental and absolute optical encoders, active (electronic) and passive (magnetic) filters for power quality and harmonic issues, Industrial safety rated input/output Modules, Universal Industrial Communications Gateways, light-weighting technologies, transformers, and other controlled motion-related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Throughout 2025 and through the first two quarters of 2026, we continue to refine our strategy to expand our vertical market focus to accelerate our growth. Throughout its history, the Company has expanded our capabilities to be a leading global provider of motion solutions. More recently, we have been building our controls and power technologies, both organically and through acquisitions. The evolution of these additional pillars of our business enhances our overall value proposition, expands our addressable markets and is aligned with mega technology trends. These advancements required us to refine our strategy to leverage the value opportunity that exists in three technology pillars – Motion, Controls, and Power.</w:t>
      </w:r>
    </w:p>
    <w:p>
      <w:pPr>
        <w:pStyle w:val="TextBody"/>
        <w:pBdr/>
        <w:bidi w:val="0"/>
        <w:spacing w:before="0" w:after="0"/>
        <w:ind w:left="0" w:right="0" w:hanging="0"/>
        <w:jc w:val="left"/>
        <w:rPr>
          <w:rFonts w:ascii="Times New Roman;Times;serif" w:hAnsi="Times New Roman;Times;serif"/>
          <w:b/>
          <w:sz w:val="20"/>
        </w:rPr>
      </w:pPr>
      <w:bookmarkStart w:id="1273" w:name="_Hlk173488840"/>
      <w:bookmarkEnd w:id="1273"/>
      <w:r>
        <w:rPr>
          <w:rFonts w:ascii="Times New Roman;Times;serif" w:hAnsi="Times New Roman;Times;serif"/>
          <w:b/>
          <w:sz w:val="20"/>
        </w:rPr>
        <w:t>Recent Events</w:t>
      </w:r>
    </w:p>
    <w:p>
      <w:pPr>
        <w:pStyle w:val="TextBody"/>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Through 2024 and 2025, and continuing into 2026, the Company has been executing its Simplify to Accelerate NOW program. This included initiatives to realign the Company’s manufacturing footprint and streamline the organization to enhance operational efficiency and drive profitability. These initiatives are expected to position Allient to emerge from the current challenging macroeconomic and geopolitical environments, including industrial headwinds with stronger earnings power, improved operational flexibility, and enhanced capacity to capitalize on future growth opportunities. Additional costs associated with our Simplify to Accelerate NOW program are expected to create additional annualized cost savings in 2026.</w:t>
      </w:r>
    </w:p>
    <w:p>
      <w:pPr>
        <w:pStyle w:val="TextBody"/>
        <w:shd w:fill="FFFFFF" w:val="clear"/>
        <w:bidi w:val="0"/>
        <w:spacing w:before="100" w:after="100"/>
        <w:ind w:left="0" w:right="0" w:hanging="0"/>
        <w:jc w:val="left"/>
        <w:rPr>
          <w:color w:val="212529"/>
          <w:shd w:fill="FFFF00" w:val="clear"/>
        </w:rPr>
      </w:pPr>
      <w:r>
        <w:rPr>
          <w:color w:val="212529"/>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first quarter of 2025, the Company announced that consistent with its Simplify to Accelerate NOW strategy, it will expand upon current capabilities and skillsets to create a state-of-the-art Fabrication Center of Excellence at its facility in Dothan, Alabama.  The Company is transferring current assembly operations from Dothan and transferring these capabilities into its facilities in Tulsa, Oklahoma and Reynosa, Mexico where Final Assembly, Integration and Test capabilities are the core competencies. The realignment will improve business focus and better leverage the Company’s footprint to deliver high-precision system solutions for demanding applications in various served markets including Aerospace and Defense, Medical and Electronic Test and Assembly Equipment.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costs in 2025 were approximately $4 million, primarily related to employee severance and other personnel-related expenses. Additional expenses of $641 and $1,503 have been incurred during the first three and six months of 2026, respectively, with a total of approximately $2 to $3 million anticipated to be incurred throughout 2026, and will be substantively paid by the end of 2026.</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Global Environment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current geopolitical conflicts are creating higher levels of economic uncertainty and increased volatility with respect to energy prices, interest rates, our supply chain (in particular, with respect to changes and proposed changes to tariffs and trade policies), and certain customer ordering patterns. We are closely monitoring the developments and continue to adjust our production platform to react to changing customer ordering patterns. The impact of the conflicts on our operational and financial performance will depend on future developments that cannot be predicted.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U.S. government has proposed and implemented certain updates to existing foreign trade policies. These updates include new and increased tariffs, or potential tariffs, on a wide range of products and goods imported to the U.S., and certain countries have responded with reciprocal tariffs and/or trade restrictions. We have manufacturing operations in Mexico, China, and Europe, amongst other locations globally throughout the world, and source certain components from locations that may be impacted by these policy changes. Official government policies and agreements continue to be closely monitored, and our operations remain agile in adjusting to minimize potential impacts to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2026, the U.S. Supreme Court ruled that certain tariffs based on the International Emergency Economic Powers Act that were assessed and incurred in 2025 were unconstitutional. Following this ruling, the U.S. Court of International Trade began to develop a process to assess how to refund tariffs that were paid under the applicable executive orders. At this time, the Company has begun the process of applying for refunds of tariffs paid. However, no tariff refunds have been approved and the Company has not received any refund payments. We continue to monitor the recent applicable rulings and will continue to monitor and consider what refunds can be pursued.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Results</w:t>
      </w:r>
    </w:p>
    <w:p>
      <w:pPr>
        <w:pStyle w:val="TextBody"/>
        <w:bidi w:val="0"/>
        <w:spacing w:before="0" w:after="0"/>
        <w:ind w:left="0" w:right="0" w:hanging="0"/>
        <w:jc w:val="left"/>
        <w:rPr>
          <w:rFonts w:ascii="Times New Roman;Times;serif" w:hAnsi="Times New Roman;Times;serif"/>
          <w:b/>
          <w:i/>
          <w:sz w:val="20"/>
        </w:rPr>
      </w:pPr>
      <w:bookmarkStart w:id="1274" w:name="_Hlk107235635"/>
      <w:bookmarkEnd w:id="1274"/>
      <w:r>
        <w:rPr>
          <w:rFonts w:ascii="Times New Roman;Times;serif" w:hAnsi="Times New Roman;Times;serif"/>
          <w:b/>
          <w:i/>
          <w:sz w:val="20"/>
        </w:rPr>
        <w:t>Three months ended June 30, 2026 compared to three months ended June 30, 2025</w:t>
      </w:r>
    </w:p>
    <w:p>
      <w:pPr>
        <w:pStyle w:val="TextBody"/>
        <w:bidi w:val="0"/>
        <w:spacing w:before="0" w:after="0"/>
        <w:ind w:left="0" w:right="0" w:hanging="0"/>
        <w:jc w:val="left"/>
        <w:rPr/>
      </w:pPr>
      <w:r>
        <w:rPr/>
        <w:t>​</w:t>
      </w:r>
    </w:p>
    <w:tbl>
      <w:tblPr>
        <w:tblW w:w="8938" w:type="dxa"/>
        <w:jc w:val="left"/>
        <w:tblInd w:w="0" w:type="dxa"/>
        <w:tblLayout w:type="fixed"/>
        <w:tblCellMar>
          <w:top w:w="0" w:type="dxa"/>
          <w:left w:w="0" w:type="dxa"/>
          <w:bottom w:w="0" w:type="dxa"/>
          <w:right w:w="0" w:type="dxa"/>
        </w:tblCellMar>
      </w:tblPr>
      <w:tblGrid>
        <w:gridCol w:w="3781"/>
        <w:gridCol w:w="346"/>
        <w:gridCol w:w="211"/>
        <w:gridCol w:w="781"/>
        <w:gridCol w:w="361"/>
        <w:gridCol w:w="211"/>
        <w:gridCol w:w="781"/>
        <w:gridCol w:w="361"/>
        <w:gridCol w:w="211"/>
        <w:gridCol w:w="691"/>
        <w:gridCol w:w="346"/>
        <w:gridCol w:w="541"/>
        <w:gridCol w:w="316"/>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400935" cy="175260"/>
                      <wp:effectExtent l="0" t="0" r="0" b="0"/>
                      <wp:wrapNone/>
                      <wp:docPr id="357" name="Frame35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95935" cy="175260"/>
                      <wp:effectExtent l="0" t="0" r="0" b="0"/>
                      <wp:wrapNone/>
                      <wp:docPr id="360" name="Frame3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9235" cy="175260"/>
                      <wp:effectExtent l="0" t="0" r="0" b="0"/>
                      <wp:wrapNone/>
                      <wp:docPr id="361" name="Frame3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95935" cy="175260"/>
                      <wp:effectExtent l="0" t="0" r="0" b="0"/>
                      <wp:wrapNone/>
                      <wp:docPr id="363" name="Frame3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29235" cy="175260"/>
                      <wp:effectExtent l="0" t="0" r="0" b="0"/>
                      <wp:wrapNone/>
                      <wp:docPr id="364" name="Frame3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38785" cy="175260"/>
                      <wp:effectExtent l="0" t="0" r="0" b="0"/>
                      <wp:wrapNone/>
                      <wp:docPr id="366" name="Frame3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43535" cy="175260"/>
                      <wp:effectExtent l="0" t="0" r="0" b="0"/>
                      <wp:wrapNone/>
                      <wp:docPr id="368" name="Frame36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0660" cy="175260"/>
                      <wp:effectExtent l="0" t="0" r="0" b="0"/>
                      <wp:wrapNone/>
                      <wp:docPr id="369" name="Frame3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61" w:type="dxa"/>
            <w:tcBorders/>
            <w:vAlign w:val="center"/>
          </w:tcPr>
          <w:p>
            <w:pPr>
              <w:pStyle w:val="TableContents"/>
              <w:bidi w:val="0"/>
              <w:spacing w:before="0" w:after="0"/>
              <w:ind w:left="0" w:right="0" w:hanging="0"/>
              <w:jc w:val="left"/>
              <w:rPr/>
            </w:pPr>
            <w:r>
              <w:rPr/>
              <w:t>  ​ ​ ​</w:t>
            </w:r>
          </w:p>
        </w:tc>
        <w:tc>
          <w:tcPr>
            <w:tcW w:w="178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7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16" w:type="dxa"/>
            <w:tcBorders/>
            <w:vAlign w:val="center"/>
          </w:tcPr>
          <w:p>
            <w:pPr>
              <w:pStyle w:val="TableContents"/>
              <w:bidi w:val="0"/>
              <w:spacing w:before="0" w:after="0"/>
              <w:ind w:left="0" w:right="0" w:hanging="0"/>
              <w:jc w:val="center"/>
              <w:rPr/>
            </w:pPr>
            <w:r>
              <w:rPr/>
              <w:t> </w:t>
            </w:r>
          </w:p>
        </w:tc>
      </w:tr>
      <w:tr>
        <w:trPr/>
        <w:tc>
          <w:tcPr>
            <w:tcW w:w="37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 except per share data)</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139,578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14,192</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100,178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93,222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6,956</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7,236</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 percentage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and integration-related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5,717</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135,032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66,270</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298,031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236,586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61,445</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275" w:name="_Hlk172893765"/>
      <w:bookmarkEnd w:id="1275"/>
      <w:r>
        <w:rPr>
          <w:rFonts w:ascii="Times New Roman;Times;serif" w:hAnsi="Times New Roman;Times;serif"/>
          <w:sz w:val="20"/>
        </w:rPr>
        <w:t xml:space="preserve">REVENUES: </w:t>
      </w:r>
      <w:r>
        <w:rPr>
          <w:rFonts w:ascii="Times New Roman;Times;serif" w:hAnsi="Times New Roman;Times;serif"/>
          <w:sz w:val="20"/>
          <w:shd w:fill="FFFFFF" w:val="clear"/>
        </w:rPr>
        <w:t xml:space="preserve">The increase in revenues during the three months ended June 30, 2026 reflects increases in many of our target markets, most significantly within Industrial and Aerospace and Defense. </w:t>
      </w:r>
      <w:r>
        <w:rPr>
          <w:rFonts w:ascii="Times New Roman;Times;serif" w:hAnsi="Times New Roman;Times;serif"/>
          <w:sz w:val="20"/>
        </w:rPr>
        <w:t>Our revenues for the three months ended June 30, 2026 were comprised of 54% to U.S. customers and 46% to customers primarily in Europe, Canada, and Asia-Pacific. The overall increase in revenue was primarily due to a 9.3% volume increase and a foreign currency increase of 0.9%. Organic revenue increased 9.3% during the second quarter of 2026. Organic revenue is a non-GAAP measure. Refer to information included in “Non-GAAP Measures” below for a discussion and reconciliation of the non-GAAP measures.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ORDER BOOKINGS: Bookings increased in the three months ended June 30, 2026 compared to 2025, due to a 48.3% increase in volume and a 0.8% increase in foreign currency impact. The increase in bookings from the prior year quarter is impacted by improvements in customer demand levels across certain target markets, primarily within Industrial and Aerospace and Defense, in the current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GROSS PROFIT AND GROSS MARGIN: Gross profit increased to $53,592 in the three months ended June 30, 2026 from $46,356 in the three months ended June 30, 2025, and gross margins increased to 34.9% for 2026, compared to 33.2% for 2025. Gross profit and gross margin percentage were impacted favorably by higher sales volume, improved product mix, and operational improvements driven by our Simplify to Accelerate NOW strategy.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SELLING EXPENSES: Selling expenses increased 26% during the three months ended June 30, 2026 compared to 2025, reflecting higher commissions driven by higher sales volumes, as well as higher marketing and sales-generating costs. Selling expenses as a percentage of revenues were 5% and 4% in the three months ended June 30, 2026 and 2025, respectively.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General and administrative expenses increased 10% during the three months ended June 30, 2026 compared to 2025 due primarily to personnel-related costs and higher software licensing and information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technology consulting costs. As a percentage of revenues, general and administrative expenses were 10% in each of the three months ended June 30, 2026 and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ENGINEERING AND DEVELOPMENT EXPENSES: Engineering and development expenses increased by 7% in the three months ended June 30, 2026 compared to 2025. The increase primarily reflects higher incentive compensation, partially offset by the cost reduction actions taken as part of our Simplify to Accelerate NOW strategy. As a percentage of revenues, engineering and development expenses were 7% in each of the three months ended June 30, 2026 and 2025.</w:t>
      </w:r>
    </w:p>
    <w:p>
      <w:pPr>
        <w:pStyle w:val="TextBody"/>
        <w:bidi w:val="0"/>
        <w:spacing w:before="0" w:after="200"/>
        <w:ind w:left="0" w:right="0" w:hanging="0"/>
        <w:jc w:val="left"/>
        <w:rPr>
          <w:rFonts w:ascii="Times New Roman;Times;serif" w:hAnsi="Times New Roman;Times;serif"/>
          <w:sz w:val="20"/>
        </w:rPr>
      </w:pPr>
      <w:bookmarkStart w:id="1276" w:name="_Hlk95739651"/>
      <w:bookmarkEnd w:id="1276"/>
      <w:r>
        <w:rPr>
          <w:rFonts w:ascii="Times New Roman;Times;serif" w:hAnsi="Times New Roman;Times;serif"/>
          <w:sz w:val="20"/>
        </w:rPr>
        <w:t>RESTRUCTURING AND BUSINESS REALIGNMENT COSTS: Restructuring and business realignment costs decreased in the three months ended June 30, 2026 compared to 2025 primarily reflecting costs associated with the transfer of assembly operations from our Dothan, Alabama facility in 2025 and timing of other Simplify to Accelerate NOW actions.</w:t>
      </w:r>
    </w:p>
    <w:p>
      <w:pPr>
        <w:pStyle w:val="TextBody"/>
        <w:bidi w:val="0"/>
        <w:spacing w:before="0" w:after="200"/>
        <w:ind w:left="0" w:right="0" w:hanging="0"/>
        <w:jc w:val="left"/>
        <w:rPr>
          <w:rFonts w:ascii="Times New Roman;Times;serif" w:hAnsi="Times New Roman;Times;serif"/>
          <w:sz w:val="20"/>
        </w:rPr>
      </w:pPr>
      <w:bookmarkStart w:id="1277" w:name="_Hlk109828498"/>
      <w:bookmarkEnd w:id="1277"/>
      <w:r>
        <w:rPr>
          <w:rFonts w:ascii="Times New Roman;Times;serif" w:hAnsi="Times New Roman;Times;serif"/>
          <w:sz w:val="20"/>
        </w:rPr>
        <w:t>AMORTIZATION OF INTANGIBLE ASSETS: Amortization of intangible assets remained consistent compared to the prior year period.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INTEREST EXPENSE: Interest expense decreased in the three months ended June 30, 2026 compared to 2025 due to lower average debt balances.</w:t>
      </w:r>
    </w:p>
    <w:p>
      <w:pPr>
        <w:pStyle w:val="TextBody"/>
        <w:bidi w:val="0"/>
        <w:spacing w:before="0" w:after="200"/>
        <w:ind w:left="0" w:right="0" w:hanging="0"/>
        <w:jc w:val="left"/>
        <w:rPr>
          <w:rFonts w:ascii="Times New Roman;Times;serif" w:hAnsi="Times New Roman;Times;serif"/>
          <w:sz w:val="20"/>
        </w:rPr>
      </w:pPr>
      <w:bookmarkStart w:id="1278" w:name="_Hlk95733953"/>
      <w:bookmarkEnd w:id="1278"/>
      <w:r>
        <w:rPr>
          <w:rFonts w:ascii="Times New Roman;Times;serif" w:hAnsi="Times New Roman;Times;serif"/>
          <w:sz w:val="20"/>
        </w:rPr>
        <w:t>INCOME TAXES: The effective income tax rate was 20.2% and 23.1% for the three months ended June 30, 2026 and 2025, respectively. We expect our income tax rate for the full year 2026 to be approximately 21% to 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INCOME AND ADJUSTED NET INCOME: Net incom</w:t>
      </w:r>
      <w:r>
        <w:rPr>
          <w:rFonts w:ascii="Times New Roman;Times;serif" w:hAnsi="Times New Roman;Times;serif"/>
          <w:sz w:val="20"/>
          <w:shd w:fill="FFFFFF" w:val="clear"/>
        </w:rPr>
        <w:t xml:space="preserve">e increased during the three months ended June 30, 2026 compared to 2025, primarily relating to higher sales volume, including an </w:t>
      </w:r>
      <w:r>
        <w:rPr>
          <w:rFonts w:ascii="Times New Roman;Times;serif" w:hAnsi="Times New Roman;Times;serif"/>
          <w:sz w:val="20"/>
        </w:rPr>
        <w:t>increase in organic revenue, and improvements to gross profit margin percentage, reflecting the actions in our Simplify to Accelerate NOW strategy. Adjusted net income for the quarters ended June 30, 2026 and 2025 was $13,545 and $9,525, respectively. Adjusted diluted earnings per share for the second quarter of 2026 and 2025 were $0.80 and $0.57, respectively. Adjusted net income and adjusted diluted earnings per share are non-GAAP measures. See information included in “Non–GAAP Measures” below for a discussion of the non-GAAP measure and reconciliation of net income to adjusted net income and diluted earnings per share to adjusted diluted earnings per share.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EBITDA AND ADJUSTED EBITDA: EBITDA was $21,733 for the three months ended June 30, 2026 compared to $17,255 for the second quarter of 2025. Adjusted EBITDA was $23,715 and $20,067 for the second quarters of 2026 and 2025, respectively. EBITDA and Adjusted EBITDA are non-GAAP measures. EBITDA consists of income before interest expense, provision for income taxes, and depreciation and amortization. Adjusted EBITDA also excludes stock-based compensation expense, foreign currency gain/loss and certain other items. Refer to information included in “Non-GAAP Measures” below for a discussion of the non-GAAP measure and a reconciliation of net income to EBITDA and Adjusted EBITDA.</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before="0" w:after="200"/>
        <w:ind w:left="0" w:right="0" w:hanging="0"/>
        <w:jc w:val="left"/>
        <w:rPr/>
      </w:pPr>
      <w:r>
        <w:rPr/>
        <w:t>​</w:t>
      </w:r>
    </w:p>
    <w:tbl>
      <w:tblPr>
        <w:tblW w:w="8938" w:type="dxa"/>
        <w:jc w:val="left"/>
        <w:tblInd w:w="0" w:type="dxa"/>
        <w:tblLayout w:type="fixed"/>
        <w:tblCellMar>
          <w:top w:w="0" w:type="dxa"/>
          <w:left w:w="0" w:type="dxa"/>
          <w:bottom w:w="0" w:type="dxa"/>
          <w:right w:w="0" w:type="dxa"/>
        </w:tblCellMar>
      </w:tblPr>
      <w:tblGrid>
        <w:gridCol w:w="3781"/>
        <w:gridCol w:w="346"/>
        <w:gridCol w:w="211"/>
        <w:gridCol w:w="781"/>
        <w:gridCol w:w="361"/>
        <w:gridCol w:w="211"/>
        <w:gridCol w:w="781"/>
        <w:gridCol w:w="361"/>
        <w:gridCol w:w="211"/>
        <w:gridCol w:w="691"/>
        <w:gridCol w:w="346"/>
        <w:gridCol w:w="541"/>
        <w:gridCol w:w="316"/>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400935" cy="175260"/>
                      <wp:effectExtent l="0" t="0" r="0" b="0"/>
                      <wp:wrapNone/>
                      <wp:docPr id="370" name="Frame370"/>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29235" cy="175260"/>
                      <wp:effectExtent l="0" t="0" r="0" b="0"/>
                      <wp:wrapNone/>
                      <wp:docPr id="374" name="Frame3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95935" cy="175260"/>
                      <wp:effectExtent l="0" t="0" r="0" b="0"/>
                      <wp:wrapNone/>
                      <wp:docPr id="376" name="Frame3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29235" cy="175260"/>
                      <wp:effectExtent l="0" t="0" r="0" b="0"/>
                      <wp:wrapNone/>
                      <wp:docPr id="377" name="Frame3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38785" cy="175260"/>
                      <wp:effectExtent l="0" t="0" r="0" b="0"/>
                      <wp:wrapNone/>
                      <wp:docPr id="379" name="Frame3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43535" cy="175260"/>
                      <wp:effectExtent l="0" t="0" r="0" b="0"/>
                      <wp:wrapNone/>
                      <wp:docPr id="381" name="Frame38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0660" cy="175260"/>
                      <wp:effectExtent l="0" t="0" r="0" b="0"/>
                      <wp:wrapNone/>
                      <wp:docPr id="382" name="Frame3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61" w:type="dxa"/>
            <w:tcBorders/>
            <w:vAlign w:val="center"/>
          </w:tcPr>
          <w:p>
            <w:pPr>
              <w:pStyle w:val="TableContents"/>
              <w:bidi w:val="0"/>
              <w:spacing w:before="0" w:after="0"/>
              <w:ind w:left="0" w:right="0" w:hanging="0"/>
              <w:jc w:val="left"/>
              <w:rPr/>
            </w:pPr>
            <w:r>
              <w:rPr/>
              <w:t>  ​ ​ ​</w:t>
            </w:r>
          </w:p>
        </w:tc>
        <w:tc>
          <w:tcPr>
            <w:tcW w:w="178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7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16" w:type="dxa"/>
            <w:tcBorders/>
            <w:vAlign w:val="center"/>
          </w:tcPr>
          <w:p>
            <w:pPr>
              <w:pStyle w:val="TableContents"/>
              <w:bidi w:val="0"/>
              <w:spacing w:before="0" w:after="0"/>
              <w:ind w:left="0" w:right="0" w:hanging="0"/>
              <w:jc w:val="center"/>
              <w:rPr/>
            </w:pPr>
            <w:r>
              <w:rPr/>
              <w:t> </w:t>
            </w:r>
          </w:p>
        </w:tc>
      </w:tr>
      <w:tr>
        <w:trPr/>
        <w:tc>
          <w:tcPr>
            <w:tcW w:w="37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 except per share data)</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292,685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272,381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20,304</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193,718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183,273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9,859</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 percentage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and integration-related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74,036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5,384</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8,040</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6,574</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359,377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272,655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86,722</w:t>
            </w:r>
          </w:p>
        </w:tc>
        <w:tc>
          <w:tcPr>
            <w:tcW w:w="346" w:type="dxa"/>
            <w:tcBorders/>
            <w:shd w:fill="CCEEFF" w:val="clear"/>
            <w:vAlign w:val="center"/>
          </w:tcPr>
          <w:p>
            <w:pPr>
              <w:pStyle w:val="TableContents"/>
              <w:bidi w:val="0"/>
              <w:spacing w:before="0" w:after="0"/>
              <w:ind w:left="0" w:right="0" w:hanging="0"/>
              <w:jc w:val="righ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298,031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236,586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61,445</w:t>
            </w:r>
          </w:p>
        </w:tc>
        <w:tc>
          <w:tcPr>
            <w:tcW w:w="346" w:type="dxa"/>
            <w:tcBorders/>
            <w:vAlign w:val="center"/>
          </w:tcPr>
          <w:p>
            <w:pPr>
              <w:pStyle w:val="TableContents"/>
              <w:bidi w:val="0"/>
              <w:spacing w:before="0" w:after="0"/>
              <w:ind w:left="0" w:right="0" w:hanging="0"/>
              <w:jc w:val="righ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REVENUES: The increase in revenues for the year to date 2026 reflects increases primarily within Industrial and Aerospace and Defense markets. Our revenues for the period ended June 30, 2026 was comprised of 53% to U.S. customers and 47% to customers primarily in Europe, Canada and Asia-Pacific. The overall increase in revenue was due to a 5.1% volume increase and a 2.4% favorable currency impact. Organic revenue increased 5.1% during the year to date 2026. Organic revenue is a non-GAAP measure. Refer to information included in “Non-GAAP Measures” below for a discussion and reconciliation of the non-GAAP measures.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ORDER BOOKINGS: Orders increased for the year to date 2026 compared to 2025, and included a 29.4% increase in volume as well as a 2.4% increase in foreign currency impact. The increase in orders reflects steady demand in the Industrial market and continued strength in Aerospace &amp; Defense.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GROSS PROFIT AND GROSS MARGIN: Gross profit increased to $98,967 for year to date 2026 from $89,108 in 2025 driven by increases in sales, and gross margins increased to 33.8% for 2026, compared to 32.7% for 2025. Gross profit and gross margin percentage were impacted favorably by higher sales volume, improved product mix, and operational improvements driven by our Simplify to Accelerate NOW strategy.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SELLING EXPENSES: Selling expenses increased 21% during year to date 2026 compared to 2025, reflecting higher commissions driven by higher sales volumes, as well as higher marketing and sales-generating costs. Selling expenses as a percentage of revenues were 5% and 4% during year to date 2026 and 2025,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GENERAL AND ADMINISTRATIVE EXPENSES: General and administrative expenses increased by 11% during the six months ended June 30, 2026 compared to the same period of 2025 due primarily to personnel-related costs and higher software licensing and information technology consulting costs. As a percentage of revenues, general and administrative expenses were 11% and 10% in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ENGINEERING AND DEVELOPMENT EXPENSES: Engineering and development expenses increased by 4% during the year to date 2026 compared to 2025, primarily reflecting higher incentive compensation, partially offset by the cost reduction actions taken as part of our Simplify to Accelerate NOW strategy. As a percentage of revenues, engineering and development expenses were 7% for each of the six months ended June 30, 2026 and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 Restructuring and business realignment costs decreased in 2026 compared to 2025 primarily reflecting restructuring-related costs primarily associated with costs recognized in 2025 relating to the transfer of assembly operations from our Dothan, Alabama facility.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AMORTIZATION OF INTANGIBLE ASSETS: Amortization of intangible assets remained consistent compared to the prior year period.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INTEREST EXPENSE: Interest expense decreased by 29% for the year to date 2026 compared to 2025 primarily due to lower average debt levels.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INCOME TAXES: For the six months ended June 30, 2026 and 2025, the effective income tax rate was 20.5% and 22.0%, respectively. The change in rates compared to the prior year is primarily due to the impact of discrete tax costs on share based awards. We expect our income tax rate for the full year 2026 to be approximately 21% to 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INCOME AND ADJUSTED NET INCOME: Net income increased during year to date 2026 compared to 2025, primarily relating to increased sales and improved gross margin, partially offset by an increase in operating expenses. Adjusted net income for the six month periods ended June 30, 2026 and 2025 was $21,969 and $17,118, respectively. Adjusted diluted earnings per share for year to date 2026 and 2025 were $1.30 and $1.03, respectively. Adjusted net income and adjusted diluted earnings per share are non-GAAP measures. See information included in “Non– GAAP Measures” below for a discussion of the non-GAAP measure and reconciliation of net income to Adjusted net income and diluted earnings per share to Adjusted diluted earnings per share.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EBITDA AND ADJUSTED EBITDA: EBITDA was $37,279 for year to date 2026 compared to $31,631 for year to date 2025. Adjusted EBITDA was $40,991 and $37,539 for year to date 2026 and 2025, respectively. EBITDA and Adjusted EBITDA are non-GAAP measures. EBITDA consists of income before interest expense, provision for income taxes, and depreciation and amortization. Adjusted EBITDA also excludes stock-based compensation expense, foreign currency gain/loss and certain other items. Refer to information included in “Non-GAAP Measures” below for a discussion of the non-GAAP measure and a reconciliation of net income to EBITDA and Adjusted EBITDA.</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Measures</w:t>
      </w:r>
    </w:p>
    <w:p>
      <w:pPr>
        <w:pStyle w:val="TextBody"/>
        <w:bidi w:val="0"/>
        <w:spacing w:before="0" w:after="0"/>
        <w:ind w:left="0" w:right="0" w:hanging="0"/>
        <w:jc w:val="left"/>
        <w:rPr>
          <w:rFonts w:ascii="Times New Roman;Times;serif" w:hAnsi="Times New Roman;Times;serif"/>
          <w:sz w:val="20"/>
        </w:rPr>
      </w:pPr>
      <w:bookmarkStart w:id="1279" w:name="_Hlk148706658"/>
      <w:bookmarkEnd w:id="1279"/>
      <w:r>
        <w:rPr>
          <w:rFonts w:ascii="Times New Roman;Times;serif" w:hAnsi="Times New Roman;Times;serif"/>
          <w:sz w:val="20"/>
        </w:rPr>
        <w:t>Organic revenue, EBITDA, Adjusted EBITDA, Adjusted net income and Adjusted diluted earnings per share are provided for information purposes only and are not measures of financial performance under GAAP. Management believes the presentation of these financial measures reflecting non-GAAP adjustments provides important supplemental information to investors and other users of our financial statements in evaluating the operating results of the Company as distinct from results that include items that are not indicative of ongoing operating results. In particular, those charges and credits that are not directly related to operating unit performance, and that are not a helpful measure of the performance of our underlying business particularly in light of their unpredictable nature. These non-GAAP disclosures have limitations as analytical tools, should not be viewed as a substitute for revenue and net income determined in accordance with GAAP, and should not be considered in isolation or as a substitute for analysis of the Company’s results as reported under GAAP, nor is it necessarily comparable to non-GAAP performance measures that may be presented by other companies. In addition, the supplemental presentation should not be construed as an inference that the Company’s future results will be unaffected by similar adjustments to net income determined in accordance with GAAP. Organic revenue is reported revenues adjusted for the impact of foreign currency and the revenue contribution from acquisitions.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believes that revenue excluding foreign currency exchange impacts is a useful measure in analyzing sales results. The Company excludes the effect of currency translation from revenue for this measure because currency translation is not fully under management’s control, is subject to volatility and can obscure underlying business trends. The portion of revenue attributable to currency translation is calculated as the difference between the current period revenue and the current period revenue after applying foreign exchange rates from the prior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believes EBITDA is often a useful measure of a Company’s operating performance and is a significant basis used by the Company’s management to measure the operating performance of the Company’s business because EBITDA excludes charges for depreciation, amortization and interest expense that have resulted from our debt financings, acquisitions, as well as our provision for income tax expense. EBITDA is frequently used as one of the bases for comparing businesses in the Company’s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also believes that Adjusted EBITDA provides helpful information about the operating performance of its business. Adjusted EBITDA excludes stock-based compensation expense, as well as acquisition and integration-related costs, restructuring and business realignment costs, foreign currency gains/losses on short-term assets and liabilities, and other items that are not indicative of the Company’s core operating performance. EBITDA and Adjusted EBITDA do not represent and should not be considered as an alternative to net income, operating income, net cash provided by operating activities or any other measure for determining operating performance or liquidity that is calculated in accordance with GAAP.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uses Adjusted net income and Adjusted diluted earnings per share to assess the Company’s consolidated financial and operating performance. Adjusted net income and Adjusted diluted earnings per share are provided for informational purposes only and are not a measure of financial performance under GAAP. These measures help management make decisions that are expected to facilitate meeting current financial goals as well as achieving optimal financial performance. Adjusted net income provides management with a measure of financial performance of the Company based on operational factors as it removes the impact of certain non-routine items from the Company’s operating results. Adjusted diluted earnings per share provides management with an indication of how Adjusted net income would be reflected on a per share basis for comparison to the GAAP diluted earnings per share measure. Adjusted net income is a key metric used by senior management and the Company’s board of directors to review the consolidated financial performance of the business. This measure adjusts net income determined in accordance with GAAP to reflect changes in financial results associated with the highlighted expense and income items.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calculation of Revenue excluding foreign currency exchange impacts for the three and six months ended June 30, 2026 is as follows:</w:t>
      </w:r>
    </w:p>
    <w:tbl>
      <w:tblPr>
        <w:tblW w:w="8478" w:type="dxa"/>
        <w:jc w:val="left"/>
        <w:tblInd w:w="0" w:type="dxa"/>
        <w:tblLayout w:type="fixed"/>
        <w:tblCellMar>
          <w:top w:w="0" w:type="dxa"/>
          <w:left w:w="0" w:type="dxa"/>
          <w:bottom w:w="0" w:type="dxa"/>
          <w:right w:w="0" w:type="dxa"/>
        </w:tblCellMar>
      </w:tblPr>
      <w:tblGrid>
        <w:gridCol w:w="4726"/>
        <w:gridCol w:w="346"/>
        <w:gridCol w:w="341"/>
        <w:gridCol w:w="1264"/>
        <w:gridCol w:w="346"/>
        <w:gridCol w:w="296"/>
        <w:gridCol w:w="1159"/>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001010" cy="175260"/>
                      <wp:effectExtent l="0" t="0" r="0" b="0"/>
                      <wp:wrapNone/>
                      <wp:docPr id="383" name="Frame383"/>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6535" cy="175260"/>
                      <wp:effectExtent l="0" t="0" r="0" b="0"/>
                      <wp:wrapNone/>
                      <wp:docPr id="385" name="Frame38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802640" cy="175260"/>
                      <wp:effectExtent l="0" t="0" r="0" b="0"/>
                      <wp:wrapNone/>
                      <wp:docPr id="386" name="Frame38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87960" cy="175260"/>
                      <wp:effectExtent l="0" t="0" r="0" b="0"/>
                      <wp:wrapNone/>
                      <wp:docPr id="388" name="Frame38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35965" cy="175260"/>
                      <wp:effectExtent l="0" t="0" r="0" b="0"/>
                      <wp:wrapNone/>
                      <wp:docPr id="389" name="Frame389"/>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153,770</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292,685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Foreign currency impact - (favorable) / unfavorable</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(6,341)</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excluding foreign currency exchange impacts</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152,515</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286,344</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calculation of organic revenue for the three and six months ended June 30, 2026 is as follows:</w:t>
      </w:r>
    </w:p>
    <w:p>
      <w:pPr>
        <w:pStyle w:val="TextBody"/>
        <w:bidi w:val="0"/>
        <w:spacing w:before="0" w:after="0"/>
        <w:ind w:left="0" w:right="0" w:hanging="0"/>
        <w:jc w:val="left"/>
        <w:rPr/>
      </w:pPr>
      <w:r>
        <w:rPr/>
        <w:t>​</w:t>
      </w:r>
    </w:p>
    <w:tbl>
      <w:tblPr>
        <w:tblW w:w="7863" w:type="dxa"/>
        <w:jc w:val="left"/>
        <w:tblInd w:w="0" w:type="dxa"/>
        <w:tblLayout w:type="fixed"/>
        <w:tblCellMar>
          <w:top w:w="0" w:type="dxa"/>
          <w:left w:w="0" w:type="dxa"/>
          <w:bottom w:w="0" w:type="dxa"/>
          <w:right w:w="0" w:type="dxa"/>
        </w:tblCellMar>
      </w:tblPr>
      <w:tblGrid>
        <w:gridCol w:w="4111"/>
        <w:gridCol w:w="346"/>
        <w:gridCol w:w="1027"/>
        <w:gridCol w:w="578"/>
        <w:gridCol w:w="346"/>
        <w:gridCol w:w="817"/>
        <w:gridCol w:w="638"/>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610485" cy="175260"/>
                      <wp:effectExtent l="0" t="0" r="0" b="0"/>
                      <wp:wrapNone/>
                      <wp:docPr id="390" name="Frame39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52145" cy="175260"/>
                      <wp:effectExtent l="0" t="0" r="0" b="0"/>
                      <wp:wrapNone/>
                      <wp:docPr id="392" name="Frame392"/>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67030" cy="175260"/>
                      <wp:effectExtent l="0" t="0" r="0" b="0"/>
                      <wp:wrapNone/>
                      <wp:docPr id="393" name="Frame39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18795" cy="175260"/>
                      <wp:effectExtent l="0" t="0" r="0" b="0"/>
                      <wp:wrapNone/>
                      <wp:docPr id="395" name="Frame395"/>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05130" cy="175260"/>
                      <wp:effectExtent l="0" t="0" r="0" b="0"/>
                      <wp:wrapNone/>
                      <wp:docPr id="396" name="Frame396"/>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change over prior year</w:t>
            </w:r>
          </w:p>
        </w:tc>
        <w:tc>
          <w:tcPr>
            <w:tcW w:w="346"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Impact of acquisitions and foreign currency</w:t>
            </w:r>
          </w:p>
        </w:tc>
        <w:tc>
          <w:tcPr>
            <w:tcW w:w="346" w:type="dxa"/>
            <w:tcBorders/>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Organic growth</w:t>
            </w:r>
          </w:p>
        </w:tc>
        <w:tc>
          <w:tcPr>
            <w:tcW w:w="346" w:type="dxa"/>
            <w:tcBorders/>
            <w:shd w:fill="CCEEFF" w:val="clear"/>
            <w:vAlign w:val="center"/>
          </w:tcPr>
          <w:p>
            <w:pPr>
              <w:pStyle w:val="TableContents"/>
              <w:bidi w:val="0"/>
              <w:spacing w:before="0" w:after="0"/>
              <w:ind w:left="0" w:right="0" w:hanging="0"/>
              <w:jc w:val="left"/>
              <w:rPr/>
            </w:pPr>
            <w:r>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6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calculation of EBITDA and Adjusted EBITDA for the three and six months ended June 30, 2026 and 2025 is as follows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80" w:name="_Hlk107242225"/>
      <w:bookmarkStart w:id="1281" w:name="_Hlk107242225"/>
      <w:bookmarkEnd w:id="1281"/>
    </w:p>
    <w:tbl>
      <w:tblPr>
        <w:tblW w:w="8818" w:type="dxa"/>
        <w:jc w:val="left"/>
        <w:tblInd w:w="0" w:type="dxa"/>
        <w:tblLayout w:type="fixed"/>
        <w:tblCellMar>
          <w:top w:w="0" w:type="dxa"/>
          <w:left w:w="0" w:type="dxa"/>
          <w:bottom w:w="0" w:type="dxa"/>
          <w:right w:w="0" w:type="dxa"/>
        </w:tblCellMar>
      </w:tblPr>
      <w:tblGrid>
        <w:gridCol w:w="3781"/>
        <w:gridCol w:w="346"/>
        <w:gridCol w:w="211"/>
        <w:gridCol w:w="676"/>
        <w:gridCol w:w="346"/>
        <w:gridCol w:w="211"/>
        <w:gridCol w:w="676"/>
        <w:gridCol w:w="346"/>
        <w:gridCol w:w="211"/>
        <w:gridCol w:w="676"/>
        <w:gridCol w:w="346"/>
        <w:gridCol w:w="211"/>
        <w:gridCol w:w="78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400935" cy="175260"/>
                      <wp:effectExtent l="0" t="0" r="0" b="0"/>
                      <wp:wrapNone/>
                      <wp:docPr id="397" name="Frame39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29260" cy="175260"/>
                      <wp:effectExtent l="0" t="0" r="0" b="0"/>
                      <wp:wrapNone/>
                      <wp:docPr id="400" name="Frame4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9260" cy="175260"/>
                      <wp:effectExtent l="0" t="0" r="0" b="0"/>
                      <wp:wrapNone/>
                      <wp:docPr id="403" name="Frame4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29260" cy="175260"/>
                      <wp:effectExtent l="0" t="0" r="0" b="0"/>
                      <wp:wrapNone/>
                      <wp:docPr id="406" name="Frame4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95935" cy="175260"/>
                      <wp:effectExtent l="0" t="0" r="0" b="0"/>
                      <wp:wrapNone/>
                      <wp:docPr id="409" name="Frame4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7,187</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31,631</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and integration-related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2,621</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37,539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Company’s calculation of Adjusted net income and Adjusted diluted earnings per share for the three and six months ended June 30, 2026 and 2025 is as follows (in thousands except per share amounts):</w:t>
      </w:r>
    </w:p>
    <w:tbl>
      <w:tblPr>
        <w:tblW w:w="10205" w:type="dxa"/>
        <w:jc w:val="left"/>
        <w:tblInd w:w="0" w:type="dxa"/>
        <w:tblLayout w:type="fixed"/>
        <w:tblCellMar>
          <w:top w:w="0" w:type="dxa"/>
          <w:left w:w="0" w:type="dxa"/>
          <w:bottom w:w="0" w:type="dxa"/>
          <w:right w:w="0" w:type="dxa"/>
        </w:tblCellMar>
      </w:tblPr>
      <w:tblGrid>
        <w:gridCol w:w="5305"/>
        <w:gridCol w:w="346"/>
        <w:gridCol w:w="211"/>
        <w:gridCol w:w="676"/>
        <w:gridCol w:w="346"/>
        <w:gridCol w:w="280"/>
        <w:gridCol w:w="621"/>
        <w:gridCol w:w="346"/>
        <w:gridCol w:w="211"/>
        <w:gridCol w:w="571"/>
        <w:gridCol w:w="346"/>
        <w:gridCol w:w="255"/>
        <w:gridCol w:w="691"/>
      </w:tblGrid>
      <w:tr>
        <w:trPr/>
        <w:tc>
          <w:tcPr>
            <w:tcW w:w="5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368675" cy="175260"/>
                      <wp:effectExtent l="0" t="0" r="0" b="0"/>
                      <wp:wrapNone/>
                      <wp:docPr id="410" name="Frame410"/>
                      <a:graphic xmlns:a="http://schemas.openxmlformats.org/drawingml/2006/main">
                        <a:graphicData uri="http://schemas.microsoft.com/office/word/2010/wordprocessingShape">
                          <wps:wsp>
                            <wps:cNvSpPr txBox="1"/>
                            <wps:spPr>
                              <a:xfrm>
                                <a:off x="0" y="0"/>
                                <a:ext cx="336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29260" cy="175260"/>
                      <wp:effectExtent l="0" t="0" r="0" b="0"/>
                      <wp:wrapNone/>
                      <wp:docPr id="413" name="Frame4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77800" cy="175260"/>
                      <wp:effectExtent l="0" t="0" r="0" b="0"/>
                      <wp:wrapNone/>
                      <wp:docPr id="415" name="Frame41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94335" cy="175260"/>
                      <wp:effectExtent l="0" t="0" r="0" b="0"/>
                      <wp:wrapNone/>
                      <wp:docPr id="416" name="Frame416"/>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62585" cy="175260"/>
                      <wp:effectExtent l="0" t="0" r="0" b="0"/>
                      <wp:wrapNone/>
                      <wp:docPr id="419" name="Frame4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61925" cy="175260"/>
                      <wp:effectExtent l="0" t="0" r="0" b="0"/>
                      <wp:wrapNone/>
                      <wp:docPr id="421" name="Frame42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8785" cy="175260"/>
                      <wp:effectExtent l="0" t="0" r="0" b="0"/>
                      <wp:wrapNone/>
                      <wp:docPr id="422" name="Frame4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5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5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diluted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diluted</w:t>
            </w:r>
          </w:p>
        </w:tc>
      </w:tr>
      <w:tr>
        <w:trPr/>
        <w:tc>
          <w:tcPr>
            <w:tcW w:w="5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 net of tax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and integration-related costs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5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 –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5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adjusted net income and adjusted 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9,525</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0.57</w:t>
            </w:r>
          </w:p>
        </w:tc>
      </w:tr>
    </w:tbl>
    <w:tbl>
      <w:tblPr>
        <w:tblW w:w="10071" w:type="dxa"/>
        <w:jc w:val="left"/>
        <w:tblInd w:w="0" w:type="dxa"/>
        <w:tblLayout w:type="fixed"/>
        <w:tblCellMar>
          <w:top w:w="28" w:type="dxa"/>
          <w:left w:w="28" w:type="dxa"/>
          <w:bottom w:w="28" w:type="dxa"/>
          <w:right w:w="28" w:type="dxa"/>
        </w:tblCellMar>
      </w:tblPr>
      <w:tblGrid>
        <w:gridCol w:w="124"/>
        <w:gridCol w:w="331"/>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Applies a blended federal, state, and foreign tax rate of approximately 23% applicable to the non-GAAP adjustments.</w:t>
            </w:r>
          </w:p>
        </w:tc>
      </w:tr>
    </w:tbl>
    <w:tbl>
      <w:tblPr>
        <w:tblW w:w="10205" w:type="dxa"/>
        <w:jc w:val="left"/>
        <w:tblInd w:w="0" w:type="dxa"/>
        <w:tblLayout w:type="fixed"/>
        <w:tblCellMar>
          <w:top w:w="0" w:type="dxa"/>
          <w:left w:w="0" w:type="dxa"/>
          <w:bottom w:w="0" w:type="dxa"/>
          <w:right w:w="0" w:type="dxa"/>
        </w:tblCellMar>
      </w:tblPr>
      <w:tblGrid>
        <w:gridCol w:w="5200"/>
        <w:gridCol w:w="346"/>
        <w:gridCol w:w="211"/>
        <w:gridCol w:w="676"/>
        <w:gridCol w:w="346"/>
        <w:gridCol w:w="280"/>
        <w:gridCol w:w="621"/>
        <w:gridCol w:w="346"/>
        <w:gridCol w:w="211"/>
        <w:gridCol w:w="676"/>
        <w:gridCol w:w="346"/>
        <w:gridCol w:w="255"/>
        <w:gridCol w:w="691"/>
      </w:tblGrid>
      <w:tr>
        <w:trPr/>
        <w:tc>
          <w:tcPr>
            <w:tcW w:w="5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302000" cy="175260"/>
                      <wp:effectExtent l="0" t="0" r="0" b="0"/>
                      <wp:wrapNone/>
                      <wp:docPr id="423" name="Frame423"/>
                      <a:graphic xmlns:a="http://schemas.openxmlformats.org/drawingml/2006/main">
                        <a:graphicData uri="http://schemas.microsoft.com/office/word/2010/wordprocessingShape">
                          <wps:wsp>
                            <wps:cNvSpPr txBox="1"/>
                            <wps:spPr>
                              <a:xfrm>
                                <a:off x="0" y="0"/>
                                <a:ext cx="330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29260" cy="175260"/>
                      <wp:effectExtent l="0" t="0" r="0" b="0"/>
                      <wp:wrapNone/>
                      <wp:docPr id="426" name="Frame4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7"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77800" cy="175260"/>
                      <wp:effectExtent l="0" t="0" r="0" b="0"/>
                      <wp:wrapNone/>
                      <wp:docPr id="428" name="Frame42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94335" cy="175260"/>
                      <wp:effectExtent l="0" t="0" r="0" b="0"/>
                      <wp:wrapNone/>
                      <wp:docPr id="429" name="Frame429"/>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29260" cy="175260"/>
                      <wp:effectExtent l="0" t="0" r="0" b="0"/>
                      <wp:wrapNone/>
                      <wp:docPr id="432" name="Frame4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61925" cy="175260"/>
                      <wp:effectExtent l="0" t="0" r="0" b="0"/>
                      <wp:wrapNone/>
                      <wp:docPr id="434" name="Frame43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38785" cy="175260"/>
                      <wp:effectExtent l="0" t="0" r="0" b="0"/>
                      <wp:wrapNone/>
                      <wp:docPr id="435" name="Frame4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diluted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diluted</w:t>
            </w:r>
          </w:p>
        </w:tc>
      </w:tr>
      <w:tr>
        <w:trPr/>
        <w:tc>
          <w:tcPr>
            <w:tcW w:w="5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52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r>
      <w:tr>
        <w:trPr/>
        <w:tc>
          <w:tcPr>
            <w:tcW w:w="5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 net of tax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52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4,763</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5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 –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52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and integration-related costs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5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business realignment costs –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52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adjusted net income and adjusted 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21,969</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w:t>
            </w:r>
          </w:p>
        </w:tc>
      </w:tr>
    </w:tbl>
    <w:tbl>
      <w:tblPr>
        <w:tblW w:w="10071" w:type="dxa"/>
        <w:jc w:val="left"/>
        <w:tblInd w:w="0" w:type="dxa"/>
        <w:tblLayout w:type="fixed"/>
        <w:tblCellMar>
          <w:top w:w="28" w:type="dxa"/>
          <w:left w:w="28" w:type="dxa"/>
          <w:bottom w:w="28" w:type="dxa"/>
          <w:right w:w="28" w:type="dxa"/>
        </w:tblCellMar>
      </w:tblPr>
      <w:tblGrid>
        <w:gridCol w:w="124"/>
        <w:gridCol w:w="331"/>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Applies a blended federal, state, and foreign tax rate of approximately 23% applicable to the non-GAAP adjustments.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liquidity position as measured by cash and cash equivalents increased by $1,383 to a balance of $42,088 at June 30, 2026 from December 31, 2025.</w:t>
      </w:r>
    </w:p>
    <w:tbl>
      <w:tblPr>
        <w:tblW w:w="7916" w:type="dxa"/>
        <w:jc w:val="left"/>
        <w:tblInd w:w="0" w:type="dxa"/>
        <w:tblLayout w:type="fixed"/>
        <w:tblCellMar>
          <w:top w:w="0" w:type="dxa"/>
          <w:left w:w="0" w:type="dxa"/>
          <w:bottom w:w="0" w:type="dxa"/>
          <w:right w:w="0" w:type="dxa"/>
        </w:tblCellMar>
      </w:tblPr>
      <w:tblGrid>
        <w:gridCol w:w="3466"/>
        <w:gridCol w:w="346"/>
        <w:gridCol w:w="211"/>
        <w:gridCol w:w="796"/>
        <w:gridCol w:w="346"/>
        <w:gridCol w:w="211"/>
        <w:gridCol w:w="796"/>
        <w:gridCol w:w="346"/>
        <w:gridCol w:w="211"/>
        <w:gridCol w:w="796"/>
        <w:gridCol w:w="39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200910" cy="175260"/>
                      <wp:effectExtent l="0" t="0" r="0" b="0"/>
                      <wp:wrapNone/>
                      <wp:docPr id="436" name="Frame43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05460" cy="175260"/>
                      <wp:effectExtent l="0" t="0" r="0" b="0"/>
                      <wp:wrapNone/>
                      <wp:docPr id="439" name="Frame4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05460" cy="175260"/>
                      <wp:effectExtent l="0" t="0" r="0" b="0"/>
                      <wp:wrapNone/>
                      <wp:docPr id="442" name="Frame4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05460" cy="175260"/>
                      <wp:effectExtent l="0" t="0" r="0" b="0"/>
                      <wp:wrapNone/>
                      <wp:docPr id="445" name="Frame4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48285" cy="175260"/>
                      <wp:effectExtent l="0" t="0" r="0" b="0"/>
                      <wp:wrapNone/>
                      <wp:docPr id="446" name="Frame44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w:t>
            </w:r>
          </w:p>
        </w:tc>
        <w:tc>
          <w:tcPr>
            <w:tcW w:w="391" w:type="dxa"/>
            <w:tcBorders/>
            <w:vAlign w:val="center"/>
          </w:tcPr>
          <w:p>
            <w:pPr>
              <w:pStyle w:val="TableContents"/>
              <w:bidi w:val="0"/>
              <w:spacing w:before="0" w:after="0"/>
              <w:ind w:left="0" w:right="0" w:hanging="0"/>
              <w:jc w:val="center"/>
              <w:rPr/>
            </w:pPr>
            <w:r>
              <w:rPr/>
              <w:t>  ​ ​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91"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1" w:type="dxa"/>
            <w:tcBorders/>
            <w:vAlign w:val="center"/>
          </w:tcPr>
          <w:p>
            <w:pPr>
              <w:pStyle w:val="TableContents"/>
              <w:bidi w:val="0"/>
              <w:spacing w:before="0" w:after="0"/>
              <w:ind w:left="0" w:right="0" w:hanging="0"/>
              <w:jc w:val="center"/>
              <w:rPr/>
            </w:pPr>
            <w:r>
              <w:rPr/>
              <w:t>  ​ ​ ​</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(18,308)</w:t>
            </w:r>
          </w:p>
        </w:tc>
        <w:tc>
          <w:tcPr>
            <w:tcW w:w="391" w:type="dxa"/>
            <w:tcBorders/>
            <w:shd w:fill="CCEEFF" w:val="clear"/>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w:t>
            </w:r>
          </w:p>
        </w:tc>
        <w:tc>
          <w:tcPr>
            <w:tcW w:w="391"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rates on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(3,425)</w:t>
            </w:r>
          </w:p>
        </w:tc>
        <w:tc>
          <w:tcPr>
            <w:tcW w:w="391"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(12,430)</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the $42,088 of cash and cash equivalents at June 30, 2026, $35,705 was located at our foreign subsidiaries and may be subject to withholding tax if repatriated back to the U.S. The Company regularly evaluates opportunities to optimize cash available from operations in all geographies.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decrease in cash provided by operating activities is due to a decrease in cash inflows on collections on accounts receivable and payment of inventory, offset in part by higher net income as adjusted by non-cash operating activity items and timing of payments in accounts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cash used in investing activities in the six months ended June 30, 2026 relates to higher capital expenditures. Cash used in investing activities in the six months ended June 30, 2026 includes $7,070 for purchases of property and equipment compared to $3,189 during the six months ended June 30, 2025. Capital expenditures are expected to be between $12,000 and $15,000 for the full year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cash used in financing activities during the six months ended June 30, 2026 is primarily due to debt repayments. Net debt payments of $7,227 were made during the six months ended June 30, 2026. As of June 30, 2026, we had $117,962 of obligations under the Revolving Facility, excluding deferred financing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covenants under the 2024 Credit and Note Payable Agreements require the Company to maintain a minimum interest coverage ratio of at least 3.0:1.0 at the end of each fiscal quarter. In addition, the Company’s Leverage Ratio at the end of any fiscal quarter shall not be greater than 4.25:1.0 through December 31, 2024 or greater than 3.75 to 1.0 as of the end of any fiscal quarter thereafter; provided that the Company may elect to temporarily increase the Leverage Ratio to by 0.5:1.0 following a material acquisition under the 2024 Credit and Note Payable Agreements. The 2024 Credit and Note Payable Agreements also include covenants and restrictions that limit the Company’s ability to incur additional indebtedness, merge, consolidate or sell all or substantially all of its assets and enter into transactions with an affiliate of the Company on other than an arms’ length transaction. These covenants, which are described more fully in the 2024 Credit and Note Payable Agreements, to which reference is made for a complete statement of the covenants, were modified as of October 22, 2024, and are subject to certain exceptions. The Company was in compliance with all covenants as of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unused Revolving Facility was $162,038. The amount available to borrow could be limited by our debt and EBITDA levels, which impacts our covenant calculations. The Revolving Facility matures March 1, 2029. The Series A Senior Notes, under the 2024 Note Payable Agreement, are due March 21, 2031.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22, 2024, the Company entered into a Second Amendment to the Third Amended and Restated Credit Agreement and a Second Amendment to the Note Purchase and Private Shelf Agreement (collectively, the “October 2024 Credit and Note Payable Amendments”). These amendments include provisions to increase the maximum Leverage Ratio to 4.5:1.0 for the quarters ending March 31, 2025 and June 30, 2025, 4.0:1.0 for the quarter ending September 30, 2025, and returning to 3.75:1.0 for the quarter ending December 31, 2025 and thereafter. From January 1, 2025 through September 30, 2025, borrowings under the Revolving Facility bore interest at Term SOFR plus a margin of 2.50% and a commitment fee of 0.325% on the unused portion of the Revolving Facility. Also, from October 1, 2024 through September 30, 2025, the Series A Notes bore interest at 6.46%. Subsequently, the Series A Notes have returned to an interest rate of 5.960%.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declared dividends of $0.07 per share during the six months ended June 30, 2026 and $0.06 per share during the six months ended 2025. The Company’s working capital, capital expenditure and dividend requirements are expected to be funded from cash provided by operations and amounts available under the Amended Credit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82" w:name="_Hlk173399943"/>
      <w:bookmarkEnd w:id="1282"/>
      <w:r>
        <w:rPr>
          <w:rFonts w:ascii="Times New Roman;Times;serif" w:hAnsi="Times New Roman;Times;serif"/>
          <w:sz w:val="20"/>
        </w:rPr>
        <w:t>We believe our diverse markets, our strong market position in many of our businesses, and the steps we have taken to improve operational efficiency and strengthen our balance sheet, such as retaining cash to support shorter term needs and amending our revolving credit facility leaves us well-positioned to manage our business. We continually assess our liquidity and cash positions taking geopolitical and other market uncertainties into consideration. Based on our analysis, we believe our existing balances of cash, our currently anticipated operating cash flows, and our available financing under agreements in place will be more than sufficient to meet our cash needs arising in the ordinary course of business for the next twelve months.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3" w:name="Item3QualitativeandQuantitativeDisclosur"/>
      <w:bookmarkStart w:id="1284" w:name="_aa469173_5b7b_4493_9ddf_fa071429462a"/>
      <w:bookmarkEnd w:id="1283"/>
      <w:bookmarkEnd w:id="1284"/>
      <w:r>
        <w:rPr>
          <w:rFonts w:ascii="Times New Roman;Times;serif" w:hAnsi="Times New Roman;Times;serif"/>
          <w:b/>
          <w:sz w:val="20"/>
        </w:rPr>
        <w:t>Item 3. Qualitative and Quantitative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international operations in The Netherlands, Sweden, Germany, China, Portugal, Canada, Czech Republic, Mexico, the United Kingdom, and New Zealand which expose us to foreign currency exchange rate fluctuations due to transactions denominated in Euros, Swedish Krona, Chinese Renminbi, Canadian dollar, Czech Krona, Mexican pesos, British Pound Sterling, and New Zealand dollar, respectively. We continuously evaluate our foreign currency risk, and we take action from time to time in order to best mitigate these risks. A hypothetical 10% change in the value of the U.S. dollar in relation to our most significant foreign currency exposures would have had an impact of approximately $10,476 on our sales for the six months ended June 30, 2026. This amount is not indicative of the hypothetical net earnings impact due to partially offsetting impacts on cost of sales and operating expenses in those currencies. For the six months ended June 30, 2026, we estimate that foreign currency exchange rate fluctuations increased revenues by $1,255.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85" w:name="_Hlk116650281"/>
      <w:bookmarkEnd w:id="1285"/>
      <w:r>
        <w:rPr>
          <w:rFonts w:ascii="Times New Roman;Times;serif" w:hAnsi="Times New Roman;Times;serif"/>
          <w:sz w:val="20"/>
        </w:rPr>
        <w:t xml:space="preserve">We translate all assets and liabilities of our foreign operations, where the U.S. dollar is not the functional currency, at the period-end exchange rate and translate sales and expenses at the average exchange rates in effect during the period. The net effect of these translation adjustments is recorded in the condensed consolidated financial statements as comprehensive income. The translation adjustments were a loss of $1,691 and a gain of $11,644 for the three months ended June 30, 2026 and 2025, respectively. The translation adjustments were a loss of $4,517 and a gain of $15,506 for the six months ended June 30, 2026 and 2025, respectively. Translation adjustments are not adjusted for income taxes as they relate to permanent investments in our foreign subsidiaries. A hypothetical 10% change in the value of the U.S. dollar in relation to our most significant foreign currency net assets would have had an impact of approximately $20,355 on our foreign net assets as of June 30, 2026.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contracts to hedge our short-term balance sheet exposure, primarily intercompany, that are denominated in currencies (Euro, Mexican Peso, New Zealand Dollar, Chinese Renminbi, Swedish Krona) other than the subsidiary’s functional currency and are adjusted to current values using period-end exchange rates. The resulting gains or losses are recorded in other expense, net in the consolidated statements of income and comprehensive income. To minimize foreign currency exposure, the Company had foreign currency contracts with notional amounts of $32,680 at June 30, 2026. The foreign currency contracts are recorded in the condensed consolidated balance sheets at fair value and resulting gains or losses are recorded in other expense, net in the condensed consolidated statements of income and comprehensive income. During the three and six months ended June 30, 2026, we recorded gains of $298 and $666, respectively, on foreign currency contracts which are included in other expense, net and generally offset the gains or losses from the foreign currency adjustments on the intercompany balances that are also included in other expense, net. Net foreign currency transaction gains and losses included in other expense was insignificant for the six months ended June 30, 2026, and amounted to a loss of $1,509 for the six months ended June 30,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Series A Notes under our 2024 Note Payable Agreement will bear interest at a fixed rate 5.96% and will mature on March 21, 2031. Interest on the Notes will be payable quarterly on the 21st day of March, June, September and December in each year, commencing on June 21, 2024. As amended on October 22, 2024, the Series A Notes bore interest at 6.46% from October 1, 2024 through September 30, 2025. Interest will be computed on the basis of a 360-day year composed of twelve 30-day months.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rates on our Credit Facility are based on Term SOFR plus a margin of 1.25% to 2.50% (1.625% at June 30, 2026), depending on the Company’s ratio of total funded indebtedness to consolidated EBITDA. As amended on October 22, 2024, borrowings under the Credit Facility bore interest at Term SOFR plus a margin of 2.50% from January 1, 2025 through September 30, 2025. We use interest rate derivatives to add stability to interest expense and to manage our exposure to interest rate movements. We primarily 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as part of our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 March 2022 the Company entered into an interest rate swap with a notional amount of $40,000 that matures in December 2026. In September 2024, the Company entered into an additional interest rate swap with a notional amount of $50,000 that matures in September 2027.</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286" w:name="_Hlk116650321"/>
      <w:bookmarkEnd w:id="1286"/>
      <w:r>
        <w:rPr>
          <w:rFonts w:ascii="Times New Roman;Times;serif" w:hAnsi="Times New Roman;Times;serif"/>
          <w:sz w:val="20"/>
        </w:rPr>
        <w:t>As of June 30, 2026, we had $117,962 outstanding under the Revolving Facility (excluding deferred financing fees), of which $90,000 is currently being hedged. Refer to Note 9, Debt Obligations, of the notes to consolidated financial statements for additional information about our outstanding debt. A hypothetical one percentage point (100 basis points) change in the Base Rate on the $27,962 of unhedged floating rate debt outstanding at June 30, 2026 would have approximately a $140 impact on our interest expense for the six months ended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7" w:name="Item4ControlsandProcedures_386694"/>
      <w:bookmarkStart w:id="1288" w:name="Item4ControlsandProcedures_332592"/>
      <w:bookmarkStart w:id="1289" w:name="_60a6df8b_7433_4542_9e1e_73189c40ad87"/>
      <w:bookmarkEnd w:id="1287"/>
      <w:bookmarkEnd w:id="1288"/>
      <w:bookmarkEnd w:id="128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Conclusion regarding the effectiveness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(principal accounting officer), evaluated the effectiveness of our disclosure controls and procedures (as defined in Rules 13a-15(e) and 15d-15(e) under the Securities Exchange Act of 1934, as amended (the “Exchange Act”)) as of June 30, 2026. Disclosure controls and procedures include, without limitation, controls and procedures designed to ensure that information required to be disclosed by the Company in the reports that we file or submit under the Exchange Act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management’s evaluation of our disclosure controls and procedures as of June 30, 2026, our Chief Executive Officer and Chief Financial Officer concluded that, as of such date, our disclosure controls and procedures were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ended June 30, 2026, there were no changes in our internal control over financial reporting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b/>
          <w:sz w:val="20"/>
        </w:rPr>
      </w:pPr>
      <w:bookmarkStart w:id="1290" w:name="PARTIIOTHERINFORMATION_380409"/>
      <w:bookmarkStart w:id="1291" w:name="PARTIIOTHERINFORMATION_948080"/>
      <w:bookmarkStart w:id="1292" w:name="_46992cce_fb1b_4e41_aab1_6644e08033a6"/>
      <w:bookmarkEnd w:id="1290"/>
      <w:bookmarkEnd w:id="1291"/>
      <w:bookmarkEnd w:id="1292"/>
      <w:r>
        <w:rPr>
          <w:rFonts w:ascii="Times New Roman;Times;serif" w:hAnsi="Times New Roman;Times;serif"/>
          <w:b/>
          <w:sz w:val="20"/>
        </w:rPr>
        <w:t>PART II.     OTHER INFORMATION</w:t>
      </w:r>
    </w:p>
    <w:p>
      <w:pPr>
        <w:pStyle w:val="TextBody"/>
        <w:bidi w:val="0"/>
        <w:spacing w:lineRule="atLeast" w:line="200" w:before="0" w:after="0"/>
        <w:ind w:left="0" w:right="0" w:hanging="0"/>
        <w:jc w:val="left"/>
        <w:rPr/>
      </w:pPr>
      <w:r>
        <w:rPr/>
        <w:t>​</w:t>
      </w:r>
    </w:p>
    <w:p>
      <w:pPr>
        <w:pStyle w:val="TextBody"/>
        <w:bidi w:val="0"/>
        <w:spacing w:lineRule="atLeast" w:line="200" w:before="0" w:after="240"/>
        <w:ind w:left="0" w:right="0" w:hanging="0"/>
        <w:jc w:val="left"/>
        <w:rPr>
          <w:rFonts w:ascii="Times New Roman;Times;serif" w:hAnsi="Times New Roman;Times;serif"/>
          <w:b/>
          <w:sz w:val="20"/>
        </w:rPr>
      </w:pPr>
      <w:bookmarkStart w:id="1293" w:name="Item1ARiskFactors_641010"/>
      <w:bookmarkStart w:id="1294" w:name="Item1ARiskFactors_170417"/>
      <w:bookmarkEnd w:id="1293"/>
      <w:bookmarkEnd w:id="1294"/>
      <w:r>
        <w:rPr>
          <w:rFonts w:ascii="Times New Roman;Times;serif" w:hAnsi="Times New Roman;Times;serif"/>
          <w:b/>
          <w:sz w:val="20"/>
        </w:rPr>
        <w:t>Item 1A. Risk Factors</w:t>
      </w:r>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Company’s Form 10-K for the year ended December 31, 2025, except to the extent factual information disclosed elsewhere in this Form 10-Q relates to such risk factors. For a full discussion of these risk factors, please refer to “Item 1A. Risk Factors” in the 2025 Annual Report and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95" w:name="Item2UnregisteredSharesofEquity"/>
      <w:bookmarkStart w:id="1296" w:name="_8850d955_4ca8_4834_b310_5000721b5d73"/>
      <w:bookmarkEnd w:id="1295"/>
      <w:bookmarkEnd w:id="1296"/>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87"/>
        <w:gridCol w:w="346"/>
        <w:gridCol w:w="1411"/>
        <w:gridCol w:w="346"/>
        <w:gridCol w:w="409"/>
        <w:gridCol w:w="1107"/>
        <w:gridCol w:w="346"/>
        <w:gridCol w:w="2326"/>
        <w:gridCol w:w="346"/>
        <w:gridCol w:w="2281"/>
      </w:tblGrid>
      <w:tr>
        <w:trPr/>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817245" cy="175260"/>
                      <wp:effectExtent l="0" t="0" r="0" b="0"/>
                      <wp:wrapNone/>
                      <wp:docPr id="447" name="Frame447"/>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895985" cy="175260"/>
                      <wp:effectExtent l="0" t="0" r="0" b="0"/>
                      <wp:wrapNone/>
                      <wp:docPr id="449" name="Frame44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59715" cy="175260"/>
                      <wp:effectExtent l="0" t="0" r="0" b="0"/>
                      <wp:wrapNone/>
                      <wp:docPr id="451" name="Frame45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702945" cy="175260"/>
                      <wp:effectExtent l="0" t="0" r="0" b="0"/>
                      <wp:wrapNone/>
                      <wp:docPr id="452" name="Frame452"/>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477010" cy="175260"/>
                      <wp:effectExtent l="0" t="0" r="0" b="0"/>
                      <wp:wrapNone/>
                      <wp:docPr id="454" name="Frame45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48435" cy="175260"/>
                      <wp:effectExtent l="0" t="0" r="0" b="0"/>
                      <wp:wrapNone/>
                      <wp:docPr id="456" name="Frame456"/>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09" w:type="dxa"/>
            <w:tcBorders/>
            <w:vAlign w:val="center"/>
          </w:tcPr>
          <w:p>
            <w:pPr>
              <w:pStyle w:val="TableContents"/>
              <w:bidi w:val="0"/>
              <w:spacing w:before="0" w:after="0"/>
              <w:ind w:left="0" w:right="0" w:hanging="0"/>
              <w:jc w:val="center"/>
              <w:rPr/>
            </w:pPr>
            <w:r>
              <w:rPr/>
              <w:t>​</w:t>
            </w:r>
          </w:p>
        </w:tc>
        <w:tc>
          <w:tcPr>
            <w:tcW w:w="11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0"/>
              <w:ind w:left="0" w:right="0" w:hanging="0"/>
              <w:jc w:val="center"/>
              <w:rPr/>
            </w:pPr>
            <w:r>
              <w:rPr/>
              <w:t>  ​ ​ ​</w:t>
            </w:r>
          </w:p>
        </w:tc>
        <w:tc>
          <w:tcPr>
            <w:tcW w:w="22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of Shares</w:t>
            </w:r>
          </w:p>
        </w:tc>
      </w:tr>
      <w:tr>
        <w:trPr/>
        <w:tc>
          <w:tcPr>
            <w:tcW w:w="12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w:t>
            </w:r>
          </w:p>
        </w:tc>
        <w:tc>
          <w:tcPr>
            <w:tcW w:w="34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 Publicly</w:t>
            </w:r>
          </w:p>
        </w:tc>
        <w:tc>
          <w:tcPr>
            <w:tcW w:w="346" w:type="dxa"/>
            <w:tcBorders/>
            <w:vAlign w:val="center"/>
          </w:tcPr>
          <w:p>
            <w:pPr>
              <w:pStyle w:val="TableContents"/>
              <w:bidi w:val="0"/>
              <w:spacing w:before="0" w:after="0"/>
              <w:ind w:left="0" w:right="0" w:hanging="0"/>
              <w:jc w:val="center"/>
              <w:rPr/>
            </w:pPr>
            <w:r>
              <w:rPr/>
              <w:t>​</w:t>
            </w:r>
          </w:p>
        </w:tc>
        <w:tc>
          <w:tcPr>
            <w:tcW w:w="22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 Purchased </w:t>
            </w:r>
          </w:p>
        </w:tc>
      </w:tr>
      <w:tr>
        <w:trPr/>
        <w:tc>
          <w:tcPr>
            <w:tcW w:w="12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Purchased</w:t>
            </w:r>
            <w:r>
              <w:rPr>
                <w:rFonts w:ascii="Times New Roman;Times;serif" w:hAnsi="Times New Roman;Times;serif"/>
                <w:sz w:val="16"/>
              </w:rPr>
              <w:t xml:space="preserv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left"/>
              <w:rPr/>
            </w:pPr>
            <w:r>
              <w:rPr/>
              <w:t>​</w:t>
            </w:r>
          </w:p>
        </w:tc>
        <w:tc>
          <w:tcPr>
            <w:tcW w:w="23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 Programs</w:t>
            </w:r>
          </w:p>
        </w:tc>
        <w:tc>
          <w:tcPr>
            <w:tcW w:w="346" w:type="dxa"/>
            <w:tcBorders/>
            <w:vAlign w:val="center"/>
          </w:tcPr>
          <w:p>
            <w:pPr>
              <w:pStyle w:val="TableContents"/>
              <w:bidi w:val="0"/>
              <w:spacing w:before="0" w:after="0"/>
              <w:ind w:left="0" w:right="0" w:hanging="0"/>
              <w:jc w:val="center"/>
              <w:rPr/>
            </w:pPr>
            <w:r>
              <w:rPr/>
              <w:t>​</w:t>
            </w:r>
          </w:p>
        </w:tc>
        <w:tc>
          <w:tcPr>
            <w:tcW w:w="22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 Programs</w:t>
            </w:r>
          </w:p>
        </w:tc>
      </w:tr>
      <w:tr>
        <w:trPr/>
        <w:tc>
          <w:tcPr>
            <w:tcW w:w="1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04/01/26 to 04/30/26</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43,712</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w:t>
            </w:r>
          </w:p>
        </w:tc>
        <w:tc>
          <w:tcPr>
            <w:tcW w:w="346" w:type="dxa"/>
            <w:tcBorders/>
            <w:shd w:fill="CCEEFF" w:val="clear"/>
            <w:vAlign w:val="center"/>
          </w:tcPr>
          <w:p>
            <w:pPr>
              <w:pStyle w:val="TableContents"/>
              <w:bidi w:val="0"/>
              <w:spacing w:before="0" w:after="0"/>
              <w:ind w:left="0" w:right="0" w:hanging="0"/>
              <w:jc w:val="left"/>
              <w:rPr/>
            </w:pPr>
            <w:r>
              <w:rPr/>
              <w:t> </w:t>
            </w:r>
          </w:p>
        </w:tc>
        <w:tc>
          <w:tcPr>
            <w:tcW w:w="23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1" w:type="dxa"/>
            <w:tcBorders/>
            <w:shd w:fill="CCEEFF" w:val="clear"/>
            <w:vAlign w:val="center"/>
          </w:tcPr>
          <w:p>
            <w:pPr>
              <w:pStyle w:val="TableContents"/>
              <w:bidi w:val="0"/>
              <w:spacing w:before="0" w:after="0"/>
              <w:ind w:left="0" w:right="0" w:hanging="0"/>
              <w:jc w:val="right"/>
              <w:rPr/>
            </w:pPr>
            <w:r>
              <w:rPr/>
              <w:t>—</w:t>
            </w:r>
          </w:p>
        </w:tc>
      </w:tr>
      <w:tr>
        <w:trPr/>
        <w:tc>
          <w:tcPr>
            <w:tcW w:w="1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05/01/26 to 05/31/26</w:t>
            </w:r>
          </w:p>
        </w:tc>
        <w:tc>
          <w:tcPr>
            <w:tcW w:w="34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81" w:type="dxa"/>
            <w:tcBorders/>
            <w:vAlign w:val="center"/>
          </w:tcPr>
          <w:p>
            <w:pPr>
              <w:pStyle w:val="TableContents"/>
              <w:bidi w:val="0"/>
              <w:spacing w:before="0" w:after="0"/>
              <w:ind w:left="0" w:right="0" w:hanging="0"/>
              <w:jc w:val="right"/>
              <w:rPr/>
            </w:pPr>
            <w:r>
              <w:rPr/>
              <w:t>—</w:t>
            </w:r>
          </w:p>
        </w:tc>
      </w:tr>
      <w:tr>
        <w:trPr/>
        <w:tc>
          <w:tcPr>
            <w:tcW w:w="1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06/01/26 to 06/30/26</w:t>
            </w:r>
          </w:p>
        </w:tc>
        <w:tc>
          <w:tcPr>
            <w:tcW w:w="346" w:type="dxa"/>
            <w:tcBorders/>
            <w:shd w:fill="CCEEFF" w:val="clear"/>
            <w:vAlign w:val="center"/>
          </w:tcPr>
          <w:p>
            <w:pPr>
              <w:pStyle w:val="TableContents"/>
              <w:bidi w:val="0"/>
              <w:spacing w:before="0" w:after="0"/>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43,712</w:t>
            </w:r>
          </w:p>
        </w:tc>
        <w:tc>
          <w:tcPr>
            <w:tcW w:w="346"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w:t>
            </w:r>
          </w:p>
        </w:tc>
        <w:tc>
          <w:tcPr>
            <w:tcW w:w="346" w:type="dxa"/>
            <w:tcBorders/>
            <w:vAlign w:val="center"/>
          </w:tcPr>
          <w:p>
            <w:pPr>
              <w:pStyle w:val="TableContents"/>
              <w:bidi w:val="0"/>
              <w:spacing w:before="0" w:after="0"/>
              <w:ind w:left="0" w:right="0" w:hanging="0"/>
              <w:jc w:val="left"/>
              <w:rPr/>
            </w:pPr>
            <w:r>
              <w:rPr/>
              <w:t> </w:t>
            </w:r>
          </w:p>
        </w:tc>
        <w:tc>
          <w:tcPr>
            <w:tcW w:w="23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8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73"/>
        <w:gridCol w:w="9808"/>
      </w:tblGrid>
      <w:tr>
        <w:trPr/>
        <w:tc>
          <w:tcPr>
            <w:tcW w:w="124" w:type="dxa"/>
            <w:tcBorders/>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(1)</w:t>
            </w:r>
          </w:p>
        </w:tc>
        <w:tc>
          <w:tcPr>
            <w:tcW w:w="98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permitted under the Company’s equity compensation plan, these shares were withheld by the Company to satisfy tax withholding obligations in connection with the vesting of stock. Shares withheld for tax withholding obligations do not affect the total number of shares available for repurchase under any approved common stock repurchase plan. At June 30, 2026 the Company did not have an authorized stock repurchase plan in place.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97" w:name="Item5_Other_Information"/>
      <w:bookmarkStart w:id="1298" w:name="_4643d8b1_6e7c_460d_a913_d1bd46794db5"/>
      <w:bookmarkEnd w:id="1297"/>
      <w:bookmarkEnd w:id="1298"/>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 of the Company’s directors or executive officers adopted or terminated a Rule 10b5-1 trading arrangement or a non-Rule 10b5-1 trading arrangement (each as defined in Item 408(a) of Regulation S-K) during the quarter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99" w:name="Item6Exhibits_256692"/>
      <w:bookmarkStart w:id="1300" w:name="Item6Exhibits_71121"/>
      <w:bookmarkStart w:id="1301" w:name="_da1192fe_0ddd_47d3_8a1f_4e7ad2bd7bc1"/>
      <w:bookmarkEnd w:id="1299"/>
      <w:bookmarkEnd w:id="1300"/>
      <w:bookmarkEnd w:id="1301"/>
      <w:r>
        <w:rPr>
          <w:rFonts w:ascii="Times New Roman;Times;serif" w:hAnsi="Times New Roman;Times;serif"/>
          <w:b/>
          <w:sz w:val="20"/>
        </w:rPr>
        <w:t>Item 6.</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
        <w:gridCol w:w="184"/>
        <w:gridCol w:w="798"/>
        <w:gridCol w:w="9014"/>
      </w:tblGrid>
      <w:tr>
        <w:trPr/>
        <w:tc>
          <w:tcPr>
            <w:tcW w:w="209" w:type="dxa"/>
            <w:tcBorders/>
            <w:vAlign w:val="center"/>
          </w:tcPr>
          <w:p>
            <w:pPr>
              <w:pStyle w:val="TableContents"/>
              <w:bidi w:val="0"/>
              <w:spacing w:before="0" w:after="283"/>
              <w:ind w:left="0" w:right="0" w:hanging="0"/>
              <w:jc w:val="left"/>
              <w:rPr>
                <w:sz w:val="4"/>
                <w:szCs w:val="4"/>
              </w:rPr>
            </w:pPr>
            <w:r>
              <w:rPr>
                <w:sz w:val="4"/>
                <w:szCs w:val="4"/>
              </w:rPr>
            </w:r>
          </w:p>
        </w:tc>
        <w:tc>
          <w:tcPr>
            <w:tcW w:w="184" w:type="dxa"/>
            <w:tcBorders/>
            <w:vAlign w:val="center"/>
          </w:tcPr>
          <w:p>
            <w:pPr>
              <w:pStyle w:val="TableContents"/>
              <w:bidi w:val="0"/>
              <w:spacing w:before="0" w:after="283"/>
              <w:ind w:left="0" w:right="0" w:hanging="0"/>
              <w:jc w:val="left"/>
              <w:rPr>
                <w:sz w:val="4"/>
                <w:szCs w:val="4"/>
              </w:rPr>
            </w:pPr>
            <w:r>
              <w:rPr>
                <w:sz w:val="4"/>
                <w:szCs w:val="4"/>
              </w:rPr>
            </w:r>
          </w:p>
        </w:tc>
        <w:tc>
          <w:tcPr>
            <w:tcW w:w="981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93"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   </w:t>
            </w:r>
          </w:p>
        </w:tc>
        <w:tc>
          <w:tcPr>
            <w:tcW w:w="981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Exhibits</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014" w:type="dxa"/>
            <w:tcBorders/>
            <w:vAlign w:val="center"/>
          </w:tcPr>
          <w:p>
            <w:pPr>
              <w:pStyle w:val="TableContents"/>
              <w:bidi w:val="0"/>
              <w:spacing w:before="0" w:after="0"/>
              <w:ind w:left="0" w:right="0" w:hanging="0"/>
              <w:jc w:val="left"/>
              <w:rPr/>
            </w:pPr>
            <w:hyperlink w:anchor="alnt-20260630xex31d1.htm">
              <w:r>
                <w:rPr>
                  <w:rStyle w:val="InternetLink"/>
                  <w:rFonts w:ascii="Times New Roman;Times;serif" w:hAnsi="Times New Roman;Times;serif"/>
                  <w:b w:val="false"/>
                  <w:i w:val="false"/>
                  <w:caps w:val="false"/>
                  <w:smallCaps w:val="false"/>
                  <w:sz w:val="20"/>
                </w:rPr>
                <w:t>Certification of the Chief Executive Officer pursuant to Rule 13a-14(a) or 15d-14(a) of the Securities Exchange Act of 1934, as adopted pursuant to Section 302 of the Sarbanes-Oxley Act of 2002.</w:t>
              </w:r>
            </w:hyperlink>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014" w:type="dxa"/>
            <w:tcBorders/>
            <w:vAlign w:val="center"/>
          </w:tcPr>
          <w:p>
            <w:pPr>
              <w:pStyle w:val="TableContents"/>
              <w:bidi w:val="0"/>
              <w:spacing w:before="0" w:after="0"/>
              <w:ind w:left="0" w:right="0" w:hanging="0"/>
              <w:jc w:val="left"/>
              <w:rPr/>
            </w:pPr>
            <w:hyperlink w:anchor="alnt-20260630xex31d2.htm">
              <w:r>
                <w:rPr>
                  <w:rStyle w:val="InternetLink"/>
                  <w:rFonts w:ascii="Times New Roman;Times;serif" w:hAnsi="Times New Roman;Times;serif"/>
                  <w:b w:val="false"/>
                  <w:i w:val="false"/>
                  <w:caps w:val="false"/>
                  <w:smallCaps w:val="false"/>
                  <w:sz w:val="20"/>
                </w:rPr>
                <w:t>Certification of the Chief Financial Officer pursuant to Rule 13a-14(a) or 15d-14(a) of the Securities Exchange Act of 1934, as adopted pursuant to Section 302 of the Sarbanes-Oxley Act of 2002.</w:t>
              </w:r>
            </w:hyperlink>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014" w:type="dxa"/>
            <w:tcBorders/>
            <w:vAlign w:val="center"/>
          </w:tcPr>
          <w:p>
            <w:pPr>
              <w:pStyle w:val="TableContents"/>
              <w:bidi w:val="0"/>
              <w:spacing w:before="0" w:after="0"/>
              <w:ind w:left="0" w:right="0" w:hanging="0"/>
              <w:jc w:val="left"/>
              <w:rPr/>
            </w:pPr>
            <w:hyperlink w:anchor="alnt-20260630xex32d1.htm">
              <w:r>
                <w:rPr>
                  <w:rStyle w:val="InternetLink"/>
                  <w:rFonts w:ascii="Times New Roman;Times;serif" w:hAnsi="Times New Roman;Times;serif"/>
                  <w:b w:val="false"/>
                  <w:i w:val="false"/>
                  <w:caps w:val="false"/>
                  <w:smallCaps w:val="false"/>
                  <w:sz w:val="20"/>
                </w:rPr>
                <w:t>Certification of the Chief Executive Officer pursuant to 18 U.S.C. Section 1350 as adopted pursuant to Section 906 of the Sarbanes-Oxley Act of 2002.</w:t>
              </w:r>
            </w:hyperlink>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014" w:type="dxa"/>
            <w:tcBorders/>
            <w:vAlign w:val="center"/>
          </w:tcPr>
          <w:p>
            <w:pPr>
              <w:pStyle w:val="TableContents"/>
              <w:bidi w:val="0"/>
              <w:spacing w:before="0" w:after="0"/>
              <w:ind w:left="0" w:right="0" w:hanging="0"/>
              <w:jc w:val="left"/>
              <w:rPr/>
            </w:pPr>
            <w:hyperlink w:anchor="alnt-20260630xex32d2.htm">
              <w:r>
                <w:rPr>
                  <w:rStyle w:val="InternetLink"/>
                  <w:rFonts w:ascii="Times New Roman;Times;serif" w:hAnsi="Times New Roman;Times;serif"/>
                  <w:b w:val="false"/>
                  <w:i w:val="false"/>
                  <w:caps w:val="false"/>
                  <w:smallCaps w:val="false"/>
                  <w:sz w:val="20"/>
                </w:rPr>
                <w:t>Certification of the Chief Financial Officer pursuant to 18 U.S.C. Section 1350 as adopted pursuant to Section 906 of the Sarbanes-Oxley Act of 2002.</w:t>
              </w:r>
            </w:hyperlink>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 SCH</w:t>
            </w:r>
          </w:p>
        </w:tc>
        <w:tc>
          <w:tcPr>
            <w:tcW w:w="9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Schema Document </w:t>
            </w:r>
            <w:r>
              <w:rPr>
                <w:rFonts w:ascii="Times New Roman;Times;serif" w:hAnsi="Times New Roman;Times;serif"/>
                <w:i/>
                <w:sz w:val="20"/>
              </w:rPr>
              <w:t>(filed herewith)</w:t>
            </w:r>
            <w:r>
              <w:rPr>
                <w:rFonts w:ascii="Times New Roman;Times;serif" w:hAnsi="Times New Roman;Times;serif"/>
                <w:sz w:val="20"/>
              </w:rPr>
              <w:t>.</w:t>
            </w:r>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 CAL</w:t>
            </w:r>
          </w:p>
        </w:tc>
        <w:tc>
          <w:tcPr>
            <w:tcW w:w="9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Calculation Linkbase Document </w:t>
            </w:r>
            <w:r>
              <w:rPr>
                <w:rFonts w:ascii="Times New Roman;Times;serif" w:hAnsi="Times New Roman;Times;serif"/>
                <w:i/>
                <w:sz w:val="20"/>
              </w:rPr>
              <w:t>(filed herewith)</w:t>
            </w:r>
            <w:r>
              <w:rPr>
                <w:rFonts w:ascii="Times New Roman;Times;serif" w:hAnsi="Times New Roman;Times;serif"/>
                <w:sz w:val="20"/>
              </w:rPr>
              <w:t>.</w:t>
            </w:r>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 DEF</w:t>
            </w:r>
          </w:p>
        </w:tc>
        <w:tc>
          <w:tcPr>
            <w:tcW w:w="9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Definition Linkbase Document </w:t>
            </w:r>
            <w:r>
              <w:rPr>
                <w:rFonts w:ascii="Times New Roman;Times;serif" w:hAnsi="Times New Roman;Times;serif"/>
                <w:i/>
                <w:sz w:val="20"/>
              </w:rPr>
              <w:t>(filed herewith)</w:t>
            </w:r>
            <w:r>
              <w:rPr>
                <w:rFonts w:ascii="Times New Roman;Times;serif" w:hAnsi="Times New Roman;Times;serif"/>
                <w:sz w:val="20"/>
              </w:rPr>
              <w:t>.</w:t>
            </w:r>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 LAB</w:t>
            </w:r>
          </w:p>
        </w:tc>
        <w:tc>
          <w:tcPr>
            <w:tcW w:w="9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Label Linkbase Document </w:t>
            </w:r>
            <w:r>
              <w:rPr>
                <w:rFonts w:ascii="Times New Roman;Times;serif" w:hAnsi="Times New Roman;Times;serif"/>
                <w:i/>
                <w:sz w:val="20"/>
              </w:rPr>
              <w:t>(filed herewith)</w:t>
            </w:r>
            <w:r>
              <w:rPr>
                <w:rFonts w:ascii="Times New Roman;Times;serif" w:hAnsi="Times New Roman;Times;serif"/>
                <w:sz w:val="20"/>
              </w:rPr>
              <w:t>.</w:t>
            </w:r>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lineRule="atLeast" w:line="200" w:before="0" w:after="0"/>
              <w:ind w:left="0" w:right="0" w:hanging="0"/>
              <w:jc w:val="left"/>
              <w:rPr/>
            </w:pPr>
            <w:r>
              <w:rPr/>
              <w:t>​</w:t>
            </w:r>
          </w:p>
        </w:tc>
        <w:tc>
          <w:tcPr>
            <w:tcW w:w="79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101.5 PRE</w:t>
            </w:r>
          </w:p>
        </w:tc>
        <w:tc>
          <w:tcPr>
            <w:tcW w:w="9014"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Taxonomy Extension Presentation Linkbase Document </w:t>
            </w:r>
            <w:r>
              <w:rPr>
                <w:rFonts w:ascii="Times New Roman;Times;serif" w:hAnsi="Times New Roman;Times;serif"/>
                <w:i/>
                <w:sz w:val="20"/>
              </w:rPr>
              <w:t>(filed herewith)</w:t>
            </w:r>
            <w:r>
              <w:rPr>
                <w:rFonts w:ascii="Times New Roman;Times;serif" w:hAnsi="Times New Roman;Times;serif"/>
                <w:sz w:val="20"/>
              </w:rPr>
              <w:t>.</w:t>
            </w:r>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lineRule="atLeast" w:line="200" w:before="0" w:after="0"/>
              <w:ind w:left="0" w:right="0" w:hanging="0"/>
              <w:jc w:val="left"/>
              <w:rPr/>
            </w:pPr>
            <w:r>
              <w:rPr/>
              <w:t>​</w:t>
            </w:r>
          </w:p>
        </w:tc>
        <w:tc>
          <w:tcPr>
            <w:tcW w:w="798"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014"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with applicable taxonomy extension information contained in exhibits 101.) </w:t>
            </w:r>
            <w:r>
              <w:rPr>
                <w:rFonts w:ascii="Times New Roman;Times;serif" w:hAnsi="Times New Roman;Times;serif"/>
                <w:i/>
                <w:sz w:val="20"/>
              </w:rPr>
              <w:t>(filed herewith)</w:t>
            </w:r>
            <w:r>
              <w:rPr>
                <w:rFonts w:ascii="Times New Roman;Times;serif" w:hAnsi="Times New Roman;Times;serif"/>
                <w:sz w:val="20"/>
              </w:rPr>
              <w:t>.</w:t>
            </w:r>
          </w:p>
        </w:tc>
      </w:tr>
      <w:tr>
        <w:trPr/>
        <w:tc>
          <w:tcPr>
            <w:tcW w:w="393" w:type="dxa"/>
            <w:gridSpan w:val="2"/>
            <w:tcBorders/>
            <w:vAlign w:val="center"/>
          </w:tcPr>
          <w:p>
            <w:pPr>
              <w:pStyle w:val="TableContents"/>
              <w:bidi w:val="0"/>
              <w:spacing w:before="0" w:after="283"/>
              <w:ind w:left="0" w:right="0" w:hanging="0"/>
              <w:jc w:val="left"/>
              <w:rPr>
                <w:sz w:val="4"/>
                <w:szCs w:val="4"/>
              </w:rPr>
            </w:pPr>
            <w:r>
              <w:rPr>
                <w:sz w:val="4"/>
                <w:szCs w:val="4"/>
              </w:rPr>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lineRule="atLeast" w:line="200" w:before="0" w:after="0"/>
              <w:ind w:left="0" w:right="0" w:hanging="0"/>
              <w:jc w:val="left"/>
              <w:rPr/>
            </w:pPr>
            <w:r>
              <w:rPr/>
              <w:t>​</w:t>
            </w:r>
          </w:p>
        </w:tc>
        <w:tc>
          <w:tcPr>
            <w:tcW w:w="798" w:type="dxa"/>
            <w:tcBorders/>
            <w:vAlign w:val="center"/>
          </w:tcPr>
          <w:p>
            <w:pPr>
              <w:pStyle w:val="TableContents"/>
              <w:bidi w:val="0"/>
              <w:spacing w:lineRule="atLeast" w:line="200" w:before="0" w:after="0"/>
              <w:ind w:left="0" w:right="0" w:hanging="0"/>
              <w:jc w:val="left"/>
              <w:rPr/>
            </w:pPr>
            <w:r>
              <w:rPr/>
              <w:t>​</w:t>
            </w:r>
          </w:p>
        </w:tc>
        <w:tc>
          <w:tcPr>
            <w:tcW w:w="9014" w:type="dxa"/>
            <w:tcBorders/>
            <w:vAlign w:val="center"/>
          </w:tcPr>
          <w:p>
            <w:pPr>
              <w:pStyle w:val="TableContents"/>
              <w:bidi w:val="0"/>
              <w:spacing w:lineRule="atLeast" w:line="200"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lineRule="atLeast" w:line="200" w:before="0" w:after="0"/>
              <w:ind w:left="0" w:right="0" w:hanging="0"/>
              <w:jc w:val="left"/>
              <w:rPr/>
            </w:pPr>
            <w:r>
              <w:rPr/>
              <w:t>​</w:t>
            </w:r>
          </w:p>
        </w:tc>
        <w:tc>
          <w:tcPr>
            <w:tcW w:w="798" w:type="dxa"/>
            <w:tcBorders/>
            <w:vAlign w:val="center"/>
          </w:tcPr>
          <w:p>
            <w:pPr>
              <w:pStyle w:val="TableContents"/>
              <w:bidi w:val="0"/>
              <w:spacing w:lineRule="atLeast" w:line="200" w:before="0" w:after="0"/>
              <w:ind w:left="0" w:right="0" w:hanging="0"/>
              <w:jc w:val="left"/>
              <w:rPr/>
            </w:pPr>
            <w:r>
              <w:rPr/>
              <w:t>​</w:t>
            </w:r>
          </w:p>
        </w:tc>
        <w:tc>
          <w:tcPr>
            <w:tcW w:w="9014" w:type="dxa"/>
            <w:tcBorders/>
            <w:vAlign w:val="center"/>
          </w:tcPr>
          <w:p>
            <w:pPr>
              <w:pStyle w:val="TableContents"/>
              <w:bidi w:val="0"/>
              <w:spacing w:lineRule="atLeast" w:line="200"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r>
        <w:trPr/>
        <w:tc>
          <w:tcPr>
            <w:tcW w:w="393" w:type="dxa"/>
            <w:gridSpan w:val="2"/>
            <w:tcBorders/>
            <w:vAlign w:val="center"/>
          </w:tcPr>
          <w:p>
            <w:pPr>
              <w:pStyle w:val="TableContents"/>
              <w:bidi w:val="0"/>
              <w:spacing w:lineRule="atLeast" w:line="200" w:before="0" w:after="0"/>
              <w:ind w:left="0" w:right="0" w:hanging="0"/>
              <w:jc w:val="left"/>
              <w:rPr/>
            </w:pPr>
            <w:r>
              <w:rPr/>
              <w:t>​</w:t>
            </w:r>
          </w:p>
        </w:tc>
        <w:tc>
          <w:tcPr>
            <w:tcW w:w="798" w:type="dxa"/>
            <w:tcBorders/>
            <w:vAlign w:val="center"/>
          </w:tcPr>
          <w:p>
            <w:pPr>
              <w:pStyle w:val="TableContents"/>
              <w:bidi w:val="0"/>
              <w:spacing w:lineRule="atLeast" w:line="200" w:before="0" w:after="0"/>
              <w:ind w:left="0" w:right="0" w:hanging="0"/>
              <w:jc w:val="left"/>
              <w:rPr/>
            </w:pPr>
            <w:r>
              <w:rPr/>
              <w:t>​</w:t>
            </w:r>
          </w:p>
        </w:tc>
        <w:tc>
          <w:tcPr>
            <w:tcW w:w="9014" w:type="dxa"/>
            <w:tcBorders/>
            <w:vAlign w:val="center"/>
          </w:tcPr>
          <w:p>
            <w:pPr>
              <w:pStyle w:val="TableContents"/>
              <w:bidi w:val="0"/>
              <w:spacing w:lineRule="atLeast" w:line="200" w:before="0" w:after="0"/>
              <w:ind w:left="0" w:right="0" w:hanging="0"/>
              <w:jc w:val="left"/>
              <w:rPr/>
            </w:pPr>
            <w:r>
              <w:rPr/>
              <w:t>​</w:t>
            </w:r>
          </w:p>
        </w:tc>
      </w:tr>
      <w:tr>
        <w:trPr/>
        <w:tc>
          <w:tcPr>
            <w:tcW w:w="393" w:type="dxa"/>
            <w:gridSpan w:val="2"/>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901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02" w:name="_10c5aa0f_a676_48ce_a866_e5ba121b32fb"/>
      <w:bookmarkEnd w:id="1302"/>
      <w:r>
        <w:rPr>
          <w:rFonts w:ascii="Times New Roman;Times;serif" w:hAnsi="Times New Roman;Times;serif"/>
          <w:sz w:val="20"/>
        </w:rPr>
        <w:t>SIGNATURES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112" w:type="dxa"/>
        <w:jc w:val="left"/>
        <w:tblInd w:w="0" w:type="dxa"/>
        <w:tblLayout w:type="fixed"/>
        <w:tblCellMar>
          <w:top w:w="0" w:type="dxa"/>
          <w:left w:w="0" w:type="dxa"/>
          <w:bottom w:w="0" w:type="dxa"/>
          <w:right w:w="0" w:type="dxa"/>
        </w:tblCellMar>
      </w:tblPr>
      <w:tblGrid>
        <w:gridCol w:w="691"/>
        <w:gridCol w:w="2341"/>
        <w:gridCol w:w="726"/>
        <w:gridCol w:w="3354"/>
      </w:tblGrid>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                      </w:t>
            </w:r>
          </w:p>
        </w:tc>
        <w:tc>
          <w:tcPr>
            <w:tcW w:w="40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ALLIENT INC.</w:t>
            </w:r>
          </w:p>
        </w:tc>
      </w:tr>
      <w:tr>
        <w:trPr/>
        <w:tc>
          <w:tcPr>
            <w:tcW w:w="691"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54"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A. Michaud</w:t>
            </w:r>
          </w:p>
        </w:tc>
      </w:tr>
      <w:tr>
        <w:trPr/>
        <w:tc>
          <w:tcPr>
            <w:tcW w:w="691"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left"/>
              <w:rPr/>
            </w:pPr>
            <w:r>
              <w:rPr/>
              <w:t> </w:t>
            </w:r>
          </w:p>
        </w:tc>
        <w:tc>
          <w:tcPr>
            <w:tcW w:w="40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A. Michaud</w:t>
            </w:r>
          </w:p>
        </w:tc>
      </w:tr>
      <w:tr>
        <w:trPr/>
        <w:tc>
          <w:tcPr>
            <w:tcW w:w="691"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left"/>
              <w:rPr/>
            </w:pPr>
            <w:r>
              <w:rPr/>
              <w:t> </w:t>
            </w:r>
          </w:p>
        </w:tc>
        <w:tc>
          <w:tcPr>
            <w:tcW w:w="4080"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&amp;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right"/>
        <w:rPr>
          <w:rFonts w:ascii="Times New Roman;Times;serif" w:hAnsi="Times New Roman;Times;serif"/>
          <w:b/>
          <w:sz w:val="20"/>
        </w:rPr>
      </w:pPr>
      <w:bookmarkStart w:id="1303" w:name="alnt-20260630xex31d1.htm"/>
      <w:bookmarkStart w:id="1304" w:name="ksalnt20260630xex31d1"/>
      <w:bookmarkEnd w:id="1303"/>
      <w:bookmarkEnd w:id="1304"/>
      <w:r>
        <w:rPr>
          <w:rFonts w:ascii="Times New Roman;Times;serif" w:hAnsi="Times New Roman;Times;serif"/>
          <w:b/>
          <w:sz w:val="20"/>
        </w:rPr>
        <w:t>EXHIBIT 31.1</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Richard S. Warzala, certify that:</w:t>
      </w:r>
    </w:p>
    <w:tbl>
      <w:tblPr>
        <w:tblW w:w="6925" w:type="dxa"/>
        <w:jc w:val="left"/>
        <w:tblInd w:w="0" w:type="dxa"/>
        <w:tblLayout w:type="fixed"/>
        <w:tblCellMar>
          <w:top w:w="0" w:type="dxa"/>
          <w:left w:w="0" w:type="dxa"/>
          <w:bottom w:w="0" w:type="dxa"/>
          <w:right w:w="0" w:type="dxa"/>
        </w:tblCellMar>
      </w:tblPr>
      <w:tblGrid>
        <w:gridCol w:w="170"/>
        <w:gridCol w:w="67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Allient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our most recent evaluation of internal control over financial reporting, to the registrant’s other verifying officer, the auditors and the audit committee of registrant’s Board of Directors (or persons performing the equivalent functions):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pPr>
      <w:r>
        <w:rPr/>
        <w:t>​</w:t>
      </w:r>
    </w:p>
    <w:tbl>
      <w:tblPr>
        <w:tblW w:w="3902" w:type="dxa"/>
        <w:jc w:val="center"/>
        <w:tblInd w:w="0" w:type="dxa"/>
        <w:tblLayout w:type="fixed"/>
        <w:tblCellMar>
          <w:top w:w="0" w:type="dxa"/>
          <w:left w:w="0" w:type="dxa"/>
          <w:bottom w:w="0" w:type="dxa"/>
          <w:right w:w="0" w:type="dxa"/>
        </w:tblCellMar>
      </w:tblPr>
      <w:tblGrid>
        <w:gridCol w:w="1846"/>
        <w:gridCol w:w="205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172210" cy="29210"/>
                      <wp:effectExtent l="0" t="0" r="0" b="0"/>
                      <wp:wrapNone/>
                      <wp:docPr id="457" name="Frame457"/>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06195" cy="29210"/>
                      <wp:effectExtent l="0" t="0" r="0" b="0"/>
                      <wp:wrapNone/>
                      <wp:docPr id="458" name="Frame458"/>
                      <a:graphic xmlns:a="http://schemas.openxmlformats.org/drawingml/2006/main">
                        <a:graphicData uri="http://schemas.microsoft.com/office/word/2010/wordprocessingShape">
                          <wps:wsp>
                            <wps:cNvSpPr txBox="1"/>
                            <wps:spPr>
                              <a:xfrm>
                                <a:off x="0" y="0"/>
                                <a:ext cx="13061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205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 Warzala</w:t>
            </w:r>
          </w:p>
        </w:tc>
      </w:tr>
      <w:tr>
        <w:trPr/>
        <w:tc>
          <w:tcPr>
            <w:tcW w:w="18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 Warzala</w:t>
            </w:r>
          </w:p>
        </w:tc>
      </w:tr>
      <w:tr>
        <w:trPr/>
        <w:tc>
          <w:tcPr>
            <w:tcW w:w="18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5" w:name="alnt-20260630xex31d2.htm"/>
      <w:bookmarkStart w:id="1306" w:name="ksalnt20260630xex31d2"/>
      <w:bookmarkEnd w:id="1305"/>
      <w:bookmarkEnd w:id="1306"/>
      <w:r>
        <w:rPr>
          <w:rFonts w:ascii="Times New Roman;Times;serif" w:hAnsi="Times New Roman;Times;serif"/>
          <w:b/>
          <w:sz w:val="20"/>
        </w:rPr>
        <w:t>EXHIBIT 31.2</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James A. Michaud, certify that:</w:t>
      </w:r>
    </w:p>
    <w:tbl>
      <w:tblPr>
        <w:tblW w:w="6925" w:type="dxa"/>
        <w:jc w:val="left"/>
        <w:tblInd w:w="0" w:type="dxa"/>
        <w:tblLayout w:type="fixed"/>
        <w:tblCellMar>
          <w:top w:w="0" w:type="dxa"/>
          <w:left w:w="0" w:type="dxa"/>
          <w:bottom w:w="0" w:type="dxa"/>
          <w:right w:w="0" w:type="dxa"/>
        </w:tblCellMar>
      </w:tblPr>
      <w:tblGrid>
        <w:gridCol w:w="170"/>
        <w:gridCol w:w="67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Allient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our most recent evaluation of internal control over financial reporting, to the registrant’s other certifying officer, the auditors and the audit committee of registrant’s Board of Directors (or persons performing the equivalent functions):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pPr>
      <w:r>
        <w:rPr/>
        <w:t>​</w:t>
      </w:r>
    </w:p>
    <w:tbl>
      <w:tblPr>
        <w:tblW w:w="3917" w:type="dxa"/>
        <w:jc w:val="center"/>
        <w:tblInd w:w="0" w:type="dxa"/>
        <w:tblLayout w:type="fixed"/>
        <w:tblCellMar>
          <w:top w:w="0" w:type="dxa"/>
          <w:left w:w="0" w:type="dxa"/>
          <w:bottom w:w="0" w:type="dxa"/>
          <w:right w:w="0" w:type="dxa"/>
        </w:tblCellMar>
      </w:tblPr>
      <w:tblGrid>
        <w:gridCol w:w="1846"/>
        <w:gridCol w:w="20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172210" cy="175260"/>
                      <wp:effectExtent l="0" t="0" r="0" b="0"/>
                      <wp:wrapNone/>
                      <wp:docPr id="459" name="Frame45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ug</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15085" cy="29210"/>
                      <wp:effectExtent l="0" t="0" r="0" b="0"/>
                      <wp:wrapNone/>
                      <wp:docPr id="460" name="Frame460"/>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A. Michaud</w:t>
            </w:r>
          </w:p>
        </w:tc>
      </w:tr>
      <w:tr>
        <w:trPr/>
        <w:tc>
          <w:tcPr>
            <w:tcW w:w="18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A. Michaud</w:t>
            </w:r>
          </w:p>
        </w:tc>
      </w:tr>
      <w:tr>
        <w:trPr/>
        <w:tc>
          <w:tcPr>
            <w:tcW w:w="18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0" w:right="0" w:hanging="0"/>
        <w:jc w:val="right"/>
        <w:rPr>
          <w:rFonts w:ascii="Times New Roman;Times;serif" w:hAnsi="Times New Roman;Times;serif"/>
          <w:b/>
          <w:sz w:val="20"/>
        </w:rPr>
      </w:pPr>
      <w:bookmarkStart w:id="1307" w:name="alnt-20260630xex32d1.htm"/>
      <w:bookmarkStart w:id="1308" w:name="ksalnt20260630xex32d1"/>
      <w:bookmarkEnd w:id="1307"/>
      <w:bookmarkEnd w:id="130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Periodic Financial Reports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the undersigned officer of Allient Inc. (the “Company”) certifies to his knowledge that: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the Company for the quarterly period ended June 30, 2026 fully complies with the requirements of Section 13 (a) or 15 (d)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that Form 10-Q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902" w:type="dxa"/>
        <w:jc w:val="center"/>
        <w:tblInd w:w="0" w:type="dxa"/>
        <w:tblLayout w:type="fixed"/>
        <w:tblCellMar>
          <w:top w:w="0" w:type="dxa"/>
          <w:left w:w="0" w:type="dxa"/>
          <w:bottom w:w="0" w:type="dxa"/>
          <w:right w:w="0" w:type="dxa"/>
        </w:tblCellMar>
      </w:tblPr>
      <w:tblGrid>
        <w:gridCol w:w="1846"/>
        <w:gridCol w:w="205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172210" cy="29210"/>
                      <wp:effectExtent l="0" t="0" r="0" b="0"/>
                      <wp:wrapNone/>
                      <wp:docPr id="461" name="Frame461"/>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06195" cy="29210"/>
                      <wp:effectExtent l="0" t="0" r="0" b="0"/>
                      <wp:wrapNone/>
                      <wp:docPr id="462" name="Frame462"/>
                      <a:graphic xmlns:a="http://schemas.openxmlformats.org/drawingml/2006/main">
                        <a:graphicData uri="http://schemas.microsoft.com/office/word/2010/wordprocessingShape">
                          <wps:wsp>
                            <wps:cNvSpPr txBox="1"/>
                            <wps:spPr>
                              <a:xfrm>
                                <a:off x="0" y="0"/>
                                <a:ext cx="13061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205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 Warzala</w:t>
            </w:r>
          </w:p>
        </w:tc>
      </w:tr>
      <w:tr>
        <w:trPr/>
        <w:tc>
          <w:tcPr>
            <w:tcW w:w="18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 Warzala</w:t>
            </w:r>
          </w:p>
        </w:tc>
      </w:tr>
      <w:tr>
        <w:trPr/>
        <w:tc>
          <w:tcPr>
            <w:tcW w:w="18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0" w:right="0" w:hanging="0"/>
        <w:jc w:val="right"/>
        <w:rPr>
          <w:rFonts w:ascii="Times New Roman;Times;serif" w:hAnsi="Times New Roman;Times;serif"/>
          <w:b/>
          <w:sz w:val="20"/>
        </w:rPr>
      </w:pPr>
      <w:bookmarkStart w:id="1309" w:name="alnt-20260630xex32d2.htm"/>
      <w:bookmarkStart w:id="1310" w:name="ksalnt20260630xex32d2"/>
      <w:bookmarkEnd w:id="1309"/>
      <w:bookmarkEnd w:id="131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Periodic Financial Reports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the undersigned officer of Allient Inc. (the “Company”) certifies to his knowledge that: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the Company for the quarterly period ended June 30, 2026 fully complies with the requirements of Section 13 (a) or 15 (d)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that Form 10-Q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917" w:type="dxa"/>
        <w:jc w:val="center"/>
        <w:tblInd w:w="0" w:type="dxa"/>
        <w:tblLayout w:type="fixed"/>
        <w:tblCellMar>
          <w:top w:w="0" w:type="dxa"/>
          <w:left w:w="0" w:type="dxa"/>
          <w:bottom w:w="0" w:type="dxa"/>
          <w:right w:w="0" w:type="dxa"/>
        </w:tblCellMar>
      </w:tblPr>
      <w:tblGrid>
        <w:gridCol w:w="1846"/>
        <w:gridCol w:w="20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172210" cy="29210"/>
                      <wp:effectExtent l="0" t="0" r="0" b="0"/>
                      <wp:wrapNone/>
                      <wp:docPr id="463" name="Frame463"/>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15085" cy="29210"/>
                      <wp:effectExtent l="0" t="0" r="0" b="0"/>
                      <wp:wrapNone/>
                      <wp:docPr id="464" name="Frame464"/>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A. Michaud</w:t>
            </w:r>
          </w:p>
        </w:tc>
      </w:tr>
      <w:tr>
        <w:trPr/>
        <w:tc>
          <w:tcPr>
            <w:tcW w:w="18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A. Michaud</w:t>
            </w:r>
          </w:p>
        </w:tc>
      </w:tr>
      <w:tr>
        <w:trPr/>
        <w:tc>
          <w:tcPr>
            <w:tcW w:w="18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16714</Words>
  <Characters>92455</Characters>
  <CharactersWithSpaces>111959</CharactersWithSpaces>
  <Paragraphs>6481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