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4" w:lineRule="exact"/>
        <w:rPr>
          <w:rFonts w:ascii="Arial" w:cs="Arial" w:eastAsia="Arial" w:hAnsi="Arial"/>
          <w:sz w:val="18"/>
          <w:szCs w:val="18"/>
          <w:color w:val="auto"/>
        </w:rPr>
      </w:pPr>
    </w:p>
    <w:p>
      <w:pPr>
        <w:ind w:left="1100" w:right="6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-305435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-588010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-871220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-1154430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-1840230</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-2123440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-2406015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-2826385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-3109595</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You are hereby notified that the 2019 Annual Meeting of Shareholders of Allied Motion Technologies Inc. (the “Company”) will be held on Wednesday, May 1, 2019 at 2:00 p.m. (Eastern Time) at the Company’s offices, 495 Commerce Drive, Suite 3, Amherst, New York 14228. At this meeting, the shareholders will be asked to act on the following matters:</w:t>
      </w:r>
    </w:p>
    <w:p>
      <w:pPr>
        <w:spacing w:after="0" w:line="181"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an advisory approval of the compensation of our named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indicate a preference on the frequency of the advisory vote to approve the compensation of our named executive officers;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the 2019 fiscal year;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2019 Annual Meeting or any adjournment thereof.</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12, 2019 are entitled to notice of and to vote at the 2019 Annual Meeting and any adjournment thereof.</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2019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7"/>
          <w:szCs w:val="17"/>
          <w:b w:val="1"/>
          <w:bCs w:val="1"/>
          <w:color w:val="auto"/>
        </w:rPr>
        <w:t>THEREFORE, IT IS VERY IMPORTANT THAT YOU VOTE YOUR SHARES FOR ALL PROPOSALS.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149350"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2019</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This Proxy Statement and the Company’s Annual Report are available on the Internet at https://materials.proxyvote.com/019330.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103505</wp:posOffset>
            </wp:positionV>
            <wp:extent cx="4249420" cy="149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49420" cy="149860"/>
                    </a:xfrm>
                    <a:prstGeom prst="rect">
                      <a:avLst/>
                    </a:prstGeom>
                    <a:noFill/>
                  </pic:spPr>
                </pic:pic>
              </a:graphicData>
            </a:graphic>
          </wp:anchor>
        </w:drawing>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IS AN IMPORTANT MEETING. ALL SHAREHOLDERS ARE URGED TO VOTE.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gridSpan w:val="39"/>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QUESTIONS AND ANSWERS ABOUT THE 2019 ANNUAL MEETING</w:t>
              </w:r>
            </w:hyperlink>
          </w:p>
        </w:tc>
        <w:tc>
          <w:tcPr>
            <w:tcW w:w="4920" w:type="dxa"/>
            <w:vAlign w:val="bottom"/>
            <w:gridSpan w:val="5"/>
            <w:vMerge w:val="restart"/>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480" w:type="dxa"/>
            <w:vAlign w:val="bottom"/>
            <w:tcBorders>
              <w:bottom w:val="single" w:sz="8" w:color="0000EE"/>
            </w:tcBorders>
            <w:gridSpan w:val="39"/>
            <w:vMerge w:val="continue"/>
          </w:tcPr>
          <w:p>
            <w:pPr>
              <w:spacing w:after="0"/>
              <w:rPr>
                <w:sz w:val="13"/>
                <w:szCs w:val="13"/>
                <w:color w:val="auto"/>
              </w:rPr>
            </w:pPr>
          </w:p>
        </w:tc>
        <w:tc>
          <w:tcPr>
            <w:tcW w:w="4920" w:type="dxa"/>
            <w:vAlign w:val="bottom"/>
            <w:gridSpan w:val="5"/>
            <w:vMerge w:val="continue"/>
          </w:tcPr>
          <w:p>
            <w:pPr>
              <w:spacing w:after="0"/>
              <w:rPr>
                <w:sz w:val="13"/>
                <w:szCs w:val="13"/>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0000EE"/>
            </w:tcBorders>
            <w:gridSpan w:val="31"/>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CORPORATE GOVERNANCE AND BOARD MATTERS</w:t>
              </w:r>
            </w:hyperlink>
          </w:p>
        </w:tc>
        <w:tc>
          <w:tcPr>
            <w:tcW w:w="6080" w:type="dxa"/>
            <w:vAlign w:val="bottom"/>
            <w:gridSpan w:val="13"/>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Qualifications and Biographical Information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8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Independent Directors</w:t>
              </w:r>
            </w:hyperlink>
          </w:p>
        </w:tc>
        <w:tc>
          <w:tcPr>
            <w:tcW w:w="5900" w:type="dxa"/>
            <w:vAlign w:val="bottom"/>
            <w:gridSpan w:val="10"/>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Board Leadership Structure</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2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Shareholder Communication With the Board</w:t>
              </w:r>
            </w:hyperlink>
          </w:p>
        </w:tc>
        <w:tc>
          <w:tcPr>
            <w:tcW w:w="6500" w:type="dxa"/>
            <w:vAlign w:val="bottom"/>
            <w:gridSpan w:val="1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Committees and Meeting Data</w:t>
              </w:r>
            </w:hyperlink>
          </w:p>
        </w:tc>
        <w:tc>
          <w:tcPr>
            <w:tcW w:w="7520" w:type="dxa"/>
            <w:vAlign w:val="bottom"/>
            <w:gridSpan w:val="31"/>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Board Oversight of Risk Management</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7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Nominating Procedures</w:t>
              </w:r>
            </w:hyperlink>
          </w:p>
        </w:tc>
        <w:tc>
          <w:tcPr>
            <w:tcW w:w="7000" w:type="dxa"/>
            <w:vAlign w:val="bottom"/>
            <w:gridSpan w:val="2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Board Attendance at Meetings</w:t>
              </w:r>
            </w:hyperlink>
          </w:p>
        </w:tc>
        <w:tc>
          <w:tcPr>
            <w:tcW w:w="7540" w:type="dxa"/>
            <w:vAlign w:val="bottom"/>
            <w:gridSpan w:val="3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Compensation Committee Interlocks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Director Compensation in 2018</w:t>
              </w:r>
            </w:hyperlink>
          </w:p>
        </w:tc>
        <w:tc>
          <w:tcPr>
            <w:tcW w:w="360" w:type="dxa"/>
            <w:vAlign w:val="bottom"/>
            <w:tcBorders>
              <w:top w:val="single" w:sz="8" w:color="0000EE"/>
            </w:tcBorders>
            <w:gridSpan w:val="2"/>
          </w:tcPr>
          <w:p>
            <w:pPr>
              <w:spacing w:after="0"/>
              <w:rPr>
                <w:sz w:val="17"/>
                <w:szCs w:val="17"/>
                <w:color w:val="auto"/>
              </w:rPr>
            </w:pPr>
          </w:p>
        </w:tc>
        <w:tc>
          <w:tcPr>
            <w:tcW w:w="7100" w:type="dxa"/>
            <w:vAlign w:val="bottom"/>
            <w:gridSpan w:val="27"/>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5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Ownership Guidelines for Directors and Officers</w:t>
              </w:r>
            </w:hyperlink>
          </w:p>
        </w:tc>
        <w:tc>
          <w:tcPr>
            <w:tcW w:w="6220" w:type="dxa"/>
            <w:vAlign w:val="bottom"/>
            <w:gridSpan w:val="17"/>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40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PROPOSALS TO BE VOTED 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1 — Election of Directors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2 — Advisory Vote on Executive Compensation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Proposal 3 — Advisory Vote on the Frequency of Future Advisory Votes on Executive Compensation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300" w:type="dxa"/>
            <w:vAlign w:val="bottom"/>
            <w:tcBorders>
              <w:top w:val="single" w:sz="8" w:color="0000EE"/>
            </w:tcBorders>
            <w:gridSpan w:val="41"/>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Proposal 4 — Advisory Vote on the Ratification of Independent Registered Public Accounting Firm</w:t>
              </w:r>
            </w:hyperlink>
          </w:p>
        </w:tc>
        <w:tc>
          <w:tcPr>
            <w:tcW w:w="2440" w:type="dxa"/>
            <w:vAlign w:val="bottom"/>
            <w:gridSpan w:val="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EXECUTIVE OFFICERS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COMPENSATION OF EXECUTIVE OFFICERS</w:t>
              </w:r>
            </w:hyperlink>
          </w:p>
        </w:tc>
        <w:tc>
          <w:tcPr>
            <w:tcW w:w="6780" w:type="dxa"/>
            <w:vAlign w:val="bottom"/>
            <w:gridSpan w:val="2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8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Compensation Discussion and Analysis</w:t>
              </w:r>
            </w:hyperlink>
          </w:p>
        </w:tc>
        <w:tc>
          <w:tcPr>
            <w:tcW w:w="6880" w:type="dxa"/>
            <w:vAlign w:val="bottom"/>
            <w:gridSpan w:val="2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Chief Executive Officer Employment Agreement</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Report of the Compensation Committee</w:t>
              </w:r>
            </w:hyperlink>
          </w:p>
        </w:tc>
        <w:tc>
          <w:tcPr>
            <w:tcW w:w="660" w:type="dxa"/>
            <w:vAlign w:val="bottom"/>
            <w:tcBorders>
              <w:top w:val="single" w:sz="8" w:color="0000EE"/>
            </w:tcBorders>
            <w:gridSpan w:val="7"/>
          </w:tcPr>
          <w:p>
            <w:pPr>
              <w:spacing w:after="0"/>
              <w:rPr>
                <w:sz w:val="17"/>
                <w:szCs w:val="17"/>
                <w:color w:val="auto"/>
              </w:rPr>
            </w:pPr>
          </w:p>
        </w:tc>
        <w:tc>
          <w:tcPr>
            <w:tcW w:w="6200" w:type="dxa"/>
            <w:vAlign w:val="bottom"/>
            <w:gridSpan w:val="1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Pay Ratio Disclosure</w:t>
              </w:r>
            </w:hyperlink>
          </w:p>
        </w:tc>
        <w:tc>
          <w:tcPr>
            <w:tcW w:w="8220" w:type="dxa"/>
            <w:vAlign w:val="bottom"/>
            <w:gridSpan w:val="40"/>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Summary Compensation Table</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7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Grants of Plan-Based Awards in 2018</w:t>
              </w:r>
            </w:hyperlink>
          </w:p>
        </w:tc>
        <w:tc>
          <w:tcPr>
            <w:tcW w:w="7020" w:type="dxa"/>
            <w:vAlign w:val="bottom"/>
            <w:gridSpan w:val="2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7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Outstanding Equity Awards at 2018 Fiscal Year End</w:t>
              </w:r>
            </w:hyperlink>
          </w:p>
        </w:tc>
        <w:tc>
          <w:tcPr>
            <w:tcW w:w="5980" w:type="dxa"/>
            <w:vAlign w:val="bottom"/>
            <w:gridSpan w:val="11"/>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Option Exercises and Stock Vested in 2018</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28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Potential Payments upon Termination or Change in Control</w:t>
              </w:r>
            </w:hyperlink>
          </w:p>
        </w:tc>
        <w:tc>
          <w:tcPr>
            <w:tcW w:w="5460" w:type="dxa"/>
            <w:vAlign w:val="bottom"/>
            <w:gridSpan w:val="7"/>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400" w:type="dxa"/>
            <w:vAlign w:val="bottom"/>
            <w:gridSpan w:val="4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CERTAIN TRANSACTIONS AND RELATIONSHIPS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Change in Control Agreement</w:t>
              </w:r>
            </w:hyperlink>
          </w:p>
        </w:tc>
        <w:tc>
          <w:tcPr>
            <w:tcW w:w="1180" w:type="dxa"/>
            <w:vAlign w:val="bottom"/>
            <w:tcBorders>
              <w:top w:val="single" w:sz="8" w:color="0000EE"/>
            </w:tcBorders>
            <w:gridSpan w:val="15"/>
          </w:tcPr>
          <w:p>
            <w:pPr>
              <w:spacing w:after="0"/>
              <w:rPr>
                <w:sz w:val="17"/>
                <w:szCs w:val="17"/>
                <w:color w:val="auto"/>
              </w:rPr>
            </w:pPr>
          </w:p>
        </w:tc>
        <w:tc>
          <w:tcPr>
            <w:tcW w:w="6380" w:type="dxa"/>
            <w:vAlign w:val="bottom"/>
            <w:gridSpan w:val="18"/>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Related-Party Transactions Policies and Procedures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980" w:type="dxa"/>
            <w:vAlign w:val="bottom"/>
            <w:gridSpan w:val="10"/>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OWNERSHIP OF COMPANY STOCK</w:t>
              </w:r>
            </w:hyperlink>
          </w:p>
        </w:tc>
        <w:tc>
          <w:tcPr>
            <w:tcW w:w="7500" w:type="dxa"/>
            <w:vAlign w:val="bottom"/>
            <w:gridSpan w:val="30"/>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Security Ownership of Certain Beneficial Owners</w:t>
              </w:r>
            </w:hyperlink>
          </w:p>
        </w:tc>
        <w:tc>
          <w:tcPr>
            <w:tcW w:w="6140" w:type="dxa"/>
            <w:vAlign w:val="bottom"/>
            <w:gridSpan w:val="1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Security Ownership of Management and Directors</w:t>
              </w:r>
            </w:hyperlink>
          </w:p>
        </w:tc>
        <w:tc>
          <w:tcPr>
            <w:tcW w:w="6100" w:type="dxa"/>
            <w:vAlign w:val="bottom"/>
            <w:gridSpan w:val="1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6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Section 16(a) Beneficial Ownership Reporting Compliance</w:t>
              </w:r>
            </w:hyperlink>
          </w:p>
        </w:tc>
        <w:tc>
          <w:tcPr>
            <w:tcW w:w="5480" w:type="dxa"/>
            <w:vAlign w:val="bottom"/>
            <w:gridSpan w:val="8"/>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400" w:type="dxa"/>
            <w:vAlign w:val="bottom"/>
            <w:gridSpan w:val="4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AUDIT COMMITTEE MATTERS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gridSpan w:val="7"/>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Audit Committee Report</w:t>
              </w:r>
            </w:hyperlink>
          </w:p>
        </w:tc>
        <w:tc>
          <w:tcPr>
            <w:tcW w:w="7860" w:type="dxa"/>
            <w:vAlign w:val="bottom"/>
            <w:gridSpan w:val="3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gridSpan w:val="15"/>
          </w:tcPr>
          <w:p>
            <w:pPr>
              <w:spacing w:after="0" w:line="20" w:lineRule="exact"/>
              <w:rPr>
                <w:sz w:val="1"/>
                <w:szCs w:val="1"/>
                <w:color w:val="auto"/>
              </w:rPr>
            </w:pPr>
          </w:p>
        </w:tc>
        <w:tc>
          <w:tcPr>
            <w:tcW w:w="136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960" w:type="dxa"/>
            <w:vAlign w:val="bottom"/>
            <w:tcBorders>
              <w:bottom w:val="single" w:sz="8" w:color="0000EE"/>
            </w:tcBorders>
            <w:gridSpan w:val="39"/>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Policy For Pre-Approval of Audit and Permitted Non-Audit Services</w:t>
              </w:r>
            </w:hyperlink>
          </w:p>
        </w:tc>
        <w:tc>
          <w:tcPr>
            <w:tcW w:w="4780" w:type="dxa"/>
            <w:vAlign w:val="bottom"/>
            <w:gridSpan w:val="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Auditor Fees and Services</w:t>
              </w:r>
            </w:hyperlink>
          </w:p>
        </w:tc>
        <w:tc>
          <w:tcPr>
            <w:tcW w:w="7840" w:type="dxa"/>
            <w:vAlign w:val="bottom"/>
            <w:gridSpan w:val="3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OTHER MATTERS</w:t>
              </w:r>
            </w:hyperlink>
          </w:p>
        </w:tc>
        <w:tc>
          <w:tcPr>
            <w:tcW w:w="8920" w:type="dxa"/>
            <w:vAlign w:val="bottom"/>
            <w:gridSpan w:val="4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400" w:type="dxa"/>
            <w:vAlign w:val="bottom"/>
            <w:gridSpan w:val="4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SHAREHOLDER PROPOSALS FOR THE 2020 ANNUAL MEETING</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Proposals for the Company’s Proxy Material</w:t>
              </w:r>
            </w:hyperlink>
          </w:p>
        </w:tc>
        <w:tc>
          <w:tcPr>
            <w:tcW w:w="1360" w:type="dxa"/>
            <w:vAlign w:val="bottom"/>
            <w:tcBorders>
              <w:top w:val="single" w:sz="8" w:color="0000EE"/>
            </w:tcBorders>
            <w:gridSpan w:val="14"/>
          </w:tcPr>
          <w:p>
            <w:pPr>
              <w:spacing w:after="0"/>
              <w:rPr>
                <w:sz w:val="17"/>
                <w:szCs w:val="17"/>
                <w:color w:val="auto"/>
              </w:rPr>
            </w:pPr>
          </w:p>
        </w:tc>
        <w:tc>
          <w:tcPr>
            <w:tcW w:w="5160" w:type="dxa"/>
            <w:vAlign w:val="bottom"/>
            <w:gridSpan w:val="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740" w:type="dxa"/>
            <w:vAlign w:val="bottom"/>
            <w:gridSpan w:val="4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Proposals to be Introduced at the Annual Meeting but not Intended to be Included in the Company’s Proxy Material</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2019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Wednesday, May 1, 2019, at 2:00 p.m. (Eastern Time) at the Company’s offices, 495 Commerce Drive, Suite 3, Amherst, New York 14228. This proxy statement summarizes the information you need to know to vote by proxy or in person at the Annual Meeting. You do not need to attend the Annual Meeting in person in order to vote.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shareholders of record as of the close of business on Tuesday, March 12, 2019 (the “Record Date”) are entitled to vote at the Annual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9,575,605 shares of Common Stock were issued and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you are considered the shareholder of record with respect to those shares.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 instruction form. Your shares will be voted at the Annual Meeting in the manner you directed. You may also vote your shares in person at the Annual Meeting. If you are a shareholder of record, you may request a ballot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addressed postage paid envelope provided, or you may vote 24 hours a day via the internet or telephone by following the instructions on the enclosed vote instruction form.</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Deloitte &amp; Touche (Proposal 4). Please ensure that you complete the voting instruction card sent by your bank or broker.</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 the following proposals:</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1: the election of seven Directors of the Company;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2: an advisory vote on the compensation of our named executive officers;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3: an advisory vote on the frequency of the advisory vote on the compensation of our named executive officers;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4: the ratification of Deloitte &amp; Touche LLP as the Company’s independent registered public accounting firm for the 2019 fiscal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Richard D. Federico with respect to any other matters that might be brought before the Annual Meeting. Those persons intend to vote that proxy in accordance with their best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our Amended and Restated Articles of Incorporation and Bylaws, directors will be elected by the affirmative vote of the majority of the votes cast with respect to such director’s election.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Proposals 2 and 4 requires an affirmative vote by a majority of the votes cast on each proposal.</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frequency of the advisory vote on the compensation of our named executive officers presented in Proposal 3 will be determined based on the option receiving the greatest number of votes.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paid the entire expense of this proxy statement and any additional materials furnished to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 copy of the Company’s 2018 Annual Report to Shareholders, including financial statements for the fiscal year ended December 31, 2018,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495 Commerce Drive, Suite 3, Amherst, New York 14228, Attention: Secretary or by accessing the “SEC Filings” section of the Company’s website at www.alliedmotion.com. In addition, the Proxy Statement and Annual Report are available on the internet at https://materials.proxyvote.com/019330.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return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April 3,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495 Commerce Drive, Suite 3, Amherst, New York 14228, Attention: Secretary.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7"/>
          <w:szCs w:val="17"/>
          <w:b w:val="1"/>
          <w:bCs w:val="1"/>
          <w:color w:val="auto"/>
        </w:rPr>
        <w:t>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Biographical Information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i w:val="1"/>
          <w:iCs w:val="1"/>
          <w:color w:val="auto"/>
        </w:rPr>
        <w:t>Linda P. Duch</w:t>
      </w:r>
      <w:r>
        <w:rPr>
          <w:rFonts w:ascii="Arial" w:cs="Arial" w:eastAsia="Arial" w:hAnsi="Arial"/>
          <w:sz w:val="17"/>
          <w:szCs w:val="17"/>
          <w:color w:val="auto"/>
        </w:rPr>
        <w:t>, age 64—Ms. Duch was appointed a director of the Company in September 2018. Since 2006, Ms. Duch has served as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for Business, a firm that invests in small to medium size companies looking for capital to expand or restructure their balance sheet. Ms. Duch also selectively engages in consulting assignments for strategic planning, executive coaching, and sales and marketing. Prior to Partners for Business, Ms. Duch was with KeyCorp for fourteen years. During her tenure, she served as President of the Bank’s Western New York district and later as the National Executive for District Management. That role involved coaching district presidents in major markets nationally and developing performance management systems and programs to profitably build market share. Prior to KeyCorp, she spent sixteen years at Empire of America, a multi-state financial institution. Ms. Duch currently serves on the Board of Directors of Merchants Mutual Insurance Company where she chairs the Audit Committee and serves on the Investment Committee. Her broad business and director experience, along with the diversity she brings to the Board, provide her with the tools and perspective to make significant contributions as a Board member.</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Richard D. Federico</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64—Mr. Federico has over forty years of operational, strategy and investment experience. He has served as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2012 and as Lead Director for the past three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operational, financial, technology and investment experience, knowledge of capital markets and experience on other public and private company boards prepare him to give the Board his views on strategic, operational and financial and advanced technology related matters.</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Gerald J. (Bud) Laber</w:t>
      </w:r>
      <w:r>
        <w:rPr>
          <w:rFonts w:ascii="Arial" w:cs="Arial" w:eastAsia="Arial" w:hAnsi="Arial"/>
          <w:sz w:val="17"/>
          <w:szCs w:val="17"/>
          <w:color w:val="auto"/>
        </w:rPr>
        <w:t>, age 75—Mr. Laber has served as a director of the Company since November 2010. He has been a private investor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 when he retired after 33 years of service with Arthur Andersen LLP. He was an audit partner with Arthur Andersen LLP from 1980 until retiring in 2000. Mr. Laber is a Certified Public Accountant and is a member of the American Institute of Certified Public Accountants and the Colorado Society of Certified Public Accountants. Mr. Laber is currently on the board of directors and chair of the audit committee and member of the compensation and governance committees of Scott’s Liquid Gold. He was on the board and chair of the audit committee and member of the compensation and governance and nominating committees for Boulder Brands Inc. from May 2005 through January 2016 when the company was acquired. He served as President of the Catholic Foundation of Northern Colorado from January 2008 until November 2012. He previously served on the Board of Directors and as Chair of the Audit Committee of Spectralink Corporation from April 2004 to March 2007 when the company was acquired, and served on the Board of Directors and Audit Committee of Applied Films Corporation from July 2004 to July 2007 when the company was acquired. He brings to the Board extensive experience in accounting, financial matters and strategic planning and his experience as a director of other public companies gives him insight into governance and related best practices which enable him to make significant contributions as a Board member.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71—Mr. Smith has served as a director of the Company since August 1996. Mr. Smith has broad executive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experience with the Company and extensive knowledge and experience in accounting and financial matters. He served as Chief Financial Officer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1983 until December 1, 2012, as Chief Executive Officer from August 1998 until May 2009 and as Executive Chairman of the Board of Directors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2009 until his retirement in March 2013. Mr. Smith served as non-executive Chairman of the Board from March 2013 until February 2014. He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valuable insight to the Board with respect to the historical and future direction of the Company based on his many years of experience on the Board together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his decades of experience in the industry.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i w:val="1"/>
          <w:iCs w:val="1"/>
          <w:color w:val="auto"/>
        </w:rPr>
        <w:t>James J. Tanous</w:t>
      </w:r>
      <w:r>
        <w:rPr>
          <w:rFonts w:ascii="Arial" w:cs="Arial" w:eastAsia="Arial" w:hAnsi="Arial"/>
          <w:sz w:val="17"/>
          <w:szCs w:val="17"/>
          <w:color w:val="auto"/>
        </w:rPr>
        <w:t>, age 71—Mr. Tanous has served as a director of the Company since May 2014. He is currently the Executive Director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Prentice Family Foundation, a not-for-profit foundation whose primary mission is to promote the economic development of the Western New York area, a position he has held since January 1,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65—Mr. Warzala has a strong management and technical background in the motion control industry and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the 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 agreement, as long as Mr. Warzala is Chief Executive Officer and is willing to serve, the Board of Directors will nominate him for election to the Board. His leadership experience and Company and industry knowledge, with 32 years of motion experience, provide valuable insight to the Board of Directors in formulating and executing the Company’s strategy. Mr. Warzala has also served on the Board of Directors of Astronova, Inc. since December 2017.</w:t>
      </w:r>
    </w:p>
    <w:p>
      <w:pPr>
        <w:spacing w:after="0" w:line="1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i w:val="1"/>
          <w:iCs w:val="1"/>
          <w:color w:val="auto"/>
        </w:rPr>
        <w:t>Michael R. Winter</w:t>
      </w:r>
      <w:r>
        <w:rPr>
          <w:rFonts w:ascii="Arial" w:cs="Arial" w:eastAsia="Arial" w:hAnsi="Arial"/>
          <w:sz w:val="18"/>
          <w:szCs w:val="18"/>
          <w:color w:val="auto"/>
        </w:rPr>
        <w:t>, age 65—Mr. Winter was appointed a director of the Company in July 2014. Mr. Winter is a former partner in the Buffalo,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office 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 Mr. Winter served on the Board of Directors of Gas Natural, Inc. (EGAS) from October 2014 through its sale in August 2017. His accounting and business expertise, including an in-depth understanding of the preparation and analysis of financial statements, makes him highly qualified to serve as a director.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and Mr. Smith, satisfies the bright-line criteria and that no other director or nominee has a relationship with the Company that would interfere with such person’s ability to exercise independent judgment as a member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long-standing experience with the Company, it is valuable to have him lead board discussions.</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To provide for an additional independent leadership role, the Board of Directors has designated Richard D. Federico, as Lead Director. The Lead Director is an independent director chosen by the Board. The Lead Director’s responsibilities include: providing leadership to ensure that 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matters; convening meetings of the independent directors; and consulting with the Chairman on matters relating to Board of Director performance and corporate governance.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Another component of our leadership structure is the active role played by our independent directors in overseeing the Company’s business, both at the Board and Committee level. Five of the seven director nominees are considered independent under the corporate governance standards of the Nasdaq Global Market. All of our Directors are free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8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495 Commerce Drive, Suite 3, Amherst, New York 14228. Correspondence directed to an individual board member will be referred to that member. Correspondence not directed to a particular board member will be referred to the Lead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7"/>
          <w:szCs w:val="17"/>
          <w:b w:val="1"/>
          <w:bCs w:val="1"/>
          <w:color w:val="auto"/>
        </w:rPr>
        <w:t>and Meeting Data</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81"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ten meetings during 2018 and consisted of Messrs. Winter (Chairman), Laber, Tanous and Tevens for the full year. Ms. Duch joined the committee in October 2018. Each member of the Audit Committee meets the current independence and experience requirements of Nasdaq and the SEC. Mr. Winter has been designated as an “Audit Committee financial expert” in accordance with the SEC rules and regulations and qualifies as a financially sophisticated audit committee member under the Nasdaq listing standards. See “Report of the Audit Committee” below.</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Compensation Committee also reviews and approves to the Board for their approval all awards granted under the Company’s stock incentive plan and performs other functions regarding compensation as the Board may delegate. In 2018, under the direction of the Compensation Committee, the Company retained The Burke Group, an independent compensation consultant, to report on peer compensation plans and provide feedback on compensation plan alternatives being considered by the Company and the Compensation Committee. The Compensation Committee met ten times during 2018 and consisted of Mr. Tevens (Chairman since May 2018), Messrs. Federico and Laber and Ms. Duch (since October 2018).</w:t>
      </w:r>
    </w:p>
    <w:p>
      <w:pPr>
        <w:spacing w:after="0" w:line="17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Governance and Nominating Committee of our Board of Directors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committee met five times during 2018 and consisted of Messrs. Tanous (Chairman), Federico and Winter.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 Management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oversees our risk management process. This oversight is primarily accomplished through the Board’s committees and management’s reporting processes. We do not have a formal risk committee; however, our Audit Committee is responsible for overseeing risks arising out of accounting, financial reporting and related activities and is primarily responsible for ensuring that the Board exercises adequate oversight of the Company’s enterprise risk management process. Our Compensation Committee reviews compensation agreements to confirm that compensation, especially incentive pay arrangements, do not encourage or create opportunities for unnecessary risk-taking and our Governance and Nominating Committee assists the Board in its oversight of the Company’s process for management and communication of key risks facing the Company, as well as the guidelines, policies and processes for monitoring and mitigating such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Bylaws and Corporate Governance Principles provide that directors may not be nominated to a new term if they will be age 75 or over at the expiration of his or her current term, unless the Board waives the mandatory retirement age for a specific director. Mr. Laber is being nominated for election to the Board at the 2019 Annual Meeting, although he is age 75. Based on the recommendation of the Governance and Nominating Committee, the Board has waived the mandatory retirement requirement for Mr. Laber for this year as he is a key Board member, serving on both our Audit and Compensation Committees. Should Mr. Laber be reelected by our shareholders to serve on our Board for an additional term beginning May 1, 2019, we expect that he will not stand for reelection at the 2020 annual meeting.</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2020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Board of Directors held five meetings in 2018. Our Independent Directors meet in executive session without management directors or management present. These sessions generally take place prior to or following regularly scheduled board meetings. The directors met in such sessions four times during 2018. Our Corporate Governance Principles provide that all directors are expected to regularly attend all meetings of the Board and the Board committees on which he serves. In 2018, each director attended 100% of the total number of meetings of the Board of Directors and substantially all (greater than 93%) of the total number of meetings held by committees of the Board of Directors on which he or she served. In addition, each director is expected to attend the Annual Meeting of Shareholders. In 2018, the Annual Meeting of Shareholders was attended by all of the directors then in office.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noted above, the Compensation Committee is comprised of four independent Directors: Messrs. Federico, Laber and Tevens and Ms. Duch.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2018</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Under the Company’s director compensation program, each non-employee director receives an annual cash retainer of $46,350, paid quarterly. The chairperson of the Audit Committee receives an additional $12,875 annual cash retainer and other members of the Audit Committee receive an additional annual cash retainer in the amount of $7,725. The chairperson of the Compensation Committee and the Corporate Governance and Nominating Committee each receive an additional $8,240 annual cash retainer and other members of those committees will receive an additional annual cash retainer in the amount of $5,150. The Lead Director receives an additional $20,600 annual cash retainer. All cash retainers are payable ratably on a quarterly basis. Additionally, each non-employee director is reimbursed for his or her expenses in connection with attendance at each meeting.</w:t>
      </w:r>
    </w:p>
    <w:p>
      <w:pPr>
        <w:spacing w:after="0" w:line="165"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Non-employee directors also receive an annual award of restricted stock under the 2017 Omnibus Incentive Plan. The annual award consists of shares of the Company’s common stock with a value of $51,500 as of the date of grant. The Lead Director receives an additional award of restricted stock with a value of $10,300 as of the date of grant. Directors who are appointed to the Board outside of the annual meeting of shareholders receive a pro rata amount of the annual award. These restricted shares will vest over a twelve-month period upon the performance of future service as a director, subject to certain exceptions.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compensation paid by the Company to each non-employee director for 2018.</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Fees Earned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All other</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or Paid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 Cash</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9"/>
              </w:rPr>
              <w:t>($)(1)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Linda P. Duch</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Richard D. Federico</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67,475</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72,147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Gerald J. (Bud) Laber</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Richard D. Smith</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45,675</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51,516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26,500(2)</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61,408</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Timothy T. Tevens</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59,908</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51,516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Michael R. Winter</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grant date fair value of stock awards on the date of the award as reported on the Nasdaq Global Market on the date of grant.</w:t>
      </w:r>
    </w:p>
    <w:p>
      <w:pPr>
        <w:spacing w:after="0" w:line="248" w:lineRule="exact"/>
        <w:rPr>
          <w:rFonts w:ascii="Arial" w:cs="Arial" w:eastAsia="Arial" w:hAnsi="Arial"/>
          <w:sz w:val="16"/>
          <w:szCs w:val="16"/>
          <w:color w:val="auto"/>
        </w:rPr>
      </w:pPr>
    </w:p>
    <w:p>
      <w:pPr>
        <w:ind w:left="980" w:right="120" w:hanging="324"/>
        <w:spacing w:after="0" w:line="259" w:lineRule="auto"/>
        <w:tabs>
          <w:tab w:leader="none" w:pos="987"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Smith served as Executive Chairman of the Board and Chief Financial Officer until his retirement in March 2013. The Company entered into a five-year consulting agreement with Mr. Smith effective upon his retirement pursuant to which Mr. Smith received an annual consulting fee, paid monthly, and was available to work part time as an independent contractor on assignments as requested by the Chief Executive Officer and agreed upon by Mr. Smith. The agreement expired March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2018 is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5420" w:type="dxa"/>
            <w:vAlign w:val="bottom"/>
            <w:gridSpan w:val="3"/>
          </w:tcPr>
          <w:p>
            <w:pPr>
              <w:jc w:val="center"/>
              <w:ind w:left="397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Linda P. Duch</w:t>
            </w:r>
          </w:p>
        </w:tc>
        <w:tc>
          <w:tcPr>
            <w:tcW w:w="3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Richard D. Federico</w:t>
            </w:r>
          </w:p>
        </w:tc>
        <w:tc>
          <w:tcPr>
            <w:tcW w:w="5520" w:type="dxa"/>
            <w:vAlign w:val="bottom"/>
            <w:gridSpan w:val="4"/>
          </w:tcPr>
          <w:p>
            <w:pPr>
              <w:jc w:val="right"/>
              <w:ind w:right="100"/>
              <w:spacing w:after="0"/>
              <w:rPr>
                <w:sz w:val="20"/>
                <w:szCs w:val="20"/>
                <w:color w:val="auto"/>
              </w:rPr>
            </w:pPr>
            <w:r>
              <w:rPr>
                <w:rFonts w:ascii="Arial" w:cs="Arial" w:eastAsia="Arial" w:hAnsi="Arial"/>
                <w:sz w:val="18"/>
                <w:szCs w:val="18"/>
                <w:color w:val="auto"/>
              </w:rPr>
              <w:t>3,920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Gerald J. (Bud) Laber</w:t>
            </w:r>
          </w:p>
        </w:tc>
        <w:tc>
          <w:tcPr>
            <w:tcW w:w="5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Richard D. Smith</w:t>
            </w:r>
          </w:p>
        </w:tc>
        <w:tc>
          <w:tcPr>
            <w:tcW w:w="5520" w:type="dxa"/>
            <w:vAlign w:val="bottom"/>
            <w:gridSpan w:val="4"/>
          </w:tcPr>
          <w:p>
            <w:pPr>
              <w:jc w:val="right"/>
              <w:ind w:right="100"/>
              <w:spacing w:after="0"/>
              <w:rPr>
                <w:sz w:val="20"/>
                <w:szCs w:val="20"/>
                <w:color w:val="auto"/>
              </w:rPr>
            </w:pPr>
            <w:r>
              <w:rPr>
                <w:rFonts w:ascii="Arial" w:cs="Arial" w:eastAsia="Arial" w:hAnsi="Arial"/>
                <w:sz w:val="18"/>
                <w:szCs w:val="18"/>
                <w:color w:val="auto"/>
              </w:rPr>
              <w:t>2,826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5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Timothy T. Tevens</w:t>
            </w:r>
          </w:p>
        </w:tc>
        <w:tc>
          <w:tcPr>
            <w:tcW w:w="5520" w:type="dxa"/>
            <w:vAlign w:val="bottom"/>
            <w:gridSpan w:val="4"/>
          </w:tcPr>
          <w:p>
            <w:pPr>
              <w:jc w:val="right"/>
              <w:ind w:right="100"/>
              <w:spacing w:after="0"/>
              <w:rPr>
                <w:sz w:val="20"/>
                <w:szCs w:val="20"/>
                <w:color w:val="auto"/>
              </w:rPr>
            </w:pPr>
            <w:r>
              <w:rPr>
                <w:rFonts w:ascii="Arial" w:cs="Arial" w:eastAsia="Arial" w:hAnsi="Arial"/>
                <w:sz w:val="18"/>
                <w:szCs w:val="18"/>
                <w:color w:val="auto"/>
              </w:rPr>
              <w:t>1,464</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Michael R. Winter</w:t>
            </w:r>
          </w:p>
        </w:tc>
        <w:tc>
          <w:tcPr>
            <w:tcW w:w="5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2,826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780" w:type="dxa"/>
            <w:vAlign w:val="bottom"/>
          </w:tcPr>
          <w:p>
            <w:pPr>
              <w:jc w:val="right"/>
              <w:ind w:right="2032"/>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Guidelines for Directors and Officers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order to enhance the alignment of the interests of the directors and management with shareholders, the Company has instituted ownership guidelines for directors and officers. Each director who has served for at least five years should own shares of Common Stock with a market value of a minimum of three times the annual cash and stock retainer fee payable to a director. Within five years of their election, officers of the Company are required to own shares of Common Stock having a market value equal to or greater than the following multiples of their base salary: (1) President and Chief Executive Officer: five times annual base salary; (2) Chief Financial Officer and Vice President of Operational Excellence: three times annual base salary; and (3) all other Section 16 officers: one times annual base salary.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Board of Directors currently has eight members: Linda P. Duch, Richard D. Federico, Gerald J. (Bud) Laber, Richard D. Smith, James J. Tanous, Timothy T. Tevens, Richard S. Warzala and Michael R. Winter. Mr. Tevens is not standing for re-election to the Board after his current term expires immediately prior to the Annual Meeting. Accordingly, the number of authorized directors will be reduced to seven and all seven positions on the Board are to be filled by vote of the shareholders at the Annual Meeting. The affirmative vote of a majority of the votes cast is required for the election of directors. Unless instructed otherwise, it is intended that the shares represented by proxy at the Annual Meeting will be voted in favor of the seven nominees named below, each of whom was nominated by the Board based on the recommendation of our Governance and Nominating Committee. Each nominee is an incumbent director standing for re-election and all nominees have agreed to serve if elected.</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2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Information regarding the director nominees can be found under “Corporate Governance and Board Matters — Director Qualifications and Biographical Information.”</w:t>
      </w:r>
    </w:p>
    <w:p>
      <w:pPr>
        <w:spacing w:after="0" w:line="166"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THAT SHAREHOLDERS VOTE “FOR” THE ELECTION OF EACH OF THE NOMINEES.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for or against the following resolution, or you may abstain. This vote is not intended to address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specific item of compensation, but rather the overall compensation of our Named Executive Officers and the philosophy, policies and procedures described in this Proxy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asking shareholders to vote on the following resolution at the Meeting:</w:t>
      </w:r>
    </w:p>
    <w:p>
      <w:pPr>
        <w:spacing w:after="0" w:line="22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143"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THE FOREGOING RESOLUTION. UNLESS OTHERWISE INSTRUCTED, PROXIES WILL BE VOTED “FOR” THE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on the Frequency of Future Advisory Votes on Executive Compensation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addition to providing our shareholders with the opportunity to cast an advisory vote on executive compensation, we are also seeking an advisory, nonbinding vote on how frequently the advisory vote on executive compensation should be presented to shareholders, as required by SEC rules. You may vote your shares to have the advisory vote held annually, every two years, every three years, or you may abstain.</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Since 2013, our Board has provided shareholders with an opportunity to vote on executive compensation at every annual meeting. The Board continues to believe that advisory votes on executive compensation should be conducted every year so that shareholders may annually express their views on our executive compensation programs, which feedback the Compensation Committee considers in structuring future compensation programs.</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recognizes that the shareholders may have different views as to the best approach for the Company, and therefore we look forward to hearing from our shareholders as to their preferences on the frequency of an advisory vote on executive compensation.</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non-binding vote on the frequency of future advisory votes on executive compensation will be the frequency receiving the greatest number of votes at the annual meeting. Neither abstentions nor broker non-votes will have any legal effect on whether this proposal is approved. While this vote is advisory and not binding on our Company, the Board expects to take into account the outcome of the vote, along with other relevant factors, when considering future advisory votes on executive compensation.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UNANIMOUSLY RECOMMENDS AN ANNUAL EXECUTIVE COMPENSATION ADVISORY VOTE.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UNLESS OTHERWISE INSTRUCTED, PROXIES WILL BE VOTED FOR A FREQUENCY OF EVERY ONE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Advisory Vote on the Ratification of Independent Registered Public Accounting Firm</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Audit Committee is responsible for the appointment, fees and oversight of the Company’s independent registered public accounting firm. In 2018, as part of its governance oversight, the Audit Committee conducted a comprehensive, competitive process to select the company’s independent registered public accounting firm. The Audit Committee invited several public accounting firms to participate in this process, including EKS&amp;H LLP. As a result of this process, on August 1, 2018, the Audit Committee approved the appointment of Deloitte &amp; Touche LLP, as the company’s independent registered public accounting firm for the fiscal year ending December 31, 2018. This action effectively dismissed EKS&amp;H as the Company’s independent registered public accounting firm.</w:t>
      </w:r>
    </w:p>
    <w:p>
      <w:pPr>
        <w:spacing w:after="0" w:line="19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audit reports of EKS&amp;H LLP on the Company’s financial statements for the past two fiscal years did not contain an adverse opinion or a disclaimer of opinion and were not qualified or modified as to uncertainty, audit scope or accounting principles. During the previous two most recent fiscal years and through August 1, 2018, there were no disagreements with EKS&amp;H LLP on any matter of accounting principles or practices, financial statement disclosures, or auditing scope or procedure, which disagreements, if not resolved to the satisfaction of EKS&amp;H LLP, would have caused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EKS&amp;H LLP to make reference to the subject matter of the disagreements in connection with its reports on the Company’s financial statements for such periods. Also during the two most recent fiscal years and through August 1, 2018, there were no “reportable events” as described in Item 304(a)(1)(v) of Regulation S-K. The Company requested that EKS&amp;H LLP furnish it with a letter addressed to the SEC stating whether or not EKS&amp;H LLP agreed with the above statements. A copy of such letter, dated August 1, 2018, was filed as Exhibit 16.1 to the Company’s Current Report on Form 8-K filed on August 7, 2018.</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Company’s two most recent fiscal years and through August 1, 2018, neither the Company nor anyone acting on its behalf consulted with Deloitte &amp; Touche regarding any of the matters described in Items 304(a)(2)(i) and (ii) of Regulation S-K.</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Representatives of Deloitte &amp; Touche LLP are expected to be present at the Annual Meeting, will have the opportunity to make a statement if they desire to do so and are expected to be available to respond to appropriate questions.</w:t>
      </w:r>
    </w:p>
    <w:p>
      <w:pPr>
        <w:spacing w:after="0" w:line="170"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the Annual Meeting, the shareholders will be asked to ratify the selection of Deloitte &amp; Touche LLP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Deloitte &amp; Touche LLP as the Company’s independent public accounting firm for 2019.</w:t>
      </w:r>
    </w:p>
    <w:p>
      <w:pPr>
        <w:spacing w:after="0" w:line="16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UNLESS OTHERWISE INSTRUCTED, PROXIES WILL BE VOTED “FOR” THE RATIFICATION.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65—Mr. Warzala has served as director of the Company since August 2006 and as Chairman of the Board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w:t>
      </w:r>
    </w:p>
    <w:p>
      <w:pPr>
        <w:spacing w:after="0" w:line="17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b w:val="1"/>
          <w:bCs w:val="1"/>
          <w:i w:val="1"/>
          <w:iCs w:val="1"/>
          <w:color w:val="auto"/>
        </w:rPr>
        <w:t>Michael R. Leach</w:t>
      </w:r>
      <w:r>
        <w:rPr>
          <w:rFonts w:ascii="Arial" w:cs="Arial" w:eastAsia="Arial" w:hAnsi="Arial"/>
          <w:sz w:val="17"/>
          <w:szCs w:val="17"/>
          <w:color w:val="auto"/>
        </w:rPr>
        <w:t>, age 50—Mr. Leach was named Chief Financial Officer of the Company in August 2015. Prior to joining Allied Motion,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b w:val="1"/>
          <w:bCs w:val="1"/>
          <w:i w:val="1"/>
          <w:iCs w:val="1"/>
          <w:color w:val="auto"/>
        </w:rPr>
        <w:t xml:space="preserve">Robert P. Maida, </w:t>
      </w:r>
      <w:r>
        <w:rPr>
          <w:rFonts w:ascii="Arial" w:cs="Arial" w:eastAsia="Arial" w:hAnsi="Arial"/>
          <w:sz w:val="16"/>
          <w:szCs w:val="16"/>
          <w:color w:val="auto"/>
        </w:rPr>
        <w:t>age 54—Mr. Maida was named Vice President of Operational Excellence of the Company in August 2015. Mr. Maida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from December 2012 until August 2015. Prior to joining Allied Motion he worked for over two 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76—Mr. Wyman was named Vice President of Marketing of the Company in February 2003. He was designated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in February 2005. From 2000 to 2002, he was Vice President of Marketing for the Motion Components Group of Danaher Corporation. In 1995, Mr. Wyman joined API Motion as Director of Marketing, and later was named Vice President of Marketing.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OF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7"/>
          <w:szCs w:val="17"/>
          <w:b w:val="1"/>
          <w:bCs w:val="1"/>
          <w:color w:val="auto"/>
        </w:rPr>
        <w:t>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Compensation Program</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Compensation Committee of the Board, which is comprised of independent directors, establishes the Company’s compensation philosophy. The Committee operates under a written charter adopted by the Board, a copy of which is available on the Company’s website at www.alliedmotion.com. The Committee ensures that the total compensation of the Company’s executive officers and other key management is fair, reasonable and competitive. The Committee annually evaluates the performance of the Company’s Chief Executive Officer based upon a mix of the achievement of corporate goals and individual performance and makes decisions concerning compensation and benefits for executive officers and other key management. All compensation for these individuals is approved by the Board.</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Committee meets with Mr. Warzala, the Company’s Chief Executive Officer and President, to obtain his recommendations with respect to key management compensation programs and practices, base salaries, incentive plan targets and equity awards. The Committee considers, but is not bound to accept management’s recommendations. The Committee discusses Mr. Warzala’s compensation with him, but makes decisions regarding his recommended compensation without him present.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has authorized Mr. Warzala to make salary adjustments for all employees other than executive officers and other key management.</w:t>
      </w:r>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2018, under the direction of the Committee, the Company retained The Burke Group, an independent compensation consultant, to provide input on trends in executive compensation, to obtain an outside perspective on the Company’s executive compensation practices and to assist with the Committee’s peer group benchmarking analysis for 2019. The Compensation Committee met several times over the later part of 2018 and early 2019 to review executive compensation programs and levels. The results of this analysis and discussion are anticipated to be implemented with respect to 2019 executive compensation which will be summarized in the 2020 proxy statement.</w:t>
      </w:r>
    </w:p>
    <w:p>
      <w:pPr>
        <w:spacing w:after="0" w:line="188"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Committee also grants equity based awards. However, the Committee has from time to time delegated to Mr. Warzala the authority to grant restricted stock awards to employees other than executive officers or key management in limited annual amounts. Such awards made by Mr. Warzala are generally intended to be used for recruiting and employee promotion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described above, during 2018 the Company engaged The Burke Group as its compensation consultant. The compensation consultant reports directly to the Compensation Committee and carries out responsibilities as assigned by the Committee. The Compensation Committee has the sole authority to retain and terminate the compensation consultant and to approve the compensation consultant’s fees and all other terms of the engagement. The Committee exercised this authority to engage The Burke Group and has direct access to them throughout the year.</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regularly reviews the services provided by its outside consultants and believes that the Burke Group is independent in providing executive compensation consulting services. The Compensation Committee conducted a specific review of its relationship with Burke in 2018 and determined that Burke’s work for the Compensation Committee did not raise any conflicts of interest, consistent with the guidance provided under the Dodd-Frank Wall Street Reform and Consumer Protection Act, the SEC and the Nasdaq Global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goals of the Company’s compensation policies for the executive officers and other key management are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56"/>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provide total compensation opportunities for executive officers and other key management which are sufficient to attract and retain individuals whose talents and abilities allow the Company to accomplish its strategies.</w:t>
      </w:r>
    </w:p>
    <w:p>
      <w:pPr>
        <w:spacing w:after="0" w:line="170" w:lineRule="exact"/>
        <w:rPr>
          <w:rFonts w:ascii="Arial" w:cs="Arial" w:eastAsia="Arial" w:hAnsi="Arial"/>
          <w:sz w:val="18"/>
          <w:szCs w:val="18"/>
          <w:color w:val="auto"/>
        </w:rPr>
      </w:pPr>
    </w:p>
    <w:p>
      <w:pPr>
        <w:ind w:right="80" w:firstLine="656"/>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align the interests of management with shareholders through the use of incentive compensation directly related to corporate performance and through the use of stock-based incentives that result in increased Company Stock ownership by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Most Recent Say on Pay Vote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At the annual meeting of shareholders on May 2, 2018, 97.3% of the shares voted were voted in support of the compensation of our Named Officers, as discussed and disclosed in the 2018 proxy statement. In considering the results of this most recent advisory vote on executive compensation, the Committee concluded that the compensation paid to our executive officers and the Company’s overall pay practices have strong shareholder support and no significant changes were made for 2018. Notwithstanding the support for our compensation practices as evidenced by such vote, to further align the interests of shareholders and management the Company retained the Burke Group to examine its compensation program for its named executive officers for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executive compensation are:</w:t>
      </w:r>
    </w:p>
    <w:p>
      <w:pPr>
        <w:spacing w:after="0" w:line="225" w:lineRule="exact"/>
        <w:rPr>
          <w:sz w:val="20"/>
          <w:szCs w:val="20"/>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Cash Incentive Compensation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 Incentive Compensation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Base compensation is comprised of the annual salary and is set at levels sufficient to attract and retain executives. In determining Mr. Warzala’s base compensation, the Committee considers market data and performance during the previous year as well as goals and objectives for the current year. In determining other base compensation levels, the Committee reviews and considers the evaluation and recommendation by Mr. Warzala of each key manager’s performance during the prior year and responsibilities for the current year. During the review of base compensation, the Committee also considers the executive’s or manager’s qualifications and experience, scope of responsibilities and future potential, the goals and objectives established for the individual, his or her past performance and competitive compensation practices both internally and externally.</w:t>
      </w:r>
    </w:p>
    <w:p>
      <w:pPr>
        <w:spacing w:after="0" w:line="16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u w:val="single" w:color="auto"/>
          <w:color w:val="auto"/>
        </w:rPr>
        <w:t>Annual Cash Incentive Plan</w:t>
      </w:r>
      <w:r>
        <w:rPr>
          <w:rFonts w:ascii="Arial" w:cs="Arial" w:eastAsia="Arial" w:hAnsi="Arial"/>
          <w:sz w:val="17"/>
          <w:szCs w:val="17"/>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controlling capital. Awards under the plan are based on the actual Economic Value Added (EVA) achieved as compared against threshold and target EVA performance goals established for each year by the Board of Directors.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 with the total award being a prorata percent of the incremental EVA achieved above the target EVA. The target bonus for 2018 was 70% for Mr. Warzala and 40% for each of Messrs. Leach and Maida.</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u w:val="single" w:color="auto"/>
          <w:color w:val="auto"/>
        </w:rPr>
        <w:t>Equity Incentive Compensation</w:t>
      </w:r>
      <w:r>
        <w:rPr>
          <w:rFonts w:ascii="Arial" w:cs="Arial" w:eastAsia="Arial" w:hAnsi="Arial"/>
          <w:sz w:val="18"/>
          <w:szCs w:val="18"/>
          <w:color w:val="auto"/>
        </w:rPr>
        <w:t>. The equity incentive compensation program is comprised of restricted stock awards that are (i) time-based and vest, assuming continued employment, over a three-year period from the date of grant, (ii) earned upon achievement of certain short-term, annually determined performance criteria (STIP) and (iii) earned upon achievement of longer-term performance goals (LTIP).</w:t>
      </w:r>
    </w:p>
    <w:p>
      <w:pPr>
        <w:spacing w:after="0" w:line="181" w:lineRule="exact"/>
        <w:rPr>
          <w:sz w:val="20"/>
          <w:szCs w:val="20"/>
          <w:color w:val="auto"/>
        </w:rPr>
      </w:pPr>
    </w:p>
    <w:p>
      <w:pPr>
        <w:ind w:left="660" w:right="200" w:firstLine="645"/>
        <w:spacing w:after="0" w:line="302" w:lineRule="auto"/>
        <w:tabs>
          <w:tab w:leader="none" w:pos="19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Time-Based Awards. The annual time-based restricted stock awards for the Chief Executive Officer, Chief Financial Officer and Vice President of Operational Excellence are equal to a percentage of the officer’s then annual salary divided by the fair market value (closing Company stock price) on the grant date. In March 2018, the Compensation Committee recommended and the Board granted Mr. Warzala 5,286 shares of time-based restricted stock (33.3% of annual salary), Mr. Leach 1,310 shares (15% of annual salary) and Mr. Maida 1,126</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shares (15% of annual salary). The Compensation Committee recommended and the Board also granted an award of time-based restricted stock to Mr. Wyman (210 shares). The time-based awards will vest 1/3 on each of March 31, 2019, 2020 and 2021.</w:t>
      </w:r>
    </w:p>
    <w:p>
      <w:pPr>
        <w:spacing w:after="0" w:line="170" w:lineRule="exact"/>
        <w:rPr>
          <w:sz w:val="20"/>
          <w:szCs w:val="20"/>
          <w:color w:val="auto"/>
        </w:rPr>
      </w:pPr>
    </w:p>
    <w:p>
      <w:pPr>
        <w:ind w:left="660" w:right="40" w:firstLine="645"/>
        <w:spacing w:after="0" w:line="286" w:lineRule="auto"/>
        <w:tabs>
          <w:tab w:leader="none" w:pos="19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Short-Term Equity Incentive Program (STIP). The STIP is a pay-for-performance incentive program under which restricted stock is awarded annually and is earned upon the achievement of certain annually determined performance criteria. The Compensation Committee uses adjusted EBITDA and consolidated sales (STIP Sales) as the performance criteria under the STIP program with each performance metric comprising 50% of the total STIP award. The EBITDA target is equal to the weighted average of the EBITDA of the Company, adjusted to account for business development costs relating to acquisitions, for the immediately preceding three year period. The EBITDA threshold is 95% of target and the high performance measure is 105% of target. If the high performance measure is achieved or exceeded, then all of the STIP EBITDA shares will be earned. If the Company’s actual results are less than the high performance measure but greater than the threshold, then the STIP EBITDA shares will be earned on a prorata basis. If the Company’s actual results are less than the threshold, then no STIP EBITDA shares will be earned. The STIP Sales target is equal to 105% of the previous year’s consolidated sales and the threshold is 100% of the previous year’s consolidated sales. If the STIP Sales target is achieved or exceeded, then all of the STIP Sales shares will be earned. If the STIP Sales threshold is achieved or exceeded, then 50% of the STIP Sales shares will be earned. If the actual STIP Sales are less than the STIP Sales target, but greater than the threshold, the STIP Sales shares will be earned on a prorated basis. If the actual STIP Sales results are less than the threshold, then no STIP Sales shares will be earned. Any unearned STIP shares will be forfeited and returned to the Omnibus Incentive Plan and will be available for future awards. Once earned, the STIP shares will vest over a three-year period. The Board of Directors is allowed to change the terms of the STIP at any time taking into consideration the relationship of the incentive pay earned to the increase in profitability achieved for any period.</w:t>
      </w:r>
    </w:p>
    <w:p>
      <w:pPr>
        <w:spacing w:after="0" w:line="169" w:lineRule="exact"/>
        <w:rPr>
          <w:sz w:val="20"/>
          <w:szCs w:val="20"/>
          <w:color w:val="auto"/>
        </w:rPr>
      </w:pPr>
    </w:p>
    <w:p>
      <w:pPr>
        <w:ind w:left="660" w:right="20" w:firstLine="648"/>
        <w:spacing w:after="0" w:line="276" w:lineRule="auto"/>
        <w:rPr>
          <w:sz w:val="20"/>
          <w:szCs w:val="20"/>
          <w:color w:val="auto"/>
        </w:rPr>
      </w:pPr>
      <w:r>
        <w:rPr>
          <w:rFonts w:ascii="Arial" w:cs="Arial" w:eastAsia="Arial" w:hAnsi="Arial"/>
          <w:sz w:val="17"/>
          <w:szCs w:val="17"/>
          <w:color w:val="auto"/>
        </w:rPr>
        <w:t>The annual STIP awards for the Chief Executive Officer, Chief Financial Officer and Vice President of Operational Excellence are equal to a percentage of the officer’s then annual salary divided by the fair market value (closing Company stock price) on the grant date.. In March 2018, the Compensation Committee approved the award of 10,472 STIP shares for Mr. Warzala (66.7% of annual salary), 2,184 shares for Mr. Leach (25% of annual salary) and 1,877 shares for Mr. Maida (25% of annual salary). The Compensation Committee also made an award of 420 shares for Mr. Wyman. The STIP awards are each in the form of restricted stock.</w:t>
      </w:r>
    </w:p>
    <w:p>
      <w:pPr>
        <w:spacing w:after="0" w:line="173" w:lineRule="exact"/>
        <w:rPr>
          <w:sz w:val="20"/>
          <w:szCs w:val="20"/>
          <w:color w:val="auto"/>
        </w:rPr>
      </w:pPr>
    </w:p>
    <w:p>
      <w:pPr>
        <w:ind w:left="660" w:right="320" w:firstLine="648"/>
        <w:spacing w:after="0" w:line="277" w:lineRule="auto"/>
        <w:rPr>
          <w:sz w:val="20"/>
          <w:szCs w:val="20"/>
          <w:color w:val="auto"/>
        </w:rPr>
      </w:pPr>
      <w:r>
        <w:rPr>
          <w:rFonts w:ascii="Arial" w:cs="Arial" w:eastAsia="Arial" w:hAnsi="Arial"/>
          <w:sz w:val="18"/>
          <w:szCs w:val="18"/>
          <w:color w:val="auto"/>
        </w:rPr>
        <w:t>For 2018, the Company exceeded the highest performance measure for both the STIP EBITDA and STIP Sales criteria and 100% of the STIP award was earned.</w:t>
      </w:r>
    </w:p>
    <w:p>
      <w:pPr>
        <w:spacing w:after="0" w:line="170" w:lineRule="exact"/>
        <w:rPr>
          <w:sz w:val="20"/>
          <w:szCs w:val="20"/>
          <w:color w:val="auto"/>
        </w:rPr>
      </w:pPr>
    </w:p>
    <w:p>
      <w:pPr>
        <w:ind w:left="660" w:right="100" w:firstLine="645"/>
        <w:spacing w:after="0" w:line="291" w:lineRule="auto"/>
        <w:tabs>
          <w:tab w:leader="none" w:pos="19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Long-Term Equity Incentive Program (LTIP). The LTIP is a multi-year pay-for-performance incentive program under which the Chief Executive Officer, Chief Financial Officer and Vice President of Operational Excellence will earn restricted stock awards based upon the achievement of an increase in sales during various five-year performance periods, the last of which ends on December 31, 2022. The LTIP was first implemented in 2013 and has been revised and extended as performance goals were achieved. The LTIP currently extends through December 31, 2022 and the sales target to be achieved to earn all restricted share awards available is $500 million (the “LTIP Sales Target”). The LTIP Sales Target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167" w:lineRule="exact"/>
        <w:rPr>
          <w:sz w:val="20"/>
          <w:szCs w:val="20"/>
          <w:color w:val="auto"/>
        </w:rPr>
      </w:pPr>
    </w:p>
    <w:p>
      <w:pPr>
        <w:ind w:left="660" w:firstLine="648"/>
        <w:spacing w:after="0" w:line="288" w:lineRule="auto"/>
        <w:rPr>
          <w:sz w:val="20"/>
          <w:szCs w:val="20"/>
          <w:color w:val="auto"/>
        </w:rPr>
      </w:pPr>
      <w:r>
        <w:rPr>
          <w:rFonts w:ascii="Arial" w:cs="Arial" w:eastAsia="Arial" w:hAnsi="Arial"/>
          <w:sz w:val="16"/>
          <w:szCs w:val="16"/>
          <w:color w:val="auto"/>
        </w:rPr>
        <w:t>Under the current terms of the LTIP, for each $30 million increase in sales up to the LTIP Sales Target, each executive earns restricted stock awards equal to a percentage of his annual salary at the beginning of the performance period as follows: 100% for Mr. Warzala, 25% for Mr. Leach and 25% for Mr. Maida. The LTIP performance criteria for organic sales growth is measured after the end of each year of the performance period and the number of shares that can be earned with respect to a performance period is calculated based on the Company stock price (average of bid and ask) as measured at the beginning of the applicable performance period. The restricted stock awards that are earned based on actual organic sales growth will vest over a three-year period. The measurement of performance criteria for acquired sales is done as of the closing date for an acquisition during a performance period and the number of shares of restricted stock earned will be calculated based on the Company stock price (average of bid and ask) as measured at the beginning of the applicable performance period. Restricted stock award shares that are earned under the LTIP that are based on acquired sales will vest annually (1/5 each year) over the following five years. When calculating the increase in sales, the Company will make appropriate adjustments to account for any acquired sales for which an LTIP award has previously been made. If the recipient’s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employment with the Company is terminated due to cause or voluntary resignation, any unvested LTIP shares will be forfeited.</w:t>
      </w:r>
    </w:p>
    <w:p>
      <w:pPr>
        <w:spacing w:after="0" w:line="225" w:lineRule="exact"/>
        <w:rPr>
          <w:sz w:val="20"/>
          <w:szCs w:val="20"/>
          <w:color w:val="auto"/>
        </w:rPr>
      </w:pPr>
    </w:p>
    <w:p>
      <w:pPr>
        <w:jc w:val="both"/>
        <w:ind w:left="660" w:right="20" w:firstLine="648"/>
        <w:spacing w:after="0" w:line="294" w:lineRule="auto"/>
        <w:rPr>
          <w:sz w:val="20"/>
          <w:szCs w:val="20"/>
          <w:color w:val="auto"/>
        </w:rPr>
      </w:pPr>
      <w:r>
        <w:rPr>
          <w:rFonts w:ascii="Arial" w:cs="Arial" w:eastAsia="Arial" w:hAnsi="Arial"/>
          <w:sz w:val="17"/>
          <w:szCs w:val="17"/>
          <w:color w:val="auto"/>
        </w:rPr>
        <w:t xml:space="preserve">For 2018, shares were earned under the organic growth and the acquired sales criteria of the LTIP. </w:t>
      </w:r>
      <w:r>
        <w:rPr>
          <w:rFonts w:ascii="Arial" w:cs="Arial" w:eastAsia="Arial" w:hAnsi="Arial"/>
          <w:sz w:val="16"/>
          <w:szCs w:val="16"/>
          <w:color w:val="auto"/>
        </w:rPr>
        <w:t>As of December 31, 2018, approximately</w:t>
      </w:r>
      <w:r>
        <w:rPr>
          <w:rFonts w:ascii="Arial" w:cs="Arial" w:eastAsia="Arial" w:hAnsi="Arial"/>
          <w:sz w:val="17"/>
          <w:szCs w:val="17"/>
          <w:color w:val="auto"/>
        </w:rPr>
        <w:t xml:space="preserve"> </w:t>
      </w:r>
      <w:r>
        <w:rPr>
          <w:rFonts w:ascii="Arial" w:cs="Arial" w:eastAsia="Arial" w:hAnsi="Arial"/>
          <w:sz w:val="16"/>
          <w:szCs w:val="16"/>
          <w:color w:val="auto"/>
        </w:rPr>
        <w:t>$351 million of the cumulative LTIP Sales Target has been achieved (including acquired sales from two acquisitions completed in 2018). The following table shows the status of the LTIP awards and remaining award potential as of the end of the 2018 performance period:</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LTIP Shares</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That Can Be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Earned with</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Respect to</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 LTIP Shares</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Open</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2"/>
        </w:trPr>
        <w:tc>
          <w:tcPr>
            <w:tcW w:w="5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 and Principal Position</w:t>
            </w:r>
          </w:p>
        </w:tc>
        <w:tc>
          <w:tcPr>
            <w:tcW w:w="11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Awarded</w:t>
            </w:r>
          </w:p>
        </w:tc>
        <w:tc>
          <w:tcPr>
            <w:tcW w:w="240" w:type="dxa"/>
            <w:vAlign w:val="bottom"/>
          </w:tcPr>
          <w:p>
            <w:pPr>
              <w:spacing w:after="0"/>
              <w:rPr>
                <w:sz w:val="12"/>
                <w:szCs w:val="12"/>
                <w:color w:val="auto"/>
              </w:rPr>
            </w:pPr>
          </w:p>
        </w:tc>
        <w:tc>
          <w:tcPr>
            <w:tcW w:w="13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Earned</w:t>
            </w:r>
          </w:p>
        </w:tc>
        <w:tc>
          <w:tcPr>
            <w:tcW w:w="10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Forfeited</w:t>
            </w: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Periods</w:t>
            </w:r>
          </w:p>
        </w:tc>
        <w:tc>
          <w:tcPr>
            <w:tcW w:w="0" w:type="dxa"/>
            <w:vAlign w:val="bottom"/>
          </w:tcPr>
          <w:p>
            <w:pPr>
              <w:spacing w:after="0"/>
              <w:rPr>
                <w:sz w:val="1"/>
                <w:szCs w:val="1"/>
                <w:color w:val="auto"/>
              </w:rPr>
            </w:pPr>
          </w:p>
        </w:tc>
      </w:tr>
      <w:tr>
        <w:trPr>
          <w:trHeight w:val="195"/>
        </w:trPr>
        <w:tc>
          <w:tcPr>
            <w:tcW w:w="4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Richard S. Warzala</w:t>
            </w: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310,387</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306,128</w:t>
            </w: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4,259</w:t>
            </w:r>
          </w:p>
        </w:tc>
        <w:tc>
          <w:tcPr>
            <w:tcW w:w="2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140,262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20" w:type="dxa"/>
            <w:vAlign w:val="bottom"/>
            <w:gridSpan w:val="2"/>
          </w:tcPr>
          <w:p>
            <w:pPr>
              <w:spacing w:after="0" w:line="201" w:lineRule="exact"/>
              <w:rPr>
                <w:sz w:val="20"/>
                <w:szCs w:val="20"/>
                <w:color w:val="auto"/>
              </w:rPr>
            </w:pPr>
            <w:r>
              <w:rPr>
                <w:rFonts w:ascii="Arial" w:cs="Arial" w:eastAsia="Arial" w:hAnsi="Arial"/>
                <w:sz w:val="18"/>
                <w:szCs w:val="18"/>
                <w:color w:val="auto"/>
              </w:rPr>
              <w:t>Michael R. Leach</w:t>
            </w:r>
          </w:p>
        </w:tc>
        <w:tc>
          <w:tcPr>
            <w:tcW w:w="11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5,372</w:t>
            </w:r>
          </w:p>
        </w:tc>
        <w:tc>
          <w:tcPr>
            <w:tcW w:w="158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5,372</w:t>
            </w:r>
          </w:p>
        </w:tc>
        <w:tc>
          <w:tcPr>
            <w:tcW w:w="13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18,139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P. Maida</w:t>
            </w:r>
          </w:p>
        </w:tc>
        <w:tc>
          <w:tcPr>
            <w:tcW w:w="11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33,261</w:t>
            </w:r>
          </w:p>
        </w:tc>
        <w:tc>
          <w:tcPr>
            <w:tcW w:w="158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31,408</w:t>
            </w:r>
          </w:p>
        </w:tc>
        <w:tc>
          <w:tcPr>
            <w:tcW w:w="13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1,853</w:t>
            </w:r>
          </w:p>
        </w:tc>
        <w:tc>
          <w:tcPr>
            <w:tcW w:w="14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Operational Excellence</w:t>
            </w: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Deferred Compensation (DCP)</w:t>
      </w:r>
      <w:r>
        <w:rPr>
          <w:rFonts w:ascii="Arial" w:cs="Arial" w:eastAsia="Arial" w:hAnsi="Arial"/>
          <w:sz w:val="18"/>
          <w:szCs w:val="18"/>
          <w:color w:val="auto"/>
        </w:rPr>
        <w:t>. The Company maintains a Deferred Compensation Plan which provides eligible key employees with the opportunity to defer the receipt of base compensation, bonuses, or a combination thereof, receive an allocation of any discretionary amount contributed to the Plan by the Company and receive an allocation of any performance based contributions by the Company. During 2018, no participants elected to defer any compensation under the Plan.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Committee did not allocate any discretionary or performance-based contributions under the DCP for Mr. Warzala or any other executive officer with respect to 2018 performance. Rather, at the end of the year the Committee evaluated the Company’s and Mr. Warzala’s performance for 2018, including the Company’s return on equity, which was previously used as a performance measure under the DCP, and awarded him a bonus in the amount of $514,000 payable in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provides executive officers with perquisites and other benefits that the Company and the Committee believe are reasonable and consistent with its overall compensation program. The Committee periodically reviews the levels of perquisites and other benefits provided to executive officers. Mr. Warzala is provided with exclusive use of a company automobile, reimbursement for personal financial planning up to $5,000 annually and with $500,000 of life insurance plus a $10,000 annual payment to be used to purchase additional life insurance for which the executive may designate the beneficiaries.</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generally provides employees with medical, life and disability insurance benefits. All employees in the United States are eligible to participate in the Company’s 401(k) Plan to which employees are able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Compensation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Section 162(m) of the Internal Revenue Code imposes limitations on the deductibility for corporate federal income tax purposes of remuneration in excess of $1 million paid to the chief executive officer, chief financial officer and each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three next most highly compensated executive officers of a public company. Prior to the Tax Cuts and Jobs Act that was signed into law on December 22, 2017, compensation that satisfied conditions set forth under Section 162(m) to qualify as “performance-based compensation” was not subject to the limitation, and the limitation did not apply to compensation paid to the Chief Financial Officer. The Tax Cuts and Jobs Act eliminated the performance-based compensation exception beginning January 1, 2018. A transition rule applies to performance-based remuneration provided pursuant to a written binding contract that was in effect on November 2, 2017 provided that such contract is not materially modified after that date.</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monitors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Recoupment of Compensation Due to Misconduct</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February 2019, the Company’s Board adopted a Clawback Policy. All equity and non-equity incentive plan compensation granted by the Company in 2019 and thereafter is subject to this Clawback Policy. The policy provides that if an accounting restatement is required due to the Company’s material non-compliance with any accounting requirements, then all of the Company’s executive officers, regardless of whether they were at fault or not in the circumstances leading to the restatement, will be subject to forfeiting any excess in the incentive compensation they earned over the prior three years over what they would have earned if there had not been a material non-compliance in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Policy.</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Board of Directors has adopted a policy that 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Executive Compensation Changes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Compensation Committee, with the assistance of the Burke Group, identified an appropriate peer group to use for purposes of a benchmarking analysis. The Committee reviewed the compensation practices of the peer group members and integrated this information into their recommendations for 2019. Overall, target incentive awards for certain executive officers were identified as being below market. Accordingly, beginning with 2019 awards, the cash and equity incentive awards were revised as follows:</w:t>
      </w:r>
    </w:p>
    <w:p>
      <w:pPr>
        <w:spacing w:after="0" w:line="179" w:lineRule="exact"/>
        <w:rPr>
          <w:sz w:val="20"/>
          <w:szCs w:val="20"/>
          <w:color w:val="auto"/>
        </w:rPr>
      </w:pPr>
    </w:p>
    <w:p>
      <w:pPr>
        <w:spacing w:after="0"/>
        <w:tabs>
          <w:tab w:leader="none" w:pos="4240" w:val="left"/>
          <w:tab w:leader="none" w:pos="8020" w:val="left"/>
        </w:tabs>
        <w:rPr>
          <w:sz w:val="20"/>
          <w:szCs w:val="20"/>
          <w:color w:val="auto"/>
        </w:rPr>
      </w:pPr>
      <w:r>
        <w:rPr>
          <w:rFonts w:ascii="Arial" w:cs="Arial" w:eastAsia="Arial" w:hAnsi="Arial"/>
          <w:sz w:val="14"/>
          <w:szCs w:val="14"/>
          <w:b w:val="1"/>
          <w:bCs w:val="1"/>
          <w:color w:val="auto"/>
        </w:rPr>
        <w:t>Name and Principal Position</w:t>
      </w:r>
      <w:r>
        <w:rPr>
          <w:sz w:val="20"/>
          <w:szCs w:val="20"/>
          <w:color w:val="auto"/>
        </w:rPr>
        <w:tab/>
      </w:r>
      <w:r>
        <w:rPr>
          <w:rFonts w:ascii="Arial" w:cs="Arial" w:eastAsia="Arial" w:hAnsi="Arial"/>
          <w:sz w:val="14"/>
          <w:szCs w:val="14"/>
          <w:b w:val="1"/>
          <w:bCs w:val="1"/>
          <w:color w:val="auto"/>
        </w:rPr>
        <w:t>Cash Incentive Awards</w:t>
      </w:r>
      <w:r>
        <w:rPr>
          <w:sz w:val="20"/>
          <w:szCs w:val="20"/>
          <w:color w:val="auto"/>
        </w:rPr>
        <w:tab/>
      </w:r>
      <w:r>
        <w:rPr>
          <w:rFonts w:ascii="Arial" w:cs="Arial" w:eastAsia="Arial" w:hAnsi="Arial"/>
          <w:sz w:val="13"/>
          <w:szCs w:val="13"/>
          <w:b w:val="1"/>
          <w:bCs w:val="1"/>
          <w:color w:val="auto"/>
        </w:rPr>
        <w:t>Equity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732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26"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Richard S. Warzala</w:t>
      </w:r>
      <w:r>
        <w:rPr>
          <w:sz w:val="20"/>
          <w:szCs w:val="20"/>
          <w:color w:val="auto"/>
        </w:rPr>
        <w:tab/>
      </w:r>
      <w:r>
        <w:rPr>
          <w:rFonts w:ascii="Arial" w:cs="Arial" w:eastAsia="Arial" w:hAnsi="Arial"/>
          <w:sz w:val="16"/>
          <w:szCs w:val="16"/>
          <w:color w:val="auto"/>
        </w:rPr>
        <w:t>Target cash incentive increased from 70% of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3227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270" cy="274320"/>
                    </a:xfrm>
                    <a:prstGeom prst="rect">
                      <a:avLst/>
                    </a:prstGeom>
                    <a:noFill/>
                  </pic:spPr>
                </pic:pic>
              </a:graphicData>
            </a:graphic>
          </wp:anchor>
        </w:drawing>
      </w:r>
    </w:p>
    <w:p>
      <w:pPr>
        <w:spacing w:after="0" w:line="3" w:lineRule="exact"/>
        <w:rPr>
          <w:sz w:val="20"/>
          <w:szCs w:val="20"/>
          <w:color w:val="auto"/>
        </w:rPr>
      </w:pPr>
    </w:p>
    <w:p>
      <w:pPr>
        <w:ind w:left="180"/>
        <w:spacing w:after="0"/>
        <w:tabs>
          <w:tab w:leader="none" w:pos="3140" w:val="left"/>
        </w:tabs>
        <w:rPr>
          <w:sz w:val="20"/>
          <w:szCs w:val="20"/>
          <w:color w:val="auto"/>
        </w:rPr>
      </w:pPr>
      <w:r>
        <w:rPr>
          <w:rFonts w:ascii="Arial" w:cs="Arial" w:eastAsia="Arial" w:hAnsi="Arial"/>
          <w:sz w:val="18"/>
          <w:szCs w:val="18"/>
          <w:color w:val="auto"/>
        </w:rPr>
        <w:t>President and Chief Executive Officer</w:t>
      </w:r>
      <w:r>
        <w:rPr>
          <w:sz w:val="20"/>
          <w:szCs w:val="20"/>
          <w:color w:val="auto"/>
        </w:rPr>
        <w:tab/>
      </w:r>
      <w:r>
        <w:rPr>
          <w:rFonts w:ascii="Arial" w:cs="Arial" w:eastAsia="Arial" w:hAnsi="Arial"/>
          <w:sz w:val="16"/>
          <w:szCs w:val="16"/>
          <w:color w:val="auto"/>
        </w:rPr>
        <w:t>salary to 75% of base salary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Target equity incentive unchanged at 100% of base salary</w:t>
      </w:r>
    </w:p>
    <w:p>
      <w:pPr>
        <w:spacing w:after="0" w:line="170" w:lineRule="exact"/>
        <w:rPr>
          <w:sz w:val="20"/>
          <w:szCs w:val="20"/>
          <w:color w:val="auto"/>
        </w:rPr>
      </w:pPr>
    </w:p>
    <w:p>
      <w:pPr>
        <w:sectPr>
          <w:pgSz w:w="11900" w:h="16838" w:orient="portrait"/>
          <w:cols w:equalWidth="0" w:num="2">
            <w:col w:w="6740" w:space="260"/>
            <w:col w:w="4360"/>
          </w:cols>
          <w:pgMar w:left="240" w:top="125" w:right="299" w:bottom="1440" w:gutter="0" w:footer="0" w:header="0"/>
          <w:type w:val="continuous"/>
        </w:sectPr>
      </w:pPr>
    </w:p>
    <w:p>
      <w:pPr>
        <w:spacing w:after="0"/>
        <w:tabs>
          <w:tab w:leader="none" w:pos="3140" w:val="left"/>
        </w:tabs>
        <w:rPr>
          <w:sz w:val="20"/>
          <w:szCs w:val="20"/>
          <w:color w:val="auto"/>
        </w:rPr>
      </w:pPr>
      <w:r>
        <w:rPr>
          <w:rFonts w:ascii="Arial" w:cs="Arial" w:eastAsia="Arial" w:hAnsi="Arial"/>
          <w:sz w:val="18"/>
          <w:szCs w:val="18"/>
          <w:color w:val="auto"/>
        </w:rPr>
        <w:t>Michael R. Leach</w:t>
      </w:r>
      <w:r>
        <w:rPr>
          <w:sz w:val="20"/>
          <w:szCs w:val="20"/>
          <w:color w:val="auto"/>
        </w:rPr>
        <w:tab/>
      </w:r>
      <w:r>
        <w:rPr>
          <w:rFonts w:ascii="Arial" w:cs="Arial" w:eastAsia="Arial" w:hAnsi="Arial"/>
          <w:sz w:val="16"/>
          <w:szCs w:val="16"/>
          <w:color w:val="auto"/>
        </w:rPr>
        <w:t>Target cash incentive increased from 40% of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3227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270" cy="274320"/>
                    </a:xfrm>
                    <a:prstGeom prst="rect">
                      <a:avLst/>
                    </a:prstGeom>
                    <a:noFill/>
                  </pic:spPr>
                </pic:pic>
              </a:graphicData>
            </a:graphic>
          </wp:anchor>
        </w:drawing>
      </w:r>
    </w:p>
    <w:p>
      <w:pPr>
        <w:spacing w:after="0" w:line="3" w:lineRule="exact"/>
        <w:rPr>
          <w:sz w:val="20"/>
          <w:szCs w:val="20"/>
          <w:color w:val="auto"/>
        </w:rPr>
      </w:pPr>
    </w:p>
    <w:p>
      <w:pPr>
        <w:ind w:left="180"/>
        <w:spacing w:after="0"/>
        <w:tabs>
          <w:tab w:leader="none" w:pos="3140" w:val="left"/>
        </w:tabs>
        <w:rPr>
          <w:sz w:val="20"/>
          <w:szCs w:val="20"/>
          <w:color w:val="auto"/>
        </w:rPr>
      </w:pP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salary to 50% of base salary</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Target equity incentive increased from of 40% of base salary to 45% of base salary</w:t>
      </w:r>
    </w:p>
    <w:p>
      <w:pPr>
        <w:spacing w:after="0" w:line="170" w:lineRule="exact"/>
        <w:rPr>
          <w:sz w:val="20"/>
          <w:szCs w:val="20"/>
          <w:color w:val="auto"/>
        </w:rPr>
      </w:pPr>
    </w:p>
    <w:p>
      <w:pPr>
        <w:sectPr>
          <w:pgSz w:w="11900" w:h="16838" w:orient="portrait"/>
          <w:cols w:equalWidth="0" w:num="2">
            <w:col w:w="6740" w:space="260"/>
            <w:col w:w="4360"/>
          </w:cols>
          <w:pgMar w:left="240" w:top="125" w:right="299" w:bottom="1440" w:gutter="0" w:footer="0" w:header="0"/>
          <w:type w:val="continuous"/>
        </w:sectPr>
      </w:pPr>
    </w:p>
    <w:p>
      <w:pPr>
        <w:spacing w:after="0"/>
        <w:tabs>
          <w:tab w:leader="none" w:pos="3140" w:val="left"/>
        </w:tabs>
        <w:rPr>
          <w:sz w:val="20"/>
          <w:szCs w:val="20"/>
          <w:color w:val="auto"/>
        </w:rPr>
      </w:pPr>
      <w:r>
        <w:rPr>
          <w:rFonts w:ascii="Arial" w:cs="Arial" w:eastAsia="Arial" w:hAnsi="Arial"/>
          <w:sz w:val="18"/>
          <w:szCs w:val="18"/>
          <w:color w:val="auto"/>
        </w:rPr>
        <w:t>Robert P. Maida</w:t>
      </w:r>
      <w:r>
        <w:rPr>
          <w:sz w:val="20"/>
          <w:szCs w:val="20"/>
          <w:color w:val="auto"/>
        </w:rPr>
        <w:tab/>
      </w:r>
      <w:r>
        <w:rPr>
          <w:rFonts w:ascii="Arial" w:cs="Arial" w:eastAsia="Arial" w:hAnsi="Arial"/>
          <w:sz w:val="16"/>
          <w:szCs w:val="16"/>
          <w:color w:val="auto"/>
        </w:rPr>
        <w:t>Target cash incentive increased from 40% of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3227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270" cy="411480"/>
                    </a:xfrm>
                    <a:prstGeom prst="rect">
                      <a:avLst/>
                    </a:prstGeom>
                    <a:noFill/>
                  </pic:spPr>
                </pic:pic>
              </a:graphicData>
            </a:graphic>
          </wp:anchor>
        </w:drawing>
      </w:r>
    </w:p>
    <w:p>
      <w:pPr>
        <w:spacing w:after="0" w:line="3" w:lineRule="exact"/>
        <w:rPr>
          <w:sz w:val="20"/>
          <w:szCs w:val="20"/>
          <w:color w:val="auto"/>
        </w:rPr>
      </w:pPr>
    </w:p>
    <w:p>
      <w:pPr>
        <w:ind w:left="180"/>
        <w:spacing w:after="0"/>
        <w:tabs>
          <w:tab w:leader="none" w:pos="3140" w:val="left"/>
        </w:tabs>
        <w:rPr>
          <w:sz w:val="20"/>
          <w:szCs w:val="20"/>
          <w:color w:val="auto"/>
        </w:rPr>
      </w:pPr>
      <w:r>
        <w:rPr>
          <w:rFonts w:ascii="Arial" w:cs="Arial" w:eastAsia="Arial" w:hAnsi="Arial"/>
          <w:sz w:val="18"/>
          <w:szCs w:val="18"/>
          <w:color w:val="auto"/>
        </w:rPr>
        <w:t>Vice President of Operational</w:t>
      </w:r>
      <w:r>
        <w:rPr>
          <w:sz w:val="20"/>
          <w:szCs w:val="20"/>
          <w:color w:val="auto"/>
        </w:rPr>
        <w:tab/>
      </w:r>
      <w:r>
        <w:rPr>
          <w:rFonts w:ascii="Arial" w:cs="Arial" w:eastAsia="Arial" w:hAnsi="Arial"/>
          <w:sz w:val="16"/>
          <w:szCs w:val="16"/>
          <w:color w:val="auto"/>
        </w:rPr>
        <w:t>salary to 50% of base salary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Excellence</w:t>
      </w:r>
    </w:p>
    <w:p>
      <w:pPr>
        <w:spacing w:after="0" w:line="20" w:lineRule="exact"/>
        <w:rPr>
          <w:sz w:val="20"/>
          <w:szCs w:val="20"/>
          <w:color w:val="auto"/>
        </w:rPr>
      </w:pPr>
      <w:r>
        <w:rPr>
          <w:sz w:val="20"/>
          <w:szCs w:val="20"/>
          <w:color w:val="auto"/>
        </w:rPr>
        <w:br w:type="column"/>
      </w:r>
    </w:p>
    <w:p>
      <w:pPr>
        <w:ind w:right="840"/>
        <w:spacing w:after="0" w:line="277" w:lineRule="auto"/>
        <w:rPr>
          <w:sz w:val="20"/>
          <w:szCs w:val="20"/>
          <w:color w:val="auto"/>
        </w:rPr>
      </w:pPr>
      <w:r>
        <w:rPr>
          <w:rFonts w:ascii="Arial" w:cs="Arial" w:eastAsia="Arial" w:hAnsi="Arial"/>
          <w:sz w:val="18"/>
          <w:szCs w:val="18"/>
          <w:color w:val="auto"/>
        </w:rPr>
        <w:t>Target equity incentive increased from of 40% of base salary to 45% of base salary</w:t>
      </w:r>
    </w:p>
    <w:p>
      <w:pPr>
        <w:spacing w:after="0" w:line="375" w:lineRule="exact"/>
        <w:rPr>
          <w:sz w:val="20"/>
          <w:szCs w:val="20"/>
          <w:color w:val="auto"/>
        </w:rPr>
      </w:pPr>
    </w:p>
    <w:p>
      <w:pPr>
        <w:sectPr>
          <w:pgSz w:w="11900" w:h="16838" w:orient="portrait"/>
          <w:cols w:equalWidth="0" w:num="2">
            <w:col w:w="6740" w:space="260"/>
            <w:col w:w="4360"/>
          </w:cols>
          <w:pgMar w:left="240" w:top="125" w:right="299" w:bottom="1440" w:gutter="0" w:footer="0" w:header="0"/>
          <w:type w:val="continuous"/>
        </w:sectPr>
      </w:pPr>
    </w:p>
    <w:p>
      <w:pPr>
        <w:spacing w:after="0" w:line="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performance goals for the incentive plans were also reviewed and the Committee eliminated the change in sales performance metric from the annual equity incentive awards since such performance metric was already used for the long-term equity incentive awards. No other significant changes were made as existing goals as discussed above align the executive compensation program with the Company’s strategic business goals. Further details regarding the 2019 compensation program will be provided in the Company’s 2020 proxy statement.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Employment Agreement</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an employment agreement, as amended (the “Employment Agreement”) and a change of control letter agreement, as amended, (the “CIC Agreement”) with Mr. Warzala. The relevant provisions of these agreements are discussed below.</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Unless terminated earlier in accordance with its terms, the Employment Agreement will remain effective until January 2, 2021. The Employment Agreement can be extended for one-year terms by mutual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Employment Agreement provides an annual base salary that may be reviewed annually for increase on a merit basis. Mr. Warzala’s</w:t>
      </w:r>
      <w:r>
        <w:rPr>
          <w:rFonts w:ascii="Arial" w:cs="Arial" w:eastAsia="Arial" w:hAnsi="Arial"/>
          <w:sz w:val="18"/>
          <w:szCs w:val="18"/>
          <w:i w:val="1"/>
          <w:iCs w:val="1"/>
          <w:color w:val="auto"/>
        </w:rPr>
        <w:t xml:space="preserve"> </w:t>
      </w:r>
      <w:r>
        <w:rPr>
          <w:rFonts w:ascii="Arial" w:cs="Arial" w:eastAsia="Arial" w:hAnsi="Arial"/>
          <w:sz w:val="18"/>
          <w:szCs w:val="18"/>
          <w:color w:val="auto"/>
        </w:rPr>
        <w:t>salary was increased to $550,000 effective March 1, 2019.</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Annual Incentive Bonus. </w:t>
      </w:r>
      <w:r>
        <w:rPr>
          <w:rFonts w:ascii="Arial" w:cs="Arial" w:eastAsia="Arial" w:hAnsi="Arial"/>
          <w:sz w:val="18"/>
          <w:szCs w:val="18"/>
          <w:color w:val="auto"/>
        </w:rPr>
        <w:t>Annual incentive bonuses are paid based on achieving performance criteria set annually by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performance criteria will recognize the overall financial performance of the Company and the improvements made in financial results. Mr. Warzala participates in the Company’s annual incentive plan which is described above under the heading </w:t>
      </w:r>
      <w:r>
        <w:rPr>
          <w:rFonts w:ascii="Arial" w:cs="Arial" w:eastAsia="Arial" w:hAnsi="Arial"/>
          <w:sz w:val="18"/>
          <w:szCs w:val="18"/>
          <w:i w:val="1"/>
          <w:iCs w:val="1"/>
          <w:color w:val="auto"/>
        </w:rPr>
        <w:t>Compensation Discussion and Analysis—Elements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Compensation—Annual Cash Incentive Plan</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annual performance periods beginning prior to 2018, Mr. Warzala also received a performance award under the Company’s deferred compensation plan. The performance award was based on the achievement of a minimum return on equity determined each year by the Board of Directors (the “ROE Target”). If the ROE Target was achieved, an amount equal to 12.5% of the excess over the ROE Target was contributed to Mr. Warzala’s deferred compensation account, provided that the performance contribution was capped at an amount that is equal to one times Mr. Warzala’s base compensation in any given year. Beginning in 2018, the Compensation Committee and Mr. Warzala agreed that the annual incentive bonus based on return on equity will be paid in cash rather than contributed to his deferred compensation account. For 2018 a bonus in the amount of $514,000 was paid to Mr. Warzala based on the Company’s return on equity.</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Equity Incentive Compensation. </w:t>
      </w:r>
      <w:r>
        <w:rPr>
          <w:rFonts w:ascii="Arial" w:cs="Arial" w:eastAsia="Arial" w:hAnsi="Arial"/>
          <w:sz w:val="17"/>
          <w:szCs w:val="17"/>
          <w:color w:val="auto"/>
        </w:rPr>
        <w:t>The Company utilizes stock based awards for short and long-term incentives. In making its determination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grant of stock based awards, the Board considers, among other things, the Employee’s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 A discussion of Mr. Warzala’s short and long-term equity incentive awards is set forth above under the heading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Elements of Compensation—Equity Incentive Compensation</w:t>
      </w:r>
      <w:r>
        <w:rPr>
          <w:rFonts w:ascii="Arial" w:cs="Arial" w:eastAsia="Arial" w:hAnsi="Arial"/>
          <w:sz w:val="17"/>
          <w:szCs w:val="17"/>
          <w:color w:val="auto"/>
        </w:rPr>
        <w:t>.</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Mr. Warzala participates in other benefits and perquisites as are generally provided by the Company to its employees.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Mr. Warzala with an automobile, personal financial planning, an annual physical examination and with life insurance for which the executive may designate the beneficiaries.</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If Mr. Warzala’s employment terminates as a result of his retirement on or after January 2, 2021, the Employment Agreement would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 him to:</w:t>
      </w:r>
    </w:p>
    <w:p>
      <w:pPr>
        <w:spacing w:after="0" w:line="170" w:lineRule="exact"/>
        <w:rPr>
          <w:sz w:val="20"/>
          <w:szCs w:val="20"/>
          <w:color w:val="auto"/>
        </w:rPr>
      </w:pPr>
    </w:p>
    <w:p>
      <w:pPr>
        <w:ind w:left="1300" w:right="620" w:hanging="644"/>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cash payment equal to a prorated portion of the target bonus that he would have earned for the fiscal year in which the termination occurred had such termination not occurred; and</w:t>
      </w:r>
    </w:p>
    <w:p>
      <w:pPr>
        <w:spacing w:after="0" w:line="170" w:lineRule="exact"/>
        <w:rPr>
          <w:rFonts w:ascii="Arial" w:cs="Arial" w:eastAsia="Arial" w:hAnsi="Arial"/>
          <w:sz w:val="18"/>
          <w:szCs w:val="18"/>
          <w:color w:val="auto"/>
        </w:rPr>
      </w:pPr>
    </w:p>
    <w:p>
      <w:pPr>
        <w:ind w:left="1300" w:right="60" w:hanging="644"/>
        <w:spacing w:after="0" w:line="264"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 vesting of all of his outstanding equity grants and awards that vest on the basis of the passage of time only (“Time-Based Awards”) or STIP and LTIP awards that vest on the basis of performance criteria (“Performance-Based Awards”) that have been earned but are still subject to time-based vesting outstanding on the date of retirement.</w:t>
      </w:r>
    </w:p>
    <w:p>
      <w:pPr>
        <w:spacing w:after="0" w:line="18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Under the Employment Agreement, if Mr. Warzala is terminated for cause or due to his voluntary resignation (other than a</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for good reason), the Company would have no further obligation to pay any unearned compensation or to provide any future benefits to him.</w:t>
      </w:r>
    </w:p>
    <w:p>
      <w:pPr>
        <w:spacing w:after="0" w:line="12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subsequent months. In addition, he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cash payment equal to a prorated portion of the Annual Cash Incentive bonus that he would have earned for the fiscal year in which the death occurred; and immediate vesting of all of his outstanding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Based Awards and Performance-Based Awards that have been earned but are still subject to time-based vesting, and prorated vesting of his unearned Performance-Based Awards.</w:t>
      </w:r>
    </w:p>
    <w:p>
      <w:pPr>
        <w:spacing w:after="0" w:line="17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In the case of disability, salary is continued until the end of the term of the Employment Agreement, as adjusted for any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under any Company paid disability plan, or until long-term disability insurance becomes effective. Benefits are continued as generally provided by the Company to its employees in accordance with the Company’s disability plan. In addition, he will receive a cash payment equal to a prorated portion of the Annual Cash Incentive bonus that he would have earned for the fiscal year in which the disability occurred had such disability not occurred; and immediate vesting of all of his outstanding Time-Based Awards and Performance-Based Awards that have been earned but are still subject to time-based vesting, and prorated vesting of his unearned Performance-Based Awards.</w:t>
      </w:r>
    </w:p>
    <w:p>
      <w:pPr>
        <w:spacing w:after="0" w:line="17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Involuntary Termination Without Cause or for Good Reason. </w:t>
      </w:r>
      <w:r>
        <w:rPr>
          <w:rFonts w:ascii="Arial" w:cs="Arial" w:eastAsia="Arial" w:hAnsi="Arial"/>
          <w:sz w:val="18"/>
          <w:szCs w:val="18"/>
          <w:color w:val="auto"/>
        </w:rPr>
        <w:t>If Mr. Warzala is involuntarily terminated without cause or he terminates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good reason, the Employment Agreement entitles him to:</w:t>
      </w:r>
    </w:p>
    <w:p>
      <w:pPr>
        <w:spacing w:after="0" w:line="170" w:lineRule="exact"/>
        <w:rPr>
          <w:sz w:val="20"/>
          <w:szCs w:val="20"/>
          <w:color w:val="auto"/>
        </w:rPr>
      </w:pPr>
    </w:p>
    <w:p>
      <w:pPr>
        <w:ind w:left="1260" w:hanging="60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amount equal to his then current base salary payable in cash over a 12-month period;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cash payment equal to 90% of Base Salary in lieu of an Annual Cash Incentive bonus for the year in which termination occurs;</w:t>
      </w:r>
    </w:p>
    <w:p>
      <w:pPr>
        <w:spacing w:after="0" w:line="236" w:lineRule="exact"/>
        <w:rPr>
          <w:rFonts w:ascii="Arial" w:cs="Arial" w:eastAsia="Arial" w:hAnsi="Arial"/>
          <w:sz w:val="17"/>
          <w:szCs w:val="17"/>
          <w:color w:val="auto"/>
        </w:rPr>
      </w:pPr>
    </w:p>
    <w:p>
      <w:pPr>
        <w:ind w:left="1260" w:hanging="60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coverage under the Company’s benefit plans for one year following termination;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 vesting of his Time-Based Awards and Performance-Based Awards that have been earned but are still subject to time-based vesting and, prorated vesting of his unearned Performance-Based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8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Timothy T. Tevens, Chairman</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Linda P. Duch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D. Federico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Gerald J. Laber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Allied Motion and its subsidiaries have approximately 1,600 employees worldwide, with approximately 54% in North America and 42% are located in Europe and the balance are located in China and the rest of the world. Our philosophy is to pay our employees competitively with similar positions in the applicable labor market. By doing so, we believe we maintain a high-quality, stable workforce.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Dodd-Frank Wall Street Reform and Consumer Protection Act and Securities and Exchange Commission (“SEC”) rules require us to provide the ratio of the annual total compensation of our Chief Executive Officer, to that of an employee whose annual compensation is at the median of all our employees.</w:t>
      </w:r>
    </w:p>
    <w:p>
      <w:pPr>
        <w:spacing w:after="0" w:line="181"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Our median-compensated employee was originally identified in fiscal 2017. We identified the employee with compensation at the median of all employees by using taxable income for 2017, and applied this method consistently across our global employee population. We did not make any cost-of-living adjustments despite the large variety of labor markets in which our employees work nor did we use any statistical sampling to determine the median employee. We used the same median employee in 2018 as in 2017, based on our determination that there were no material changes to the Company’s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employee population or compensation arrangements reasonably likely to result in a change in the ratio. For 2018, our active workforce does not include approximately 200 employees which we acquired in separate transactions involving the acquisition of (i) the original equipment steering business of Maval Industries, LLC and (ii) TCI, LLC, which were acquired on January 19, 2018 and December 6, 2018, respectively. Pursuant to SEC rules, these employees will be included for our next pay ratio disclosure, but were not included in this year’s calculation.</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median employee had a total compensation for 2018 of $33,040. Our Chief Executive Officers’ total 2018 compensation was $2,389,704 as reported in the summary compensation table. Based on this information, the ratio of the annual total compensation was 72:1.</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Executive Officers”) for the fiscal years ended December 31, 2018,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right"/>
              <w:ind w:right="71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Awards(1)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Compensation</w:t>
            </w:r>
          </w:p>
        </w:tc>
        <w:tc>
          <w:tcPr>
            <w:tcW w:w="14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Compensation</w:t>
            </w: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524,167</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514,000(2)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514,184</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803,603</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43,750(3)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2,389,704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497,518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606,342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207,575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Officer</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877,610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416,088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206,931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180,900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of</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Operational Excellence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16,653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13,322(6)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Vice President of Marketing</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13,082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14,692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as reported on the Nasdaq Global Market on the date of grant. The awards consist of restricted shares with performance and/or service based vesting conditions.</w:t>
      </w:r>
    </w:p>
    <w:p>
      <w:pPr>
        <w:spacing w:after="0" w:line="170" w:lineRule="exact"/>
        <w:rPr>
          <w:rFonts w:ascii="Arial" w:cs="Arial" w:eastAsia="Arial" w:hAnsi="Arial"/>
          <w:sz w:val="18"/>
          <w:szCs w:val="18"/>
          <w:color w:val="auto"/>
        </w:rPr>
      </w:pPr>
    </w:p>
    <w:p>
      <w:pPr>
        <w:ind w:left="660" w:right="140" w:hanging="652"/>
        <w:spacing w:after="0" w:line="272" w:lineRule="auto"/>
        <w:tabs>
          <w:tab w:leader="none" w:pos="6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the bonus paid to Mr. Warzala in lieu of a performance award under the Company’s Deferred Compensation Plan for 2018. Historically Mr. Warzala received an annual performance-based contribution to his deferred compensation account based on the achievement of a minimum return on equity determined each year by the Board of Directors within 90 days of the beginning of the performance period. The contribution was reported as non-equity incentive plan compensation in prior years. For 2018, Committee did not allocate any performance-based contribution under the Deferred Compensation Plan. Rather, the Committee evaluated the Company’s and Mr. Warzala’s performance for 2018, including the Company’s return on equity, and awarded him a bonus. The amount of the bonus equaled the amount that would have been contributed to the Deferred Compensation Plan had a performance goal been in place for 2018.</w:t>
      </w:r>
    </w:p>
    <w:p>
      <w:pPr>
        <w:spacing w:after="0" w:line="177" w:lineRule="exact"/>
        <w:rPr>
          <w:rFonts w:ascii="Arial" w:cs="Arial" w:eastAsia="Arial" w:hAnsi="Arial"/>
          <w:sz w:val="17"/>
          <w:szCs w:val="17"/>
          <w:color w:val="auto"/>
        </w:rPr>
      </w:pPr>
    </w:p>
    <w:p>
      <w:pPr>
        <w:ind w:left="660" w:right="34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Compensation for Mr. Warzala for 2018 includes the Company’s contribution of $19,250 to the Company’s 401(k) Plan and Employee Stock Ownership Plan and Company paid life insurance premiums of $24,500.</w:t>
      </w:r>
    </w:p>
    <w:p>
      <w:pPr>
        <w:spacing w:after="0" w:line="170" w:lineRule="exact"/>
        <w:rPr>
          <w:rFonts w:ascii="Arial" w:cs="Arial" w:eastAsia="Arial" w:hAnsi="Arial"/>
          <w:sz w:val="18"/>
          <w:szCs w:val="18"/>
          <w:color w:val="auto"/>
        </w:rPr>
      </w:pPr>
    </w:p>
    <w:p>
      <w:pPr>
        <w:ind w:left="660" w:right="68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Compensation for Mr. Leach for 2018 consists of the Company’s contribution to the Company’s 401(k) Plan and Employee Stock Ownership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60" w:hanging="652"/>
        <w:spacing w:after="0" w:line="277"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Compensation for Mr. Maida for 2018 consists of the Company’s contribution to the Company’s 401(k) Plan and Employee Stock Ownership Plan.</w:t>
      </w:r>
    </w:p>
    <w:p>
      <w:pPr>
        <w:spacing w:after="0" w:line="170" w:lineRule="exact"/>
        <w:rPr>
          <w:rFonts w:ascii="Arial" w:cs="Arial" w:eastAsia="Arial" w:hAnsi="Arial"/>
          <w:sz w:val="18"/>
          <w:szCs w:val="18"/>
          <w:color w:val="auto"/>
        </w:rPr>
      </w:pPr>
    </w:p>
    <w:p>
      <w:pPr>
        <w:ind w:left="660" w:right="560" w:hanging="652"/>
        <w:spacing w:after="0" w:line="277"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Compensation for Mr. Wyman for 2018 consists of the Company’s contribution to the Company’s 401(k) Plan and Employee Stock Ownership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grants of plan-based awards to each of the Named Executive Officers during fiscal year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Possible Payouts</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Under Non-</w:t>
            </w:r>
          </w:p>
        </w:tc>
        <w:tc>
          <w:tcPr>
            <w:tcW w:w="28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Estimated Possible Payouts Under</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2860" w:type="dxa"/>
            <w:vAlign w:val="bottom"/>
            <w:gridSpan w:val="4"/>
            <w:vMerge w:val="continue"/>
          </w:tcPr>
          <w:p>
            <w:pPr>
              <w:spacing w:after="0"/>
              <w:rPr>
                <w:sz w:val="12"/>
                <w:szCs w:val="12"/>
                <w:color w:val="auto"/>
              </w:rPr>
            </w:pPr>
          </w:p>
        </w:tc>
        <w:tc>
          <w:tcPr>
            <w:tcW w:w="14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All Other Stock</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Plan Awards (1)</w:t>
            </w:r>
          </w:p>
        </w:tc>
        <w:tc>
          <w:tcPr>
            <w:tcW w:w="28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Equity Incentive Plan Awards</w:t>
            </w: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42"/>
        </w:trPr>
        <w:tc>
          <w:tcPr>
            <w:tcW w:w="2420" w:type="dxa"/>
            <w:vAlign w:val="bottom"/>
          </w:tcPr>
          <w:p>
            <w:pPr>
              <w:spacing w:after="0" w:line="142"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93"/>
              </w:rPr>
              <w:t>Target($)</w:t>
            </w:r>
          </w:p>
        </w:tc>
        <w:tc>
          <w:tcPr>
            <w:tcW w:w="220" w:type="dxa"/>
            <w:vAlign w:val="bottom"/>
          </w:tcPr>
          <w:p>
            <w:pPr>
              <w:spacing w:after="0"/>
              <w:rPr>
                <w:sz w:val="12"/>
                <w:szCs w:val="12"/>
                <w:color w:val="auto"/>
              </w:rPr>
            </w:pPr>
          </w:p>
        </w:tc>
        <w:tc>
          <w:tcPr>
            <w:tcW w:w="138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Target(#)</w:t>
            </w:r>
          </w:p>
        </w:tc>
        <w:tc>
          <w:tcPr>
            <w:tcW w:w="12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2"/>
                <w:szCs w:val="12"/>
                <w:color w:val="auto"/>
              </w:rPr>
            </w:pPr>
          </w:p>
        </w:tc>
        <w:tc>
          <w:tcPr>
            <w:tcW w:w="14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Awards (#)</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Awards (4)</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Incentive Plan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03/13/18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359,917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STIP (2)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03/13/18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341,701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Based Awards (3)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03/13/18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172,482</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Michael R. Leach</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Cash Incentive Plan</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03/13/18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113,400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STIP (2)</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03/13/18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1,092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2,184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71,264</w:t>
            </w: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Time Based Awards (3)</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03/13/18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42,745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Incentive Plan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03/13/18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STIP (2)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03/13/18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Based Awards (3)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03/13/18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119,654</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Kenneth R. Wyman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Cash Incentive Plan</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03/13/18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33,867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STIP (2)</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03/13/18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13,705</w:t>
            </w: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Time Based Awards (3)</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03/13/18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55"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further explained in Compensation Discussion and Analysis—Elements of Compensation—Annual Cash Incentive Plan, the executive officers were eligible for a possible cash incentive award for 2018 pursuant to the plan based on corporate performance. The table reflects the possible target incentive awards based on corporate performance. The target incentive is a percentage of the actual salary earned for the year and was set as follows: Mr. Warzala (70%), Mr. Leach (40%), Mr. Maida (40%) and Mr. Wyman (20%). There is no maximum amount under the Plan. The actual amount earned by each Named Executive Officer in 2018 is reported under the Non-Equity Incentive Plan Compensation column in the Summary Compensation Table.</w:t>
      </w:r>
    </w:p>
    <w:p>
      <w:pPr>
        <w:spacing w:after="0" w:line="193" w:lineRule="exact"/>
        <w:rPr>
          <w:rFonts w:ascii="Arial" w:cs="Arial" w:eastAsia="Arial" w:hAnsi="Arial"/>
          <w:sz w:val="18"/>
          <w:szCs w:val="18"/>
          <w:color w:val="auto"/>
        </w:rPr>
      </w:pPr>
    </w:p>
    <w:p>
      <w:pPr>
        <w:ind w:left="660" w:right="80" w:hanging="652"/>
        <w:spacing w:after="0" w:line="259"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further explained in Compensation Discussion and Analysis—Elements of Compensation—Equity Incentive Compensation—Short-Term Equity Incentive Program above, the executive officers were eligible for restricted stock awards based on achievement of annual performance goals for 2018. For 2018, the performance goals were fully achieved and 100% of the share award was earned. The award vested 1/3 on March 12, 2019 with the remainder vesting 1/3 in each of 2020 and 2021, subject to continued employment.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Time-Based Awards that will vest in three equal annual installments beginning in March 2019.</w:t>
      </w:r>
    </w:p>
    <w:p>
      <w:pPr>
        <w:spacing w:after="0" w:line="225" w:lineRule="exact"/>
        <w:rPr>
          <w:rFonts w:ascii="Arial" w:cs="Arial" w:eastAsia="Arial" w:hAnsi="Arial"/>
          <w:sz w:val="18"/>
          <w:szCs w:val="18"/>
          <w:color w:val="auto"/>
        </w:rPr>
      </w:pPr>
    </w:p>
    <w:p>
      <w:pPr>
        <w:ind w:left="660" w:right="180" w:hanging="652"/>
        <w:spacing w:after="0" w:line="277"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are based on the closing price of the Company’s common stock as reported on the Nasdaq Global Market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146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Equity Incentive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center"/>
              <w:ind w:right="82"/>
              <w:spacing w:after="0" w:line="119" w:lineRule="exact"/>
              <w:rPr>
                <w:sz w:val="20"/>
                <w:szCs w:val="20"/>
                <w:color w:val="auto"/>
              </w:rPr>
            </w:pPr>
            <w:r>
              <w:rPr>
                <w:rFonts w:ascii="Arial" w:cs="Arial" w:eastAsia="Arial" w:hAnsi="Arial"/>
                <w:sz w:val="13"/>
                <w:szCs w:val="13"/>
                <w:b w:val="1"/>
                <w:bCs w:val="1"/>
                <w:color w:val="auto"/>
              </w:rPr>
              <w:t>Incentive Plan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Awards: Market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3"/>
            <w:vMerge w:val="restart"/>
          </w:tcPr>
          <w:p>
            <w:pPr>
              <w:jc w:val="center"/>
              <w:ind w:right="385"/>
              <w:spacing w:after="0"/>
              <w:rPr>
                <w:sz w:val="20"/>
                <w:szCs w:val="20"/>
                <w:color w:val="auto"/>
              </w:rPr>
            </w:pPr>
            <w:r>
              <w:rPr>
                <w:rFonts w:ascii="Arial" w:cs="Arial" w:eastAsia="Arial" w:hAnsi="Arial"/>
                <w:sz w:val="14"/>
                <w:szCs w:val="14"/>
                <w:b w:val="1"/>
                <w:bCs w:val="1"/>
                <w:color w:val="auto"/>
                <w:w w:val="92"/>
              </w:rPr>
              <w:t>Number of Shares</w:t>
            </w:r>
          </w:p>
        </w:tc>
        <w:tc>
          <w:tcPr>
            <w:tcW w:w="1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Market Value of</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Value or Payout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3"/>
          </w:tcPr>
          <w:p>
            <w:pPr>
              <w:jc w:val="center"/>
              <w:ind w:right="385"/>
              <w:spacing w:after="0" w:line="149" w:lineRule="exact"/>
              <w:rPr>
                <w:sz w:val="20"/>
                <w:szCs w:val="20"/>
                <w:color w:val="auto"/>
              </w:rPr>
            </w:pPr>
            <w:r>
              <w:rPr>
                <w:rFonts w:ascii="Arial" w:cs="Arial" w:eastAsia="Arial" w:hAnsi="Arial"/>
                <w:sz w:val="14"/>
                <w:szCs w:val="14"/>
                <w:b w:val="1"/>
                <w:bCs w:val="1"/>
                <w:color w:val="auto"/>
                <w:w w:val="92"/>
              </w:rPr>
              <w:t>or Units of Stock</w:t>
            </w: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Shares, Units or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3"/>
          </w:tcPr>
          <w:p>
            <w:pPr>
              <w:jc w:val="center"/>
              <w:ind w:right="385"/>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Stock That Have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Other Rights That</w:t>
            </w: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vMerge w:val="restart"/>
          </w:tcPr>
          <w:p>
            <w:pPr>
              <w:spacing w:after="0"/>
              <w:rPr>
                <w:sz w:val="12"/>
                <w:szCs w:val="12"/>
                <w:color w:val="auto"/>
              </w:rPr>
            </w:pPr>
          </w:p>
        </w:tc>
        <w:tc>
          <w:tcPr>
            <w:tcW w:w="1940" w:type="dxa"/>
            <w:vAlign w:val="bottom"/>
            <w:gridSpan w:val="3"/>
          </w:tcPr>
          <w:p>
            <w:pPr>
              <w:jc w:val="center"/>
              <w:ind w:right="385"/>
              <w:spacing w:after="0" w:line="149" w:lineRule="exact"/>
              <w:rPr>
                <w:sz w:val="20"/>
                <w:szCs w:val="20"/>
                <w:color w:val="auto"/>
              </w:rPr>
            </w:pPr>
            <w:r>
              <w:rPr>
                <w:rFonts w:ascii="Arial" w:cs="Arial" w:eastAsia="Arial" w:hAnsi="Arial"/>
                <w:sz w:val="14"/>
                <w:szCs w:val="14"/>
                <w:b w:val="1"/>
                <w:bCs w:val="1"/>
                <w:color w:val="auto"/>
                <w:w w:val="87"/>
              </w:rPr>
              <w:t>Vested</w:t>
            </w: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Have Not Vested</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Not Vested (#)(2)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25,876(3)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1,156,398</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1940" w:type="dxa"/>
            <w:vAlign w:val="bottom"/>
            <w:gridSpan w:val="3"/>
          </w:tcPr>
          <w:p>
            <w:pPr>
              <w:jc w:val="right"/>
              <w:ind w:right="5"/>
              <w:spacing w:after="0"/>
              <w:rPr>
                <w:sz w:val="20"/>
                <w:szCs w:val="20"/>
                <w:color w:val="auto"/>
              </w:rPr>
            </w:pPr>
            <w:r>
              <w:rPr>
                <w:rFonts w:ascii="Arial" w:cs="Arial" w:eastAsia="Arial" w:hAnsi="Arial"/>
                <w:sz w:val="18"/>
                <w:szCs w:val="18"/>
                <w:color w:val="auto"/>
              </w:rPr>
              <w:t>5,434(5) $</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242,845</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6,210(6)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277,525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9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5,562(7) $</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248,566</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225,193</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Kenneth R. Wyman</w:t>
            </w:r>
          </w:p>
        </w:tc>
        <w:tc>
          <w:tcPr>
            <w:tcW w:w="1940" w:type="dxa"/>
            <w:vAlign w:val="bottom"/>
            <w:gridSpan w:val="3"/>
          </w:tcPr>
          <w:p>
            <w:pPr>
              <w:jc w:val="right"/>
              <w:ind w:right="5"/>
              <w:spacing w:after="0"/>
              <w:rPr>
                <w:sz w:val="20"/>
                <w:szCs w:val="20"/>
                <w:color w:val="auto"/>
              </w:rPr>
            </w:pPr>
            <w:r>
              <w:rPr>
                <w:rFonts w:ascii="Arial" w:cs="Arial" w:eastAsia="Arial" w:hAnsi="Arial"/>
                <w:sz w:val="18"/>
                <w:szCs w:val="18"/>
                <w:color w:val="auto"/>
              </w:rPr>
              <w:t>720(9) $</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32,177</w:t>
            </w: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420(10) $</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18,770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Value is based on the closing price of the Company’s common stock of $44.69 on December 31, 2018, as reported on the Nasdaq Global Market.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Comprised of shares of restricted stock that are subject to future performance goals under the Company’s Long-Term Equity Incentive Program.</w:t>
      </w:r>
    </w:p>
    <w:p>
      <w:pPr>
        <w:spacing w:after="0" w:line="248" w:lineRule="exact"/>
        <w:rPr>
          <w:rFonts w:ascii="Arial" w:cs="Arial" w:eastAsia="Arial" w:hAnsi="Arial"/>
          <w:sz w:val="16"/>
          <w:szCs w:val="16"/>
          <w:color w:val="auto"/>
        </w:rPr>
      </w:pPr>
    </w:p>
    <w:p>
      <w:pPr>
        <w:ind w:left="660" w:right="300" w:hanging="652"/>
        <w:spacing w:after="0" w:line="381" w:lineRule="auto"/>
        <w:tabs>
          <w:tab w:leader="none" w:pos="6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Consists of Time-Based Awards, including performance based awards that were previously earned but remain subject to time based vesting. Of these shares, 14,820 shares vest in 2019; 7,292 shares vest in 2020; and 3,764 shares vest in 2021, in each case subject to continued employment.</w:t>
      </w:r>
    </w:p>
    <w:p>
      <w:pPr>
        <w:spacing w:after="0" w:line="100" w:lineRule="exact"/>
        <w:rPr>
          <w:rFonts w:ascii="Arial" w:cs="Arial" w:eastAsia="Arial" w:hAnsi="Arial"/>
          <w:sz w:val="15"/>
          <w:szCs w:val="15"/>
          <w:color w:val="auto"/>
        </w:rPr>
      </w:pPr>
    </w:p>
    <w:p>
      <w:pPr>
        <w:ind w:left="660" w:right="140" w:hanging="652"/>
        <w:spacing w:after="0" w:line="264"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10,472 shares of restricted stock that were granted in 2018 and 30,504 shares granted in previous years, that were not vested as of December 31, 2018. These shares were earned based on achievement of performance goals for 2018, of which 4,019 shares vested on February 15, 2019 and 3,491 vested on March 13, 2019.</w:t>
      </w:r>
    </w:p>
    <w:p>
      <w:pPr>
        <w:spacing w:after="0" w:line="181" w:lineRule="exact"/>
        <w:rPr>
          <w:rFonts w:ascii="Arial" w:cs="Arial" w:eastAsia="Arial" w:hAnsi="Arial"/>
          <w:sz w:val="18"/>
          <w:szCs w:val="18"/>
          <w:color w:val="auto"/>
        </w:rPr>
      </w:pPr>
    </w:p>
    <w:p>
      <w:pPr>
        <w:ind w:left="660" w:right="160" w:hanging="652"/>
        <w:spacing w:after="0" w:line="342" w:lineRule="auto"/>
        <w:tabs>
          <w:tab w:leader="none" w:pos="6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time based awards, including performance based awards that were previously earned but remain subject to time based vesting. Of these shares, 3,194 shares vest in 2019; 1,535 shares vest in 2020; and 705 shares vest in 2021, in each case subject to continued employment.</w:t>
      </w:r>
    </w:p>
    <w:p>
      <w:pPr>
        <w:spacing w:after="0" w:line="123" w:lineRule="exact"/>
        <w:rPr>
          <w:rFonts w:ascii="Arial" w:cs="Arial" w:eastAsia="Arial" w:hAnsi="Arial"/>
          <w:sz w:val="16"/>
          <w:szCs w:val="16"/>
          <w:color w:val="auto"/>
        </w:rPr>
      </w:pPr>
    </w:p>
    <w:p>
      <w:pPr>
        <w:ind w:left="660" w:right="280" w:hanging="652"/>
        <w:spacing w:after="0" w:line="264"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2,184 shares of restricted stock that were granted in 2018 and 4,026 shares granted in previous years, that were not vested as of December 31, 2018. These shares were earned based on achievement of performance goals for 2018, of which 217 shares vested on February 15, 2019 and 728 vested on March 13, 2019.</w:t>
      </w:r>
    </w:p>
    <w:p>
      <w:pPr>
        <w:spacing w:after="0" w:line="181" w:lineRule="exact"/>
        <w:rPr>
          <w:rFonts w:ascii="Arial" w:cs="Arial" w:eastAsia="Arial" w:hAnsi="Arial"/>
          <w:sz w:val="18"/>
          <w:szCs w:val="18"/>
          <w:color w:val="auto"/>
        </w:rPr>
      </w:pPr>
    </w:p>
    <w:p>
      <w:pPr>
        <w:ind w:left="660" w:right="120" w:hanging="652"/>
        <w:spacing w:after="0" w:line="342" w:lineRule="auto"/>
        <w:tabs>
          <w:tab w:leader="none" w:pos="6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time based awards, including performance based awards that were previously earned but remain subject to time based vesting. Of these shares, 2,628 shares vest in 2019; 1,808 shares vest in 2020; and 1,126 shares vest in 2021, in each case subject to continued employment.</w:t>
      </w:r>
    </w:p>
    <w:p>
      <w:pPr>
        <w:spacing w:after="0" w:line="123" w:lineRule="exact"/>
        <w:rPr>
          <w:rFonts w:ascii="Arial" w:cs="Arial" w:eastAsia="Arial" w:hAnsi="Arial"/>
          <w:sz w:val="16"/>
          <w:szCs w:val="16"/>
          <w:color w:val="auto"/>
        </w:rPr>
      </w:pPr>
    </w:p>
    <w:p>
      <w:pPr>
        <w:ind w:left="660" w:right="280" w:hanging="652"/>
        <w:spacing w:after="0" w:line="264"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1,877 shares of restricted stock that were granted in 2018 and 3,162 shares granted in previous years, that were not vested as of December 31, 2018. These shares were earned based on achievement of performance goals for 2018, of which 493 shares vested on February 15, 2019 and 626 vested on March 13, 2019.</w:t>
      </w:r>
    </w:p>
    <w:p>
      <w:pPr>
        <w:spacing w:after="0" w:line="181" w:lineRule="exact"/>
        <w:rPr>
          <w:rFonts w:ascii="Arial" w:cs="Arial" w:eastAsia="Arial" w:hAnsi="Arial"/>
          <w:sz w:val="18"/>
          <w:szCs w:val="18"/>
          <w:color w:val="auto"/>
        </w:rPr>
      </w:pPr>
    </w:p>
    <w:p>
      <w:pPr>
        <w:ind w:left="660" w:right="160" w:hanging="652"/>
        <w:spacing w:after="0" w:line="342" w:lineRule="auto"/>
        <w:tabs>
          <w:tab w:leader="none" w:pos="6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time based awards, including performance based awards that were previously earned but remain subject to time based vesting, Of these shares, 453 shares vest in 2019; 197 shares vest in 2020; and 70 shares vest in 2021, in each case subject to continued employment.</w:t>
      </w:r>
    </w:p>
    <w:p>
      <w:pPr>
        <w:spacing w:after="0" w:line="123" w:lineRule="exact"/>
        <w:rPr>
          <w:rFonts w:ascii="Arial" w:cs="Arial" w:eastAsia="Arial" w:hAnsi="Arial"/>
          <w:sz w:val="16"/>
          <w:szCs w:val="16"/>
          <w:color w:val="auto"/>
        </w:rPr>
      </w:pPr>
    </w:p>
    <w:p>
      <w:pPr>
        <w:ind w:left="660" w:right="160" w:hanging="652"/>
        <w:spacing w:after="0" w:line="277" w:lineRule="auto"/>
        <w:tabs>
          <w:tab w:leader="none" w:pos="6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420 shares of restricted stock that were granted in 2018 but were not vested as of December 31, 2018. These shares were earned based on achievement of performance goals for 2018, of which 140 shares vested on March 13,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2018</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regarding restricted stock awards that vested during 2018 for each of the Named Officers. No options were owned or exercised by the Named Officers in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Stock Awards</w:t>
            </w:r>
          </w:p>
        </w:tc>
        <w:tc>
          <w:tcPr>
            <w:tcW w:w="2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Number of Shares Acquired on</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Value Realized on Vesting</w:t>
            </w:r>
          </w:p>
        </w:tc>
        <w:tc>
          <w:tcPr>
            <w:tcW w:w="0" w:type="dxa"/>
            <w:vAlign w:val="bottom"/>
          </w:tcPr>
          <w:p>
            <w:pPr>
              <w:spacing w:after="0"/>
              <w:rPr>
                <w:sz w:val="1"/>
                <w:szCs w:val="1"/>
                <w:color w:val="auto"/>
              </w:rPr>
            </w:pPr>
          </w:p>
        </w:tc>
      </w:tr>
      <w:tr>
        <w:trPr>
          <w:trHeight w:val="149"/>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Vesting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gridSpan w:val="2"/>
            <w:vMerge w:val="continue"/>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jc w:val="right"/>
              <w:ind w:right="9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2520" w:type="dxa"/>
            <w:vAlign w:val="bottom"/>
          </w:tcPr>
          <w:p>
            <w:pPr>
              <w:jc w:val="right"/>
              <w:spacing w:after="0"/>
              <w:rPr>
                <w:sz w:val="20"/>
                <w:szCs w:val="20"/>
                <w:color w:val="auto"/>
              </w:rPr>
            </w:pPr>
            <w:r>
              <w:rPr>
                <w:rFonts w:ascii="Arial" w:cs="Arial" w:eastAsia="Arial" w:hAnsi="Arial"/>
                <w:sz w:val="18"/>
                <w:szCs w:val="18"/>
                <w:color w:val="auto"/>
              </w:rPr>
              <w:t>3,900</w:t>
            </w:r>
          </w:p>
        </w:tc>
        <w:tc>
          <w:tcPr>
            <w:tcW w:w="14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157,867</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290,269</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Kenneth R. Wyman</w:t>
            </w:r>
          </w:p>
        </w:tc>
        <w:tc>
          <w:tcPr>
            <w:tcW w:w="266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22,133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Company has an employment agreement with Richard S. Warzala, President, Chief Executive Officer and Chairman of the Board. The terms of this agreement are described in detail under the caption “Compensation of Executive Officers — Chief Executive Officer Employment Agreement”.</w:t>
      </w:r>
    </w:p>
    <w:p>
      <w:pPr>
        <w:spacing w:after="0" w:line="12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The following table shows potential payouts under the Mr. Warzala’s Employment Agreement assuming that employment was terminated in each situation listed in the table and that termination occurred on the last business day of 2018. Upon a change in control of the Company, the executive would be entitled to payments and benefits under the change in control agreement discussed below and such payments are not to be duplicated by any requirements of the Employment Agreement. Refer to </w:t>
      </w: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following the change in control tables for descriptions of terms used.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Voluntary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Voluntary</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Resignation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Resignation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without Good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with Good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Reason or</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Reason or</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Death 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with Cause(1)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Without Cause</w:t>
            </w:r>
          </w:p>
        </w:tc>
        <w:tc>
          <w:tcPr>
            <w:tcW w:w="20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Disability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Severance Pay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0"/>
              <w:spacing w:after="0"/>
              <w:rPr>
                <w:sz w:val="20"/>
                <w:szCs w:val="20"/>
                <w:color w:val="auto"/>
              </w:rPr>
            </w:pPr>
            <w:r>
              <w:rPr>
                <w:rFonts w:ascii="Arial" w:cs="Arial" w:eastAsia="Arial" w:hAnsi="Arial"/>
                <w:sz w:val="18"/>
                <w:szCs w:val="18"/>
                <w:color w:val="auto"/>
              </w:rPr>
              <w:t>517,500(2) $</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129,375(3)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Annual Cash Incentive Compensation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465,750(4)</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362,250(5)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362,250(5)</w:t>
            </w: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Return on Equity Cash Incentive Award (6)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514,000</w:t>
            </w:r>
          </w:p>
        </w:tc>
        <w:tc>
          <w:tcPr>
            <w:tcW w:w="2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514,000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514,000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Performance-Based Stock Awards (7)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2,339,787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2,339,787</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Accelerated Vesting of Time-Based Equity Awards (8)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2,532,573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2,532,573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2,532,573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Healthcare and other Insurance Benefits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45,000(9)</w:t>
            </w: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6,414,610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5,877,985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3,408,823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77"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Termination due to resignation or involuntary termination with cause does not affect the Company’s obligation to make all payments to the executive which were fixed and determined prior to the effective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12 months Base Salary payable in cash over a 12-month period.</w:t>
      </w:r>
    </w:p>
    <w:p>
      <w:pPr>
        <w:spacing w:after="0" w:line="225" w:lineRule="exact"/>
        <w:rPr>
          <w:rFonts w:ascii="Arial" w:cs="Arial" w:eastAsia="Arial" w:hAnsi="Arial"/>
          <w:sz w:val="18"/>
          <w:szCs w:val="18"/>
          <w:color w:val="auto"/>
        </w:rPr>
      </w:pPr>
    </w:p>
    <w:p>
      <w:pPr>
        <w:ind w:left="660" w:right="140" w:hanging="652"/>
        <w:spacing w:after="0" w:line="286" w:lineRule="auto"/>
        <w:tabs>
          <w:tab w:leader="none" w:pos="667" w:val="left"/>
        </w:tabs>
        <w:numPr>
          <w:ilvl w:val="0"/>
          <w:numId w:val="19"/>
        </w:numPr>
        <w:rPr>
          <w:rFonts w:ascii="Arial" w:cs="Arial" w:eastAsia="Arial" w:hAnsi="Arial"/>
          <w:sz w:val="17"/>
          <w:szCs w:val="17"/>
          <w:color w:val="auto"/>
        </w:rPr>
      </w:pPr>
      <w:r>
        <w:rPr>
          <w:rFonts w:ascii="Arial" w:cs="Arial" w:eastAsia="Arial" w:hAnsi="Arial"/>
          <w:sz w:val="17"/>
          <w:szCs w:val="17"/>
          <w:color w:val="auto"/>
        </w:rPr>
        <w:t>Upon death, salary continues to the end of the month containing the date of death and for three months following. For disability, the Company shall continue the executive’s salary (adjusted for any compensation payable to him under any Company paid disability plan during such period) for the greater of (x) the remaining term of the Agreement or (y) until long term disability insurance coverage becomes effective.</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90% of Base Salary for the year in which the termination date occurs.</w:t>
      </w:r>
    </w:p>
    <w:p>
      <w:pPr>
        <w:spacing w:after="0" w:line="225" w:lineRule="exact"/>
        <w:rPr>
          <w:rFonts w:ascii="Arial" w:cs="Arial" w:eastAsia="Arial" w:hAnsi="Arial"/>
          <w:sz w:val="18"/>
          <w:szCs w:val="18"/>
          <w:color w:val="auto"/>
        </w:rPr>
      </w:pPr>
    </w:p>
    <w:p>
      <w:pPr>
        <w:ind w:left="660" w:right="500" w:hanging="652"/>
        <w:spacing w:after="0" w:line="277"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year in which employment is terminated) of the executive’s Annual Cash Incentive bonus for the year.</w:t>
      </w:r>
    </w:p>
    <w:p>
      <w:pPr>
        <w:spacing w:after="0" w:line="170" w:lineRule="exact"/>
        <w:rPr>
          <w:rFonts w:ascii="Arial" w:cs="Arial" w:eastAsia="Arial" w:hAnsi="Arial"/>
          <w:sz w:val="18"/>
          <w:szCs w:val="18"/>
          <w:color w:val="auto"/>
        </w:rPr>
      </w:pPr>
    </w:p>
    <w:p>
      <w:pPr>
        <w:ind w:left="660" w:right="500" w:hanging="652"/>
        <w:spacing w:after="0" w:line="277"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year in which employment is terminated) of the executive’s Return on Equity Cash Incentive award based on the return on equity performance criteria for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20" w:hanging="652"/>
        <w:spacing w:after="0" w:line="277"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applicable performance period during which employment is terminated or death occurs) of performance-based awards with respect to open performance periods.</w:t>
      </w:r>
    </w:p>
    <w:p>
      <w:pPr>
        <w:spacing w:after="0" w:line="170" w:lineRule="exact"/>
        <w:rPr>
          <w:rFonts w:ascii="Arial" w:cs="Arial" w:eastAsia="Arial" w:hAnsi="Arial"/>
          <w:sz w:val="18"/>
          <w:szCs w:val="18"/>
          <w:color w:val="auto"/>
        </w:rPr>
      </w:pPr>
    </w:p>
    <w:p>
      <w:pPr>
        <w:ind w:left="660" w:right="240" w:hanging="652"/>
        <w:spacing w:after="0" w:line="264"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acceleration of all time-based stock awards, including performance-based awards that were previously earned but remain subject to time-based vesting at the Date of Termination, based on our closing stock price of $44.69 per share as of December 31, 2018, plus accrued dividends.</w:t>
      </w:r>
    </w:p>
    <w:p>
      <w:pPr>
        <w:spacing w:after="0" w:line="181" w:lineRule="exact"/>
        <w:rPr>
          <w:rFonts w:ascii="Arial" w:cs="Arial" w:eastAsia="Arial" w:hAnsi="Arial"/>
          <w:sz w:val="18"/>
          <w:szCs w:val="18"/>
          <w:color w:val="auto"/>
        </w:rPr>
      </w:pPr>
    </w:p>
    <w:p>
      <w:pPr>
        <w:ind w:left="660" w:right="180" w:hanging="652"/>
        <w:spacing w:after="0" w:line="277"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estimated incremental cost to the Company for one year of health, dental, long-term disability and life insurance coverages based on the coverage that existed at the Date of Termination.</w:t>
      </w:r>
    </w:p>
    <w:p>
      <w:pPr>
        <w:spacing w:after="0" w:line="170" w:lineRule="exact"/>
        <w:rPr>
          <w:rFonts w:ascii="Arial" w:cs="Arial" w:eastAsia="Arial" w:hAnsi="Arial"/>
          <w:sz w:val="18"/>
          <w:szCs w:val="18"/>
          <w:color w:val="auto"/>
        </w:rPr>
      </w:pPr>
    </w:p>
    <w:p>
      <w:pPr>
        <w:ind w:left="660" w:right="160" w:hanging="652"/>
        <w:spacing w:after="0" w:line="277" w:lineRule="auto"/>
        <w:tabs>
          <w:tab w:leader="none" w:pos="6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disability, the Company shall continue the same coverage under medical, dental, long-term disability and life insurance for the greater of (x) the remaining term of the Agreement or (y) until long term disability insurance coverage becomes 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Company has also entered into separate agreements with Messrs. Warzala, Leach and Maida that provide for certain payments upon termination of employment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 The most significant components of those benefits are as follows:</w:t>
      </w:r>
    </w:p>
    <w:p>
      <w:pPr>
        <w:spacing w:after="0" w:line="167" w:lineRule="exact"/>
        <w:rPr>
          <w:sz w:val="20"/>
          <w:szCs w:val="20"/>
          <w:color w:val="auto"/>
        </w:rPr>
      </w:pPr>
    </w:p>
    <w:p>
      <w:pPr>
        <w:ind w:left="660" w:right="320" w:hanging="328"/>
        <w:spacing w:after="0" w:line="264"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severance payment equal to a multiple (2.5 times for Mr. Warzala and 1.0 times for Messrs. Leach and Maida) of the executive’s annual Base Salary plus the highest amount paid or payable pursuant to the Annual Cash Incentive plan applicable to the executive for any of the 3 prior fiscal years;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benefit payment equal to 25% of annual salary for 24 months to purchase healthcare and other insurance benefits;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of all legal fees and expenses incurred as a result of termination;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Warzala’s agreement provides for a prorata payment for the current year benefit pursuant to any annual or long-term incentive plan applicable to the executive for the year that includes the Date of Termination.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tables show potential payouts under the change of control agreements assuming that the employment of the executive was terminated in each situation listed in the table and that termination occurred on the last business day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Richard S. Warzala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left="125"/>
              <w:spacing w:after="0"/>
              <w:rPr>
                <w:sz w:val="20"/>
                <w:szCs w:val="20"/>
                <w:color w:val="auto"/>
              </w:rPr>
            </w:pPr>
            <w:r>
              <w:rPr>
                <w:rFonts w:ascii="Arial" w:cs="Arial" w:eastAsia="Arial" w:hAnsi="Arial"/>
                <w:sz w:val="14"/>
                <w:szCs w:val="14"/>
                <w:b w:val="1"/>
                <w:bCs w:val="1"/>
                <w:color w:val="auto"/>
                <w:w w:val="95"/>
              </w:rPr>
              <w:t>Voluntary</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Voluntary</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2"/>
              </w:rPr>
              <w:t>Resignation without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Resignation with</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5"/>
              </w:rPr>
              <w:t>Involuntary</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6"/>
              </w:rPr>
              <w:t>Termination with</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Termination Without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left="145"/>
              <w:spacing w:after="0"/>
              <w:rPr>
                <w:sz w:val="20"/>
                <w:szCs w:val="20"/>
                <w:color w:val="auto"/>
              </w:rPr>
            </w:pPr>
            <w:r>
              <w:rPr>
                <w:rFonts w:ascii="Arial" w:cs="Arial" w:eastAsia="Arial" w:hAnsi="Arial"/>
                <w:sz w:val="14"/>
                <w:szCs w:val="14"/>
                <w:b w:val="1"/>
                <w:bCs w:val="1"/>
                <w:color w:val="auto"/>
                <w:w w:val="85"/>
              </w:rPr>
              <w:t>Cause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Cause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1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Severance Pay (1)</w:t>
            </w:r>
          </w:p>
        </w:tc>
        <w:tc>
          <w:tcPr>
            <w:tcW w:w="3460" w:type="dxa"/>
            <w:vAlign w:val="bottom"/>
            <w:gridSpan w:val="3"/>
          </w:tcPr>
          <w:p>
            <w:pPr>
              <w:jc w:val="right"/>
              <w:ind w:right="1325"/>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2,648,960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Annual Cash Incentive Compensation (2)</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362,250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Return on Equity Cash Incentive Award (3)</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514,000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(4)</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949,000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Arial" w:cs="Arial" w:eastAsia="Arial" w:hAnsi="Arial"/>
                <w:sz w:val="18"/>
                <w:szCs w:val="18"/>
                <w:color w:val="auto"/>
              </w:rPr>
              <w:t>Performance-Based Stock Awards (5)</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2,339,787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Accelerated Vesting of Time-Based Equity Awards (6)</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2,532,573</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Benefits: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Healthcare and other Insurance Benefits (7)</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258,750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bottom w:val="single" w:sz="8" w:color="auto"/>
            </w:tcBorders>
          </w:tcPr>
          <w:p>
            <w:pPr>
              <w:jc w:val="right"/>
              <w:ind w:right="132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9,605,320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80" w:type="dxa"/>
            <w:vAlign w:val="bottom"/>
            <w:vMerge w:val="restart"/>
          </w:tcPr>
          <w:p>
            <w:pPr>
              <w:jc w:val="right"/>
              <w:ind w:right="65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6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540" w:hanging="652"/>
        <w:spacing w:after="0" w:line="277"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lump sum severance payment equal to 2.5 times the sum of the Base Salary and the highest amount paid or payable pursuant to the Annual Cash Incentive Plan for any of the 3 fiscal years ending prior to the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540" w:hanging="652"/>
        <w:spacing w:after="0" w:line="277"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year in which employment is terminated) of the executive’s Return on Equity Cash Incentive award based on the return on equity performance criteria for the year.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a severance payment equal to the total of the previous three years performance awards under the Deferred Compensation Plan.</w:t>
      </w:r>
    </w:p>
    <w:p>
      <w:pPr>
        <w:spacing w:after="0" w:line="236" w:lineRule="exact"/>
        <w:rPr>
          <w:rFonts w:ascii="Arial" w:cs="Arial" w:eastAsia="Arial" w:hAnsi="Arial"/>
          <w:sz w:val="17"/>
          <w:szCs w:val="17"/>
          <w:color w:val="auto"/>
        </w:rPr>
      </w:pPr>
    </w:p>
    <w:p>
      <w:pPr>
        <w:ind w:left="660" w:right="780" w:hanging="652"/>
        <w:spacing w:after="0" w:line="277"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calendar months employed during the applicable performance period during which employment is terminated) of the cash or securities under any performance-based awards.</w:t>
      </w:r>
    </w:p>
    <w:p>
      <w:pPr>
        <w:spacing w:after="0" w:line="170" w:lineRule="exact"/>
        <w:rPr>
          <w:rFonts w:ascii="Arial" w:cs="Arial" w:eastAsia="Arial" w:hAnsi="Arial"/>
          <w:sz w:val="18"/>
          <w:szCs w:val="18"/>
          <w:color w:val="auto"/>
        </w:rPr>
      </w:pPr>
    </w:p>
    <w:p>
      <w:pPr>
        <w:ind w:left="660" w:right="240" w:hanging="652"/>
        <w:spacing w:after="0" w:line="264"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acceleration of all time-based stock awards, including performance-based awards that were previously earned but remain subject to time-based vesting at the Date of Termination, based on our closing stock price of $44.69 per share as of December 31, 2018, plus accrued dividends.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Michael R. Leach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left="125"/>
              <w:spacing w:after="0"/>
              <w:rPr>
                <w:sz w:val="20"/>
                <w:szCs w:val="20"/>
                <w:color w:val="auto"/>
              </w:rPr>
            </w:pPr>
            <w:r>
              <w:rPr>
                <w:rFonts w:ascii="Arial" w:cs="Arial" w:eastAsia="Arial" w:hAnsi="Arial"/>
                <w:sz w:val="14"/>
                <w:szCs w:val="14"/>
                <w:b w:val="1"/>
                <w:bCs w:val="1"/>
                <w:color w:val="auto"/>
                <w:w w:val="95"/>
              </w:rPr>
              <w:t>Voluntary</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Voluntary</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2"/>
              </w:rPr>
              <w:t>Resignation without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Resignation with</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5"/>
              </w:rPr>
              <w:t>Involuntary</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6"/>
              </w:rPr>
              <w:t>Termination with</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Termination Without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left="145"/>
              <w:spacing w:after="0"/>
              <w:rPr>
                <w:sz w:val="20"/>
                <w:szCs w:val="20"/>
                <w:color w:val="auto"/>
              </w:rPr>
            </w:pPr>
            <w:r>
              <w:rPr>
                <w:rFonts w:ascii="Arial" w:cs="Arial" w:eastAsia="Arial" w:hAnsi="Arial"/>
                <w:sz w:val="14"/>
                <w:szCs w:val="14"/>
                <w:b w:val="1"/>
                <w:bCs w:val="1"/>
                <w:color w:val="auto"/>
                <w:w w:val="85"/>
              </w:rPr>
              <w:t>Cause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Cause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0"/>
              <w:spacing w:after="0"/>
              <w:rPr>
                <w:sz w:val="20"/>
                <w:szCs w:val="20"/>
                <w:color w:val="auto"/>
              </w:rPr>
            </w:pPr>
            <w:r>
              <w:rPr>
                <w:rFonts w:ascii="Arial" w:cs="Arial" w:eastAsia="Arial" w:hAnsi="Arial"/>
                <w:sz w:val="18"/>
                <w:szCs w:val="18"/>
                <w:color w:val="auto"/>
              </w:rPr>
              <w:t>Severance Pay (1)</w:t>
            </w:r>
          </w:p>
        </w:tc>
        <w:tc>
          <w:tcPr>
            <w:tcW w:w="3460" w:type="dxa"/>
            <w:vAlign w:val="bottom"/>
            <w:gridSpan w:val="3"/>
          </w:tcPr>
          <w:p>
            <w:pPr>
              <w:jc w:val="right"/>
              <w:ind w:right="1325"/>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366,535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Annual Cash Incentive Compensation(2)</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0"/>
              <w:spacing w:after="0"/>
              <w:rPr>
                <w:sz w:val="20"/>
                <w:szCs w:val="20"/>
                <w:color w:val="auto"/>
              </w:rPr>
            </w:pPr>
            <w:r>
              <w:rPr>
                <w:rFonts w:ascii="Arial" w:cs="Arial" w:eastAsia="Arial" w:hAnsi="Arial"/>
                <w:sz w:val="18"/>
                <w:szCs w:val="18"/>
                <w:color w:val="auto"/>
              </w:rPr>
              <w:t>Performance-Based Stock Awards (3)</w:t>
            </w:r>
          </w:p>
        </w:tc>
        <w:tc>
          <w:tcPr>
            <w:tcW w:w="3460" w:type="dxa"/>
            <w:vAlign w:val="bottom"/>
            <w:gridSpan w:val="3"/>
          </w:tcPr>
          <w:p>
            <w:pPr>
              <w:jc w:val="right"/>
              <w:ind w:right="1325"/>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304,098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Accelerated Vesting of Time-Based Equity Awards (4)</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425,320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Healthcare and other Insurance Benefits (5)</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bottom w:val="single" w:sz="8" w:color="auto"/>
            </w:tcBorders>
          </w:tcPr>
          <w:p>
            <w:pPr>
              <w:jc w:val="right"/>
              <w:ind w:right="132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1,352,453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Robert P. Maida</w:t>
            </w: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6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center"/>
              <w:ind w:left="125"/>
              <w:spacing w:after="0"/>
              <w:rPr>
                <w:sz w:val="20"/>
                <w:szCs w:val="20"/>
                <w:color w:val="auto"/>
              </w:rPr>
            </w:pPr>
            <w:r>
              <w:rPr>
                <w:rFonts w:ascii="Arial" w:cs="Arial" w:eastAsia="Arial" w:hAnsi="Arial"/>
                <w:sz w:val="14"/>
                <w:szCs w:val="14"/>
                <w:b w:val="1"/>
                <w:bCs w:val="1"/>
                <w:color w:val="auto"/>
                <w:w w:val="95"/>
              </w:rPr>
              <w:t>Voluntary</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Voluntary</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2"/>
              </w:rPr>
              <w:t>Resignation without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Resignation with</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5"/>
              </w:rPr>
              <w:t>Involuntary</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6"/>
              </w:rPr>
              <w:t>Termination with</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Termination Without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left="145"/>
              <w:spacing w:after="0"/>
              <w:rPr>
                <w:sz w:val="20"/>
                <w:szCs w:val="20"/>
                <w:color w:val="auto"/>
              </w:rPr>
            </w:pPr>
            <w:r>
              <w:rPr>
                <w:rFonts w:ascii="Arial" w:cs="Arial" w:eastAsia="Arial" w:hAnsi="Arial"/>
                <w:sz w:val="14"/>
                <w:szCs w:val="14"/>
                <w:b w:val="1"/>
                <w:bCs w:val="1"/>
                <w:color w:val="auto"/>
                <w:w w:val="85"/>
              </w:rPr>
              <w:t>Cause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Cause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0"/>
              <w:spacing w:after="0"/>
              <w:rPr>
                <w:sz w:val="20"/>
                <w:szCs w:val="20"/>
                <w:color w:val="auto"/>
              </w:rPr>
            </w:pPr>
            <w:r>
              <w:rPr>
                <w:rFonts w:ascii="Arial" w:cs="Arial" w:eastAsia="Arial" w:hAnsi="Arial"/>
                <w:sz w:val="18"/>
                <w:szCs w:val="18"/>
                <w:color w:val="auto"/>
              </w:rPr>
              <w:t>Severance Pay (1)</w:t>
            </w:r>
          </w:p>
        </w:tc>
        <w:tc>
          <w:tcPr>
            <w:tcW w:w="3460" w:type="dxa"/>
            <w:vAlign w:val="bottom"/>
            <w:gridSpan w:val="3"/>
          </w:tcPr>
          <w:p>
            <w:pPr>
              <w:jc w:val="right"/>
              <w:ind w:right="1325"/>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378,936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Annual Cash Incentive Compensation (2)</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0"/>
              <w:spacing w:after="0"/>
              <w:rPr>
                <w:sz w:val="20"/>
                <w:szCs w:val="20"/>
                <w:color w:val="auto"/>
              </w:rPr>
            </w:pPr>
            <w:r>
              <w:rPr>
                <w:rFonts w:ascii="Arial" w:cs="Arial" w:eastAsia="Arial" w:hAnsi="Arial"/>
                <w:sz w:val="18"/>
                <w:szCs w:val="18"/>
                <w:color w:val="auto"/>
              </w:rPr>
              <w:t>Performance-Based Stock Awards (3)</w:t>
            </w:r>
          </w:p>
        </w:tc>
        <w:tc>
          <w:tcPr>
            <w:tcW w:w="3460" w:type="dxa"/>
            <w:vAlign w:val="bottom"/>
            <w:gridSpan w:val="3"/>
          </w:tcPr>
          <w:p>
            <w:pPr>
              <w:jc w:val="right"/>
              <w:ind w:right="1325"/>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279,672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Accelerated Vesting of Time-Based Equity Awards (4)</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475,169</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Healthcare and other Insurance Benefits (5)</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spacing w:after="0"/>
              <w:rPr>
                <w:sz w:val="18"/>
                <w:szCs w:val="18"/>
                <w:color w:val="auto"/>
              </w:rPr>
            </w:pPr>
          </w:p>
        </w:tc>
        <w:tc>
          <w:tcPr>
            <w:tcW w:w="1500" w:type="dxa"/>
            <w:vAlign w:val="bottom"/>
            <w:tcBorders>
              <w:bottom w:val="single" w:sz="8" w:color="auto"/>
            </w:tcBorders>
          </w:tcPr>
          <w:p>
            <w:pPr>
              <w:jc w:val="right"/>
              <w:ind w:right="132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1,354,277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80" w:type="dxa"/>
            <w:vAlign w:val="bottom"/>
            <w:vMerge w:val="restart"/>
          </w:tcPr>
          <w:p>
            <w:pPr>
              <w:jc w:val="right"/>
              <w:ind w:right="65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460" w:hanging="652"/>
        <w:spacing w:after="0" w:line="277" w:lineRule="auto"/>
        <w:tabs>
          <w:tab w:leader="none" w:pos="6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lump sum severance payment equal to 1.0 times the sum of the Base Salary and the highest amount paid or payable pursuant to the Annual Cash Incentive Plan for any of the 3 fiscal years ending prior to the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700" w:hanging="652"/>
        <w:spacing w:after="0" w:line="277" w:lineRule="auto"/>
        <w:tabs>
          <w:tab w:leader="none" w:pos="6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calendar months employed during the applicable performance period during which employment is terminated) of the cash or securities under any performance-based awards.</w:t>
      </w:r>
    </w:p>
    <w:p>
      <w:pPr>
        <w:spacing w:after="0" w:line="170" w:lineRule="exact"/>
        <w:rPr>
          <w:rFonts w:ascii="Arial" w:cs="Arial" w:eastAsia="Arial" w:hAnsi="Arial"/>
          <w:sz w:val="18"/>
          <w:szCs w:val="18"/>
          <w:color w:val="auto"/>
        </w:rPr>
      </w:pPr>
    </w:p>
    <w:p>
      <w:pPr>
        <w:ind w:left="660" w:right="160" w:hanging="652"/>
        <w:spacing w:after="0" w:line="264" w:lineRule="auto"/>
        <w:tabs>
          <w:tab w:leader="none" w:pos="6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acceleration of all time-based stock awards, including performance-based awards that were previously earned but remain subject to time-based vesting at the Date of Termination, based on our closing stock price of $44.69 per share as of December 31, 2018, plus accrued dividends.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description of the definitions and assumptions that were used in creating the change in control tables above.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Salary” means an amount equal to the annual base salary in effect immediately prior to the Notice of Termination.</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 (iv) the shareholders of the Company approve a merger or consolidation of the Company, with certain exceptions; or (v) 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 (iii) 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TRANSACTIONS AND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has entered into a change in control agreement with certain of the Company’s executive officers. See “Potential Payments Upon Termination or Change in Control”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 Policies and Procedures.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Audit Committee assists the Board in exercising this authority by reviewing each such transaction and then reporting the results of its review to the Board with, if appropriate, a recommendation to approve, ratify or disallow such transaction.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3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1,084,746(2)</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495 Commerce Drive, Suite 3</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Amherst, NY 14228</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280" w:type="dxa"/>
            <w:vAlign w:val="bottom"/>
          </w:tcPr>
          <w:p>
            <w:pPr>
              <w:spacing w:after="0"/>
              <w:rPr>
                <w:sz w:val="17"/>
                <w:szCs w:val="17"/>
                <w:color w:val="auto"/>
              </w:rPr>
            </w:pPr>
          </w:p>
        </w:tc>
        <w:tc>
          <w:tcPr>
            <w:tcW w:w="18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519,310(3)</w:t>
            </w:r>
          </w:p>
        </w:tc>
        <w:tc>
          <w:tcPr>
            <w:tcW w:w="17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55 East 52nd Street</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New York, NY 10055</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515,423(4)</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8422 Newland Drive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Arvada, CO 80003</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percentages are based upon 9,575,605 shares of Common Stock outstanding as of the Record Date.</w:t>
      </w:r>
    </w:p>
    <w:p>
      <w:pPr>
        <w:spacing w:after="0" w:line="225" w:lineRule="exact"/>
        <w:rPr>
          <w:rFonts w:ascii="Arial" w:cs="Arial" w:eastAsia="Arial" w:hAnsi="Arial"/>
          <w:sz w:val="18"/>
          <w:szCs w:val="18"/>
          <w:color w:val="auto"/>
        </w:rPr>
      </w:pPr>
    </w:p>
    <w:p>
      <w:pPr>
        <w:ind w:left="660" w:right="20" w:hanging="652"/>
        <w:spacing w:after="0" w:line="312" w:lineRule="auto"/>
        <w:tabs>
          <w:tab w:leader="none" w:pos="6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115,708 shares of Common Stock granted as incentive restricted shares under the Company’s stock incentive plans that have not yet vested and 15,731 shares of Common Stock credited to the Company’s Employee Stock Ownership Plan (“ESOP”) account of Mr. Warzala. Except as set forth in this note (2), does not include shares held by the ESOP as to which Mr. Warzala serves as one of four trustees.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hanging="652"/>
        <w:spacing w:after="0" w:line="277"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upon a Statement on Schedule 13G filed with the SEC that indicated that BlackRock, Inc. has sole dispositive power with respect to 519,310 shares of Common Stock and sole voting power with respect to 508,660 shares of Common Stock.</w:t>
      </w:r>
    </w:p>
    <w:p>
      <w:pPr>
        <w:spacing w:after="0" w:line="170" w:lineRule="exact"/>
        <w:rPr>
          <w:rFonts w:ascii="Arial" w:cs="Arial" w:eastAsia="Arial" w:hAnsi="Arial"/>
          <w:sz w:val="18"/>
          <w:szCs w:val="18"/>
          <w:color w:val="auto"/>
        </w:rPr>
      </w:pPr>
    </w:p>
    <w:p>
      <w:pPr>
        <w:ind w:left="660" w:right="120" w:hanging="652"/>
        <w:spacing w:after="0" w:line="264"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2,826 shares of Common Stock granted as restricted shares that have not yet vested. Includes (i) 474,377 shares of Common Stock held by Smith Family Trust, of which Mr. Smith is trustee and (ii) 38,220 shares of Common Stock held by UGMA accounts for the benefit of Mr. Smith’s grandchildren.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4"/>
              </w:rPr>
              <w:t>Amount and Nature of Beneficial Ownership</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1"/>
              </w:rPr>
              <w:t>Unvested Restricted</w:t>
            </w:r>
          </w:p>
        </w:tc>
        <w:tc>
          <w:tcPr>
            <w:tcW w:w="92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0"/>
                <w:szCs w:val="10"/>
                <w:color w:val="auto"/>
              </w:rPr>
            </w:pPr>
          </w:p>
        </w:tc>
        <w:tc>
          <w:tcPr>
            <w:tcW w:w="17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3"/>
            <w:vMerge w:val="continue"/>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Beneficial</w:t>
            </w: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Ownership</w:t>
            </w:r>
          </w:p>
        </w:tc>
        <w:tc>
          <w:tcPr>
            <w:tcW w:w="1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Common Stock(1)</w:t>
            </w: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Linda P. Duch</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Richard D. Federico</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35,940</w:t>
            </w:r>
          </w:p>
        </w:tc>
        <w:tc>
          <w:tcPr>
            <w:tcW w:w="1600" w:type="dxa"/>
            <w:vAlign w:val="bottom"/>
          </w:tcPr>
          <w:p>
            <w:pPr>
              <w:jc w:val="right"/>
              <w:spacing w:after="0"/>
              <w:rPr>
                <w:sz w:val="20"/>
                <w:szCs w:val="20"/>
                <w:color w:val="auto"/>
              </w:rPr>
            </w:pPr>
            <w:r>
              <w:rPr>
                <w:rFonts w:ascii="Arial" w:cs="Arial" w:eastAsia="Arial" w:hAnsi="Arial"/>
                <w:sz w:val="18"/>
                <w:szCs w:val="18"/>
                <w:color w:val="auto"/>
              </w:rPr>
              <w:t>3,483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39,423</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(Bud) Laber</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35,270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37,424(2)</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8,350</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18,743</w:t>
            </w: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27,093(3)</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39,520</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56,551(4)</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512,597</w:t>
            </w:r>
          </w:p>
        </w:tc>
        <w:tc>
          <w:tcPr>
            <w:tcW w:w="1600" w:type="dxa"/>
            <w:vAlign w:val="bottom"/>
          </w:tcPr>
          <w:p>
            <w:pPr>
              <w:jc w:val="right"/>
              <w:spacing w:after="0"/>
              <w:rPr>
                <w:sz w:val="20"/>
                <w:szCs w:val="20"/>
                <w:color w:val="auto"/>
              </w:rPr>
            </w:pPr>
            <w:r>
              <w:rPr>
                <w:rFonts w:ascii="Arial" w:cs="Arial" w:eastAsia="Arial" w:hAnsi="Arial"/>
                <w:sz w:val="18"/>
                <w:szCs w:val="18"/>
                <w:color w:val="auto"/>
              </w:rPr>
              <w:t>2,826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515,423(5)</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11,829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14,655</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Timothy T. Tevens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1,516</w:t>
            </w:r>
          </w:p>
        </w:tc>
        <w:tc>
          <w:tcPr>
            <w:tcW w:w="1600" w:type="dxa"/>
            <w:vAlign w:val="bottom"/>
          </w:tcPr>
          <w:p>
            <w:pPr>
              <w:jc w:val="right"/>
              <w:spacing w:after="0"/>
              <w:rPr>
                <w:sz w:val="20"/>
                <w:szCs w:val="20"/>
                <w:color w:val="auto"/>
              </w:rPr>
            </w:pPr>
            <w:r>
              <w:rPr>
                <w:rFonts w:ascii="Arial" w:cs="Arial" w:eastAsia="Arial" w:hAnsi="Arial"/>
                <w:sz w:val="18"/>
                <w:szCs w:val="18"/>
                <w:color w:val="auto"/>
              </w:rPr>
              <w:t>1,464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2,980</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969,038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115,708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1,084,746(6)</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Michael R. Winter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10,402</w:t>
            </w:r>
          </w:p>
        </w:tc>
        <w:tc>
          <w:tcPr>
            <w:tcW w:w="1600" w:type="dxa"/>
            <w:vAlign w:val="bottom"/>
          </w:tcPr>
          <w:p>
            <w:pPr>
              <w:jc w:val="right"/>
              <w:spacing w:after="0"/>
              <w:rPr>
                <w:sz w:val="20"/>
                <w:szCs w:val="20"/>
                <w:color w:val="auto"/>
              </w:rPr>
            </w:pPr>
            <w:r>
              <w:rPr>
                <w:rFonts w:ascii="Arial" w:cs="Arial" w:eastAsia="Arial" w:hAnsi="Arial"/>
                <w:sz w:val="18"/>
                <w:szCs w:val="18"/>
                <w:color w:val="auto"/>
              </w:rPr>
              <w:t>2,826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13,228</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43,933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45,233(7)</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406,713</w:t>
            </w:r>
          </w:p>
        </w:tc>
        <w:tc>
          <w:tcPr>
            <w:tcW w:w="2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406,713(8)</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and executive officers as a group</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2,044,328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2,212,896</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percentages are based upon 9,575,605 shares of Common Stock outstanding as of the Record 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12,000 shares of Common Stock held by Mr. Laber’s 401k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532 shares of Common Stock credited to the ESOP account of Mr. Leach.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2,187 shares of Common Stock credited to the ESOP account of Mr. Maida.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12,744 shares of Common Stock credited to the ESOP account of Mr. Wyman.</w:t>
      </w:r>
    </w:p>
    <w:p>
      <w:pPr>
        <w:spacing w:after="0" w:line="225" w:lineRule="exact"/>
        <w:rPr>
          <w:rFonts w:ascii="Arial" w:cs="Arial" w:eastAsia="Arial" w:hAnsi="Arial"/>
          <w:sz w:val="18"/>
          <w:szCs w:val="18"/>
          <w:color w:val="auto"/>
        </w:rPr>
      </w:pPr>
    </w:p>
    <w:p>
      <w:pPr>
        <w:ind w:left="660" w:right="100" w:hanging="652"/>
        <w:spacing w:after="0" w:line="259" w:lineRule="auto"/>
        <w:tabs>
          <w:tab w:leader="none" w:pos="6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Messrs. Warzala and Leach are trustees of the ESOP and could be deemed to have shared investment power over those shares. The ESOP holds an aggregate of 406,713 shares of Common Stock, including 532 shares credited to the ESOP account of Mr. Leach, 2,187 shares credited to the ESOP account of Mr. Maida, 15,731 shares credited to the ESOP account of Mr. Warzala, and 12,744 shares credited to the ESOP account of Mr. Wyman, previously reported in this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directors, executive officers and greater than ten percent beneficial owners were met for 2018 with the exception of certain filings to report the withholding of shares to pay taxes upon the vesting of restricted stock awards to three executive officers. All reports are current as of the date hereof.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AUDIT </w:t>
      </w:r>
      <w:r>
        <w:rPr>
          <w:rFonts w:ascii="Arial" w:cs="Arial" w:eastAsia="Arial" w:hAnsi="Arial"/>
          <w:sz w:val="17"/>
          <w:szCs w:val="17"/>
          <w:b w:val="1"/>
          <w:bCs w:val="1"/>
          <w:color w:val="auto"/>
        </w:rPr>
        <w:t>COMMITTEE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Management is responsible for the Company’s financial statements and reporting process. The Company’s independent registered public accounting firm, Deloitte &amp; Touch LLP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2018 prior to year-end and all Charter tasks scheduled to be performed in 2019 prior to the filing of this proxy statement. Our work included, among other procedures:</w:t>
      </w:r>
    </w:p>
    <w:p>
      <w:pPr>
        <w:spacing w:after="0" w:line="166"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firstLine="656"/>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70" w:lineRule="exact"/>
        <w:rPr>
          <w:rFonts w:ascii="Arial" w:cs="Arial" w:eastAsia="Arial" w:hAnsi="Arial"/>
          <w:sz w:val="18"/>
          <w:szCs w:val="18"/>
          <w:color w:val="auto"/>
        </w:rPr>
      </w:pPr>
    </w:p>
    <w:p>
      <w:pPr>
        <w:ind w:right="180" w:firstLine="656"/>
        <w:spacing w:after="0" w:line="264"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181" w:lineRule="exact"/>
        <w:rPr>
          <w:rFonts w:ascii="Arial" w:cs="Arial" w:eastAsia="Arial" w:hAnsi="Arial"/>
          <w:sz w:val="18"/>
          <w:szCs w:val="18"/>
          <w:color w:val="auto"/>
        </w:rPr>
      </w:pPr>
    </w:p>
    <w:p>
      <w:pPr>
        <w:ind w:right="180" w:firstLine="656"/>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2018, audited financial statements, the related audit report, and the applicable management’s discussion and analysis.</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2018,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Winter,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Linda P. Duch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J. (Bud) Laber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J. Tanous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T. Tevens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Pre-Approval of Audit and Permitted Non-Audit Services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fees for the audit and other services provided by Deloitte &amp; Touche LLP and EKS&amp;H LLP for 2018 and 2017.</w:t>
      </w:r>
    </w:p>
    <w:p>
      <w:pPr>
        <w:spacing w:after="0" w:line="217"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2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Audit-Related Fees(2)</w:t>
            </w:r>
          </w:p>
        </w:tc>
        <w:tc>
          <w:tcPr>
            <w:tcW w:w="2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44,000</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862,000</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700" w:right="80" w:hanging="655"/>
        <w:spacing w:after="0" w:line="279" w:lineRule="auto"/>
        <w:tabs>
          <w:tab w:leader="none" w:pos="17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 Also included are fees incurred by component auditors in foreign countries for audit services that were directed by EKS&amp;H for 2017.</w:t>
      </w:r>
    </w:p>
    <w:p>
      <w:pPr>
        <w:spacing w:after="0" w:line="171" w:lineRule="exact"/>
        <w:rPr>
          <w:rFonts w:ascii="Arial" w:cs="Arial" w:eastAsia="Arial" w:hAnsi="Arial"/>
          <w:sz w:val="17"/>
          <w:szCs w:val="17"/>
          <w:color w:val="auto"/>
        </w:rPr>
      </w:pPr>
    </w:p>
    <w:p>
      <w:pPr>
        <w:ind w:left="1700" w:hanging="655"/>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Audit-related fees are for benefit plan audits.</w:t>
      </w:r>
    </w:p>
    <w:p>
      <w:pPr>
        <w:spacing w:after="0" w:line="225" w:lineRule="exact"/>
        <w:rPr>
          <w:rFonts w:ascii="Arial" w:cs="Arial" w:eastAsia="Arial" w:hAnsi="Arial"/>
          <w:sz w:val="18"/>
          <w:szCs w:val="18"/>
          <w:color w:val="auto"/>
        </w:rPr>
      </w:pPr>
    </w:p>
    <w:p>
      <w:pPr>
        <w:ind w:left="1700" w:hanging="655"/>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fees consists of fees for tax compliance and tax consulting including services.</w:t>
      </w:r>
    </w:p>
    <w:p>
      <w:pPr>
        <w:spacing w:after="0" w:line="22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Deloitte &amp; Touche LLP’s independence.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Our management does not know of any other matters to come before the 2019 Annual Meeting. However, if any other matters come before the Annual Meeting, it is the intention of the persons designated as proxies to vote in accordance with their judgment on such matters.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2020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2020 Annual Meeting of Shareholders must submit such proposal to the Company at its office at 495 Commerce Drive, Suite 3, Amherst, New York 14228, Attention: Secretary, no later than December 3, 2019, in order to be considered for inclusion, if appropriate, in the Company’s proxy statement and form of proxy relating to its 2020 Annual Meeting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any shareholder proposal to be presented in connection with the 2020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upon a meeting date of May 1, 2019 for the 2019 Annual Meeting of Shareholders, a qualified shareholder intending to introduce a proposal or nominate a director at the 2020 Annual Meeting of Shareholders should give written notice to the Company’s Secretary not later than March 1, 2020 and not earlier than January 30, 2020.</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Such requests and any shareholder proposals should be sent to the Secretary of the Company at Allied Motion Technologies Inc., 495 Commerce Drive, Suite 3, Amherst, New York 14228.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235075" cy="523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50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undersigned hereby appoints Richard S. Warzala and Richard D. Federico,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1, 2019, and at all adjournments thereof, and directs that the shares represented by this proxy should be voted as indicated on the reverse: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MEETING OF SHAREHOLDERS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ALLIED MOTION TECHNOLOGIES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MAY 1, 2019</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www.proxyvote.com</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TO ELECT SEVEN DIRECTORS TO HOLD OFFICE UNTIL THE NEXT ANNUAL MEETING OF SHAREHOLDERS.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NOMINEE: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L.P. Duch</w:t>
            </w: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G.J. Laber</w:t>
            </w: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R.D. Federico</w:t>
            </w: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R.D. Smith</w:t>
            </w: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J.J. Tanous</w:t>
            </w: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R.S. Warzala</w:t>
            </w: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1920" w:type="dxa"/>
            <w:vAlign w:val="bottom"/>
          </w:tcPr>
          <w:p>
            <w:pPr>
              <w:ind w:left="180"/>
              <w:spacing w:after="0"/>
              <w:rPr>
                <w:sz w:val="20"/>
                <w:szCs w:val="20"/>
                <w:color w:val="auto"/>
              </w:rPr>
            </w:pPr>
            <w:r>
              <w:rPr>
                <w:rFonts w:ascii="Arial" w:cs="Arial" w:eastAsia="Arial" w:hAnsi="Arial"/>
                <w:sz w:val="18"/>
                <w:szCs w:val="18"/>
                <w:color w:val="auto"/>
              </w:rPr>
              <w:t>M.R. Winter</w:t>
            </w: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5"/>
          </w:tcPr>
          <w:p>
            <w:pPr>
              <w:ind w:left="180"/>
              <w:spacing w:after="0"/>
              <w:rPr>
                <w:sz w:val="20"/>
                <w:szCs w:val="20"/>
                <w:color w:val="auto"/>
              </w:rPr>
            </w:pPr>
            <w:r>
              <w:rPr>
                <w:rFonts w:ascii="Arial" w:cs="Arial" w:eastAsia="Arial" w:hAnsi="Arial"/>
                <w:sz w:val="18"/>
                <w:szCs w:val="18"/>
                <w:color w:val="auto"/>
              </w:rPr>
              <w:t>ADVISORY VOTE TO APPROVE THE COMPENSATION OF OUR NAMED EXECUTIVE OFFICERS.</w:t>
            </w:r>
          </w:p>
        </w:tc>
      </w:tr>
      <w:tr>
        <w:trPr>
          <w:trHeight w:val="230"/>
        </w:trPr>
        <w:tc>
          <w:tcPr>
            <w:tcW w:w="6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5"/>
          </w:tcPr>
          <w:p>
            <w:pPr>
              <w:ind w:left="180"/>
              <w:spacing w:after="0"/>
              <w:rPr>
                <w:sz w:val="20"/>
                <w:szCs w:val="20"/>
                <w:color w:val="auto"/>
              </w:rPr>
            </w:pPr>
            <w:r>
              <w:rPr>
                <w:rFonts w:ascii="Arial" w:cs="Arial" w:eastAsia="Arial" w:hAnsi="Arial"/>
                <w:sz w:val="18"/>
                <w:szCs w:val="18"/>
                <w:color w:val="auto"/>
              </w:rPr>
              <w:t>ADVISORY VOTE ON THE FREQUENCY OF FUTURE EXECUTIVE COMPENSATION ADVISORY VOTES</w:t>
            </w:r>
          </w:p>
        </w:tc>
      </w:tr>
      <w:tr>
        <w:trPr>
          <w:trHeight w:val="230"/>
        </w:trPr>
        <w:tc>
          <w:tcPr>
            <w:tcW w:w="6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o ONE YEAR</w:t>
            </w:r>
          </w:p>
        </w:tc>
        <w:tc>
          <w:tcPr>
            <w:tcW w:w="1760" w:type="dxa"/>
            <w:vAlign w:val="bottom"/>
          </w:tcPr>
          <w:p>
            <w:pPr>
              <w:ind w:left="280"/>
              <w:spacing w:after="0"/>
              <w:rPr>
                <w:sz w:val="20"/>
                <w:szCs w:val="20"/>
                <w:color w:val="auto"/>
              </w:rPr>
            </w:pPr>
            <w:r>
              <w:rPr>
                <w:rFonts w:ascii="Arial" w:cs="Arial" w:eastAsia="Arial" w:hAnsi="Arial"/>
                <w:sz w:val="18"/>
                <w:szCs w:val="18"/>
                <w:color w:val="auto"/>
              </w:rPr>
              <w:t>o TWO YEARS</w:t>
            </w:r>
          </w:p>
        </w:tc>
        <w:tc>
          <w:tcPr>
            <w:tcW w:w="1900" w:type="dxa"/>
            <w:vAlign w:val="bottom"/>
          </w:tcPr>
          <w:p>
            <w:pPr>
              <w:ind w:left="260"/>
              <w:spacing w:after="0"/>
              <w:rPr>
                <w:sz w:val="20"/>
                <w:szCs w:val="20"/>
                <w:color w:val="auto"/>
              </w:rPr>
            </w:pPr>
            <w:r>
              <w:rPr>
                <w:rFonts w:ascii="Arial" w:cs="Arial" w:eastAsia="Arial" w:hAnsi="Arial"/>
                <w:sz w:val="18"/>
                <w:szCs w:val="18"/>
                <w:color w:val="auto"/>
              </w:rPr>
              <w:t>o THREE YEARS</w:t>
            </w:r>
          </w:p>
        </w:tc>
        <w:tc>
          <w:tcPr>
            <w:tcW w:w="1940" w:type="dxa"/>
            <w:vAlign w:val="bottom"/>
          </w:tcPr>
          <w:p>
            <w:pPr>
              <w:ind w:left="260"/>
              <w:spacing w:after="0"/>
              <w:rPr>
                <w:sz w:val="20"/>
                <w:szCs w:val="20"/>
                <w:color w:val="auto"/>
              </w:rPr>
            </w:pPr>
            <w:r>
              <w:rPr>
                <w:rFonts w:ascii="Arial" w:cs="Arial" w:eastAsia="Arial" w:hAnsi="Arial"/>
                <w:sz w:val="18"/>
                <w:szCs w:val="18"/>
                <w:color w:val="auto"/>
              </w:rPr>
              <w:t>o ABSTAIN</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5"/>
          </w:tcPr>
          <w:p>
            <w:pPr>
              <w:ind w:left="180"/>
              <w:spacing w:after="0"/>
              <w:rPr>
                <w:sz w:val="20"/>
                <w:szCs w:val="20"/>
                <w:color w:val="auto"/>
              </w:rPr>
            </w:pPr>
            <w:r>
              <w:rPr>
                <w:rFonts w:ascii="Arial" w:cs="Arial" w:eastAsia="Arial" w:hAnsi="Arial"/>
                <w:sz w:val="18"/>
                <w:szCs w:val="18"/>
                <w:color w:val="auto"/>
                <w:w w:val="96"/>
              </w:rPr>
              <w:t>RATIFICATION OF THE APPOINTMENT OF THE COMPANY’S INDEPENDENT PUBLIC ACCOUNTING FIRM FOR 2019</w:t>
            </w:r>
          </w:p>
        </w:tc>
      </w:tr>
      <w:tr>
        <w:trPr>
          <w:trHeight w:val="230"/>
        </w:trPr>
        <w:tc>
          <w:tcPr>
            <w:tcW w:w="6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o FOR</w:t>
            </w:r>
          </w:p>
        </w:tc>
        <w:tc>
          <w:tcPr>
            <w:tcW w:w="1760" w:type="dxa"/>
            <w:vAlign w:val="bottom"/>
          </w:tcPr>
          <w:p>
            <w:pPr>
              <w:ind w:left="280"/>
              <w:spacing w:after="0"/>
              <w:rPr>
                <w:sz w:val="20"/>
                <w:szCs w:val="20"/>
                <w:color w:val="auto"/>
              </w:rPr>
            </w:pPr>
            <w:r>
              <w:rPr>
                <w:rFonts w:ascii="Arial" w:cs="Arial" w:eastAsia="Arial" w:hAnsi="Arial"/>
                <w:sz w:val="18"/>
                <w:szCs w:val="18"/>
                <w:color w:val="auto"/>
              </w:rPr>
              <w:t>o AGAINST</w:t>
            </w:r>
          </w:p>
        </w:tc>
        <w:tc>
          <w:tcPr>
            <w:tcW w:w="1900" w:type="dxa"/>
            <w:vAlign w:val="bottom"/>
          </w:tcPr>
          <w:p>
            <w:pPr>
              <w:ind w:left="260"/>
              <w:spacing w:after="0"/>
              <w:rPr>
                <w:sz w:val="20"/>
                <w:szCs w:val="20"/>
                <w:color w:val="auto"/>
              </w:rPr>
            </w:pPr>
            <w:r>
              <w:rPr>
                <w:rFonts w:ascii="Arial" w:cs="Arial" w:eastAsia="Arial" w:hAnsi="Arial"/>
                <w:sz w:val="18"/>
                <w:szCs w:val="18"/>
                <w:color w:val="auto"/>
              </w:rPr>
              <w:t>o ABSTAIN</w:t>
            </w:r>
          </w:p>
        </w:tc>
        <w:tc>
          <w:tcPr>
            <w:tcW w:w="1940" w:type="dxa"/>
            <w:vAlign w:val="bottom"/>
          </w:tcPr>
          <w:p>
            <w:pPr>
              <w:spacing w:after="0"/>
              <w:rPr>
                <w:sz w:val="20"/>
                <w:szCs w:val="20"/>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proposals 2 and 4 and FOR a frequency of “ONE YEAR” in proposal 3. In their discretion, the proxies are authorized to vote upon such other business as may properly come before the Annual Meeting.</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4080" w:val="left"/>
          <w:tab w:leader="none" w:pos="5720" w:val="left"/>
          <w:tab w:leader="none" w:pos="960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o"/>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Roman"/>
      <w:start w:val="2"/>
    </w:lvl>
  </w:abstractNum>
  <w:abstractNum w:abstractNumId="11">
    <w:nsid w:val="436C6125"/>
    <w:multiLevelType w:val="hybridMultilevel"/>
    <w:lvl w:ilvl="0">
      <w:lvlJc w:val="left"/>
      <w:lvlText w:val="(%1)"/>
      <w:numFmt w:val="lowerRoman"/>
      <w:start w:val="3"/>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5"/>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7"/>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2019-12-03T17:57:08Z</dcterms:created>
  <dcterms:modified xsi:type="dcterms:W3CDTF">2019-12-03T17:57:08Z</dcterms:modified>
</cp:coreProperties>
</file>